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before="0" w:after="0"/>
        <w:jc w:val="left"/>
        <w:rPr/>
      </w:pPr>
      <w:r>
        <w:rPr>
          <w:rStyle w:val="StrongEmphasis"/>
          <w:rFonts w:cs="Arial" w:ascii="Arial" w:hAnsi="Arial"/>
          <w:color w:val="auto"/>
          <w:sz w:val="20"/>
          <w:szCs w:val="24"/>
        </w:rPr>
        <w:t>Q1.</w:t>
      </w:r>
      <w:r>
        <w:rPr>
          <w:rFonts w:cs="Arial" w:ascii="Arial" w:hAnsi="Arial"/>
          <w:color w:val="auto"/>
          <w:sz w:val="20"/>
          <w:szCs w:val="24"/>
        </w:rPr>
        <w:t xml:space="preserve"> Which Subpart establishes procedures for issuing Certificates of Airworthiness?</w:t>
        <w:br/>
        <w:t>A) Subpart H</w:t>
        <w:br/>
        <w:t>B) Subpart I</w:t>
        <w:br/>
        <w:t>C) Subpart J</w:t>
      </w:r>
    </w:p>
    <w:p>
      <w:pPr>
        <w:pStyle w:val="TextBody"/>
        <w:rPr/>
      </w:pPr>
      <w:r>
        <w:rPr>
          <w:rStyle w:val="StrongEmphasis"/>
        </w:rPr>
        <w:t>Q2.</w:t>
      </w:r>
      <w:r>
        <w:rPr/>
        <w:t xml:space="preserve"> A repair to an ETSO article (other than an APU) is treated as:</w:t>
        <w:br/>
        <w:t>A) A standard repair</w:t>
        <w:br/>
        <w:t>B) A maintenance action</w:t>
        <w:br/>
        <w:t>C) A change to the ETSO design</w:t>
      </w:r>
    </w:p>
    <w:p>
      <w:pPr>
        <w:pStyle w:val="TextBody"/>
        <w:rPr/>
      </w:pPr>
      <w:r>
        <w:rPr>
          <w:rStyle w:val="StrongEmphasis"/>
        </w:rPr>
        <w:t>Q3.</w:t>
      </w:r>
      <w:r>
        <w:rPr/>
        <w:t xml:space="preserve"> Which Subpart establishes Design Organisation Approval (DOA)?</w:t>
        <w:br/>
        <w:t>A) Subpart F</w:t>
        <w:br/>
        <w:t>B) Subpart J</w:t>
        <w:br/>
        <w:t>C) Subpart O</w:t>
      </w:r>
    </w:p>
    <w:p>
      <w:pPr>
        <w:pStyle w:val="TextBody"/>
        <w:rPr/>
      </w:pPr>
      <w:r>
        <w:rPr>
          <w:rStyle w:val="StrongEmphasis"/>
        </w:rPr>
        <w:t>Q4.</w:t>
      </w:r>
      <w:r>
        <w:rPr/>
        <w:t xml:space="preserve"> What is the purpose of CS-STAN?</w:t>
        <w:br/>
        <w:t>A) Standards for large aeroplanes</w:t>
        <w:br/>
        <w:t>B) Standards for standard changes and standard repairs that do not require approval when conditions are met</w:t>
        <w:br/>
        <w:t>C) Standards for noise certification only</w:t>
      </w:r>
    </w:p>
    <w:p>
      <w:pPr>
        <w:pStyle w:val="TextBody"/>
        <w:rPr/>
      </w:pPr>
      <w:r>
        <w:rPr>
          <w:rStyle w:val="StrongEmphasis"/>
        </w:rPr>
        <w:t>Q5.</w:t>
      </w:r>
      <w:r>
        <w:rPr/>
        <w:t xml:space="preserve"> Which of the following aircraft categories can qualify for a standard change under 21.A.90B?</w:t>
        <w:br/>
        <w:t>A) Rotorcraft with an MTOM of 3,000 kg</w:t>
        <w:br/>
        <w:t>B) Aeroplanes with an MTOM of 10,000 kg</w:t>
        <w:br/>
        <w:t>C) Large transport aeroplanes only</w:t>
      </w:r>
    </w:p>
    <w:p>
      <w:pPr>
        <w:pStyle w:val="TextBody"/>
        <w:rPr/>
      </w:pPr>
      <w:r>
        <w:rPr>
          <w:rStyle w:val="StrongEmphasis"/>
        </w:rPr>
        <w:t>Q6.</w:t>
      </w:r>
      <w:r>
        <w:rPr/>
        <w:t xml:space="preserve"> What is the scope of Part 21 Subpart A (21.A.1)?</w:t>
        <w:br/>
        <w:t>A) Aircraft maintenance procedures</w:t>
        <w:br/>
        <w:t>B) General rights and obligations of certificate applicants and holders</w:t>
        <w:br/>
        <w:t>C) Pilot licensing requirements</w:t>
      </w:r>
    </w:p>
    <w:p>
      <w:pPr>
        <w:pStyle w:val="TextBody"/>
        <w:rPr/>
      </w:pPr>
      <w:r>
        <w:rPr>
          <w:rStyle w:val="StrongEmphasis"/>
        </w:rPr>
        <w:t>Q7.</w:t>
      </w:r>
      <w:r>
        <w:rPr/>
        <w:t xml:space="preserve"> Subpart D (21.A.90A) deals with:</w:t>
        <w:br/>
        <w:t>A) Noise certificates</w:t>
        <w:br/>
        <w:t>B) Changes to type-certificates and restricted type-certificates</w:t>
        <w:br/>
        <w:t>C) Permits to fly</w:t>
      </w:r>
    </w:p>
    <w:p>
      <w:pPr>
        <w:pStyle w:val="TextBody"/>
        <w:rPr/>
      </w:pPr>
      <w:r>
        <w:rPr>
          <w:rStyle w:val="StrongEmphasis"/>
        </w:rPr>
        <w:t>Q8.</w:t>
      </w:r>
      <w:r>
        <w:rPr/>
        <w:t xml:space="preserve"> Aircraft identification plates must be:</w:t>
        <w:br/>
        <w:t>A) Painted on the fuselage</w:t>
        <w:br/>
        <w:t>B) Fireproof and permanently secured</w:t>
        <w:br/>
        <w:t>C) Removed during maintenance</w:t>
      </w:r>
    </w:p>
    <w:p>
      <w:pPr>
        <w:pStyle w:val="TextBody"/>
        <w:rPr/>
      </w:pPr>
      <w:r>
        <w:rPr>
          <w:rStyle w:val="StrongEmphasis"/>
        </w:rPr>
        <w:t>Q9.</w:t>
      </w:r>
      <w:r>
        <w:rPr/>
        <w:t xml:space="preserve"> Under Subpart F, the manufacturer must demonstrate conformity of:</w:t>
        <w:br/>
        <w:t>A) Products, parts, and appliances with applicable design data</w:t>
        <w:br/>
        <w:t>B) Pilot training programs</w:t>
        <w:br/>
        <w:t>C) Airport operating procedures</w:t>
      </w:r>
    </w:p>
    <w:p>
      <w:pPr>
        <w:pStyle w:val="TextBody"/>
        <w:rPr/>
      </w:pPr>
      <w:r>
        <w:rPr>
          <w:rStyle w:val="StrongEmphasis"/>
        </w:rPr>
        <w:t>Q10.</w:t>
      </w:r>
      <w:r>
        <w:rPr/>
        <w:t xml:space="preserve"> Which certification specification applies to turbine-powered large aeroplanes?</w:t>
        <w:br/>
        <w:t>A) CS-23</w:t>
        <w:br/>
        <w:t>B) CS-25</w:t>
        <w:br/>
        <w:t>C) CS-27</w:t>
      </w:r>
    </w:p>
    <w:p>
      <w:pPr>
        <w:pStyle w:val="TextBody"/>
        <w:rPr/>
      </w:pPr>
      <w:r>
        <w:rPr>
          <w:rStyle w:val="StrongEmphasis"/>
        </w:rPr>
        <w:t>Q11.</w:t>
      </w:r>
      <w:r>
        <w:rPr/>
        <w:t xml:space="preserve"> Which Subpart establishes procedures for ETSO authorisations?</w:t>
        <w:br/>
        <w:t>A) Subpart O</w:t>
        <w:br/>
        <w:t>B) Subpart Q</w:t>
        <w:br/>
        <w:t>C) Subpart B</w:t>
      </w:r>
    </w:p>
    <w:p>
      <w:pPr>
        <w:pStyle w:val="TextBody"/>
        <w:rPr/>
      </w:pPr>
      <w:r>
        <w:rPr>
          <w:rStyle w:val="StrongEmphasis"/>
        </w:rPr>
        <w:t>Q12.</w:t>
      </w:r>
      <w:r>
        <w:rPr/>
        <w:t xml:space="preserve"> A Permit to Fly may be issued for:</w:t>
        <w:br/>
        <w:t>A) Flying an aircraft to a maintenance location</w:t>
        <w:br/>
        <w:t>B) Scheduled commercial passenger service only</w:t>
        <w:br/>
        <w:t>C) Pilot licensing examinations only</w:t>
      </w:r>
    </w:p>
    <w:p>
      <w:pPr>
        <w:pStyle w:val="TextBody"/>
        <w:rPr/>
      </w:pPr>
      <w:r>
        <w:rPr>
          <w:rStyle w:val="StrongEmphasis"/>
        </w:rPr>
        <w:t>Q13.</w:t>
      </w:r>
      <w:r>
        <w:rPr/>
        <w:t xml:space="preserve"> According to 21.A.3A, occurrence reports are collected and analyzed primarily to:</w:t>
        <w:br/>
        <w:t>A) Increase aircraft production rates</w:t>
        <w:br/>
        <w:t>B) Identify adverse trends and address deficiencies</w:t>
        <w:br/>
        <w:t>C) Reduce certification costs</w:t>
      </w:r>
    </w:p>
    <w:p>
      <w:pPr>
        <w:pStyle w:val="TextBody"/>
        <w:rPr/>
      </w:pPr>
      <w:r>
        <w:rPr>
          <w:rStyle w:val="StrongEmphasis"/>
        </w:rPr>
        <w:t>Q14.</w:t>
      </w:r>
      <w:r>
        <w:rPr/>
        <w:t xml:space="preserve"> What is the primary purpose of a Production Organisation Approval (POA)?</w:t>
        <w:br/>
        <w:t>A) Approve flight crews</w:t>
        <w:br/>
        <w:t>B) Show conformity of products, parts, and appliances with design data</w:t>
        <w:br/>
        <w:t>C) Issue Certificates of Airworthiness</w:t>
      </w:r>
    </w:p>
    <w:p>
      <w:pPr>
        <w:pStyle w:val="TextBody"/>
        <w:rPr/>
      </w:pPr>
      <w:r>
        <w:rPr>
          <w:rStyle w:val="StrongEmphasis"/>
        </w:rPr>
        <w:t>Q15.</w:t>
      </w:r>
      <w:r>
        <w:rPr/>
        <w:t xml:space="preserve"> Which combination correctly matches the certification specification and aircraft type?</w:t>
        <w:br/>
        <w:t>A) CS-25 — Large turbine-powered aeroplanes</w:t>
        <w:br/>
        <w:t>B) CS-27 — Sailplanes</w:t>
        <w:br/>
        <w:t>C) CS-22 — Large rotorcraft</w:t>
      </w:r>
    </w:p>
    <w:p>
      <w:pPr>
        <w:pStyle w:val="TextBody"/>
        <w:rPr/>
      </w:pPr>
      <w:r>
        <w:rPr>
          <w:rStyle w:val="StrongEmphasis"/>
        </w:rPr>
        <w:t>Q16.</w:t>
      </w:r>
      <w:r>
        <w:rPr/>
        <w:t xml:space="preserve"> Standard changes under 21.A.90B may apply to aeroplanes with an MTOM of:</w:t>
        <w:br/>
        <w:t>A) 5,700 kg or less</w:t>
        <w:br/>
        <w:t>B) 8,618 kg or less</w:t>
        <w:br/>
        <w:t>C) 3,175 kg or less</w:t>
      </w:r>
    </w:p>
    <w:p>
      <w:pPr>
        <w:pStyle w:val="TextBody"/>
        <w:rPr/>
      </w:pPr>
      <w:r>
        <w:rPr>
          <w:rStyle w:val="StrongEmphasis"/>
        </w:rPr>
        <w:t>Q17.</w:t>
      </w:r>
      <w:r>
        <w:rPr/>
        <w:t xml:space="preserve"> Which information must be included in product identification under 21.A.801?</w:t>
        <w:br/>
        <w:t>A) Manufacturer’s name, product designation, and serial number</w:t>
        <w:br/>
        <w:t>B) Pilot’s name and license number</w:t>
        <w:br/>
        <w:t>C) Aircraft registration only</w:t>
      </w:r>
    </w:p>
    <w:p>
      <w:pPr>
        <w:pStyle w:val="TextBody"/>
        <w:rPr/>
      </w:pPr>
      <w:r>
        <w:rPr>
          <w:rStyle w:val="StrongEmphasis"/>
        </w:rPr>
        <w:t>Q18.</w:t>
      </w:r>
      <w:r>
        <w:rPr/>
        <w:t xml:space="preserve"> Which Subpart establishes Production Organisation Approval (POA)?</w:t>
        <w:br/>
        <w:t>A) Subpart G</w:t>
        <w:br/>
        <w:t>B) Subpart H</w:t>
        <w:br/>
        <w:t>C) Subpart M</w:t>
      </w:r>
    </w:p>
    <w:p>
      <w:pPr>
        <w:pStyle w:val="TextBody"/>
        <w:rPr/>
      </w:pPr>
      <w:r>
        <w:rPr>
          <w:rStyle w:val="StrongEmphasis"/>
        </w:rPr>
        <w:t>Q19.</w:t>
      </w:r>
      <w:r>
        <w:rPr/>
        <w:t xml:space="preserve"> Which Subpart establishes procedures for issuing type-certificates and restricted type-certificates?</w:t>
        <w:br/>
        <w:t>A) Subpart B</w:t>
        <w:br/>
        <w:t>B) Subpart F</w:t>
        <w:br/>
        <w:t>C) Subpart K</w:t>
      </w:r>
    </w:p>
    <w:p>
      <w:pPr>
        <w:pStyle w:val="TextBody"/>
        <w:rPr/>
      </w:pPr>
      <w:r>
        <w:rPr>
          <w:rStyle w:val="StrongEmphasis"/>
        </w:rPr>
        <w:t>Q20.</w:t>
      </w:r>
      <w:r>
        <w:rPr/>
        <w:t xml:space="preserve"> CS-27 certification specifications apply to rotorcraft with:</w:t>
        <w:br/>
        <w:t>A) More than nine passenger seats</w:t>
        <w:br/>
        <w:t>B) Maximum weight of 3,175 kg or less and nine or fewer passenger seats</w:t>
        <w:br/>
        <w:t>C) Maximum weight of 8,618 kg</w:t>
      </w:r>
    </w:p>
    <w:p>
      <w:pPr>
        <w:pStyle w:val="TextBody"/>
        <w:rPr/>
      </w:pPr>
      <w:r>
        <w:rPr>
          <w:rStyle w:val="StrongEmphasis"/>
        </w:rPr>
        <w:t>Q21.</w:t>
      </w:r>
      <w:r>
        <w:rPr/>
        <w:t xml:space="preserve"> A standard change cannot be applied if it:</w:t>
        <w:br/>
        <w:t>A) Uses approved design data</w:t>
        <w:br/>
        <w:t>B) Conflicts with the TC holder's data</w:t>
        <w:br/>
        <w:t>C) Includes instructions for continued airworthiness</w:t>
      </w:r>
    </w:p>
    <w:p>
      <w:pPr>
        <w:pStyle w:val="TextBody"/>
        <w:rPr/>
      </w:pPr>
      <w:r>
        <w:rPr>
          <w:rStyle w:val="StrongEmphasis"/>
        </w:rPr>
        <w:t>Q22.</w:t>
      </w:r>
      <w:r>
        <w:rPr/>
        <w:t xml:space="preserve"> A repair is defined as:</w:t>
        <w:br/>
        <w:t>A) Any maintenance action</w:t>
        <w:br/>
        <w:t>B) Elimination of damage and/or restoration to an airworthy condition after release to service</w:t>
        <w:br/>
        <w:t>C) Replacement of fuel and oil</w:t>
      </w:r>
    </w:p>
    <w:p>
      <w:pPr>
        <w:pStyle w:val="TextBody"/>
        <w:rPr/>
      </w:pPr>
      <w:r>
        <w:rPr>
          <w:rStyle w:val="StrongEmphasis"/>
        </w:rPr>
        <w:t>Q23.</w:t>
      </w:r>
      <w:r>
        <w:rPr/>
        <w:t xml:space="preserve"> The 'EXEMPT' mark may appear on an engine identification plate when:</w:t>
        <w:br/>
        <w:t>A) The manufacturer requests it</w:t>
        <w:br/>
        <w:t>B) The competent authority grants an exemption from environmental protection requirements</w:t>
        <w:br/>
        <w:t>C) The aircraft is privately owned</w:t>
      </w:r>
    </w:p>
    <w:p>
      <w:pPr>
        <w:pStyle w:val="TextBody"/>
        <w:rPr/>
      </w:pPr>
      <w:r>
        <w:rPr>
          <w:rStyle w:val="StrongEmphasis"/>
        </w:rPr>
        <w:t>Q24.</w:t>
      </w:r>
      <w:r>
        <w:rPr/>
        <w:t xml:space="preserve"> Noise certificates are covered under:</w:t>
        <w:br/>
        <w:t>A) Subpart K</w:t>
        <w:br/>
        <w:t>B) Subpart I</w:t>
        <w:br/>
        <w:t>C) Subpart P</w:t>
      </w:r>
    </w:p>
    <w:p>
      <w:pPr>
        <w:pStyle w:val="TextBody"/>
        <w:rPr/>
      </w:pPr>
      <w:r>
        <w:rPr>
          <w:rStyle w:val="StrongEmphasis"/>
        </w:rPr>
        <w:t>Q25.</w:t>
      </w:r>
      <w:r>
        <w:rPr/>
        <w:t xml:space="preserve"> A Supplemental Type-Certificate (STC) is primarily used for:</w:t>
        <w:br/>
        <w:t>A) Approval of major changes to a type-certificate</w:t>
        <w:br/>
        <w:t>B) Issuing a Certificate of Airworthiness</w:t>
        <w:br/>
        <w:t>C) Approving standard repairs only</w:t>
      </w:r>
    </w:p>
    <w:p>
      <w:pPr>
        <w:pStyle w:val="TextBody"/>
        <w:rPr/>
      </w:pPr>
      <w:r>
        <w:rPr>
          <w:rStyle w:val="StrongEmphasis"/>
        </w:rPr>
        <w:t>Q26.</w:t>
      </w:r>
      <w:r>
        <w:rPr/>
        <w:t xml:space="preserve"> CS-22 applies to sailplanes and powered sailplanes with a maximum of:</w:t>
        <w:br/>
        <w:t>A) Two occupants</w:t>
        <w:br/>
        <w:t>B) Four occupants</w:t>
        <w:br/>
        <w:t>C) Six occupants</w:t>
      </w:r>
    </w:p>
    <w:p>
      <w:pPr>
        <w:pStyle w:val="TextBody"/>
        <w:rPr/>
      </w:pPr>
      <w:r>
        <w:rPr>
          <w:rStyle w:val="StrongEmphasis"/>
        </w:rPr>
        <w:t>Q27.</w:t>
      </w:r>
      <w:r>
        <w:rPr/>
        <w:t xml:space="preserve"> For a change to be considered a standard change, it must:</w:t>
        <w:br/>
        <w:t>A) Be approved by the TC holder</w:t>
        <w:br/>
        <w:t>B) Follow design data included in Agency certification specifications</w:t>
        <w:br/>
        <w:t>C) Always require an STC</w:t>
      </w:r>
    </w:p>
    <w:p>
      <w:pPr>
        <w:pStyle w:val="TextBody"/>
        <w:rPr/>
      </w:pPr>
      <w:r>
        <w:rPr>
          <w:rStyle w:val="StrongEmphasis"/>
        </w:rPr>
        <w:t>Q28.</w:t>
      </w:r>
      <w:r>
        <w:rPr/>
        <w:t xml:space="preserve"> What does Subpart E establish?</w:t>
        <w:br/>
        <w:t>A) Production approvals</w:t>
        <w:br/>
        <w:t>B) Supplemental Type-Certificate (STC) procedures for major changes</w:t>
        <w:br/>
        <w:t>C) Airworthiness review procedures</w:t>
      </w:r>
    </w:p>
    <w:p>
      <w:pPr>
        <w:pStyle w:val="TextBody"/>
        <w:rPr/>
      </w:pPr>
      <w:r>
        <w:rPr>
          <w:rStyle w:val="StrongEmphasis"/>
        </w:rPr>
        <w:t>Q29.</w:t>
      </w:r>
      <w:r>
        <w:rPr/>
        <w:t xml:space="preserve"> Under 21.A.2, who may undertake actions required of a certificate holder?</w:t>
        <w:br/>
        <w:t>A) Any person without restrictions</w:t>
        <w:br/>
        <w:t>B) Only EASA inspectors</w:t>
        <w:br/>
        <w:t>C) Another natural or legal person under an agreement ensuring obligations are met</w:t>
      </w:r>
    </w:p>
    <w:p>
      <w:pPr>
        <w:pStyle w:val="TextBody"/>
        <w:rPr/>
      </w:pPr>
      <w:r>
        <w:rPr>
          <w:rStyle w:val="StrongEmphasis"/>
        </w:rPr>
        <w:t>Q30.</w:t>
      </w:r>
      <w:r>
        <w:rPr/>
        <w:t xml:space="preserve"> CS-23 applies to normal-category aeroplanes with:</w:t>
        <w:br/>
        <w:t>A) Up to 19 passenger seats and a maximum certified take-off mass of 8,618 kg or less</w:t>
        <w:br/>
        <w:t>B) Up to 50 passenger seats</w:t>
        <w:br/>
        <w:t>C) Unlimited passenger seats</w:t>
      </w:r>
    </w:p>
    <w:p>
      <w:pPr>
        <w:pStyle w:val="TextBody"/>
        <w:spacing w:before="0" w:after="0"/>
        <w:jc w:val="center"/>
        <w:rPr>
          <w:rFonts w:ascii="Arial" w:hAnsi="Arial" w:cs="Arial"/>
          <w:color w:val="auto"/>
          <w:sz w:val="20"/>
          <w:szCs w:val="24"/>
        </w:rPr>
      </w:pPr>
      <w:r>
        <w:rPr/>
      </w:r>
    </w:p>
    <w:sectPr>
      <w:footerReference w:type="default" r:id="rId2"/>
      <w:type w:val="nextPage"/>
      <w:pgSz w:w="11906" w:h="16838"/>
      <w:pgMar w:left="1440" w:right="1440" w:header="0" w:top="72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620706324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TableParagraph" w:customStyle="1">
    <w:name w:val="Table Paragraph"/>
    <w:basedOn w:val="Normal"/>
    <w:uiPriority w:val="1"/>
    <w:qFormat/>
    <w:rsid w:val="005e3c9d"/>
    <w:pPr>
      <w:widowControl w:val="false"/>
      <w:spacing w:lineRule="auto" w:line="240" w:before="0" w:after="0"/>
      <w:ind w:left="13" w:hanging="0"/>
      <w:jc w:val="center"/>
    </w:pPr>
    <w:rPr>
      <w:rFonts w:ascii="Arial" w:hAnsi="Arial" w:eastAsia="Arial" w:cs="Arial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E7B4AD-645E-40AA-8A57-371A7F66C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Neat_Office/6.2.8.2$Windows_x86 LibreOffice_project/</Application>
  <Pages>3</Pages>
  <Words>781</Words>
  <Characters>4239</Characters>
  <CharactersWithSpaces>4992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2026-06-01T10:57:00Z</cp:lastPrinted>
  <dcterms:modified xsi:type="dcterms:W3CDTF">2026-06-18T15:57:37Z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GrammarlyDocumentId">
    <vt:lpwstr>9c519403-f292-4faf-a519-d05d68554119</vt:lpwstr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