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DiaMetrics — Website UI and Run Instructions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Midpoint checkpoint deliverable (3 points): photos of the running Streamlit UI and instructions to run the code.</w:t>
      </w:r>
    </w:p>
    <w:p>
      <w:pPr>
        <w:pStyle w:val="Heading1"/>
      </w:pPr>
      <w:r>
        <w:t xml:space="preserve">1. Website UI — real screenshots of the running Streamlit app</w:t>
      </w:r>
    </w:p>
    <w:p>
      <w:pPr>
        <w:spacing w:after="120"/>
      </w:pPr>
      <w:r>
        <w:t xml:space="preserve">All screenshots captured from the live Streamlit app running against the cleaned BRFSS 2024 dataset (diabetes_dataset.csv, n = 100,520).</w:t>
      </w:r>
    </w:p>
    <w:p>
      <w:pPr>
        <w:pStyle w:val="Heading2"/>
      </w:pPr>
      <w:r>
        <w:t xml:space="preserve">Page 1 — Personal Risk Calculator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1-empty.png" descr="Fig 1. Page 1 landing state. Radio groups unselected, sliders at default 0. Gauge prompts the user to input their data." title="page1-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1. Page 1 landing state. Radio groups unselected, sliders at default 0. Gauge prompts the user to input their data.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1-filled.png" descr="Fig 2. Page 1 filled. High-risk profile (Never exercises, Obese, Daily smoker, bad mental-health days, sugary drinks, alcohol) → 56.4 / 100 with a binary red High Risk pill (≥ 50 = red High Risk, &lt; 50 = green Low Risk). Score is produced by Max’s final Logistic Regression (oversampling-trained, 64.67 % test accuracy)." title="page1-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2. Page 1 filled. High-risk profile (Never exercises, Obese, Daily smoker, bad mental-health days, sugary drinks, alcohol) → 56.4 / 100 with a binary red High Risk pill (≥ 50 = red High Risk, &lt; 50 = green Low Risk). Score is produced by Max’s final Logistic Regression (oversampling-trained, 64.67 % test accuracy).</w:t>
      </w:r>
    </w:p>
    <w:p>
      <w:pPr>
        <w:pStyle w:val="Heading2"/>
      </w:pPr>
      <w:r>
        <w:t xml:space="preserve">Page 2 — Peek Through Our Data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2-view1.png" descr="Fig 3. View 1: Risk factor distribution across BMI class, smoking status, mental health days, and weekly alcohol." title="page2-vie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3. View 1: Risk factor distribution across BMI class, smoking status, mental health days, and weekly alcohol.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2-view2.png" descr="Fig 4. View 2: Diabetes prevalence grouped by BMI × exercise, smoking, and mental-health bands." title="page2-vi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4. View 2: Diabetes prevalence grouped by BMI × exercise, smoking, and mental-health bands.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2-view3.png" descr="Fig 5. View 3: Risk trajectories across BMI classes by age band, with sample composition and exercise split." title="page2-vie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5. View 3: Risk trajectories across BMI classes by age band, with sample composition and exercise split.</w:t>
      </w:r>
    </w:p>
    <w:p>
      <w:pPr>
        <w:pStyle w:val="Heading2"/>
      </w:pPr>
      <w:r>
        <w:t xml:space="preserve">Page 2 — Model Playground</w:t>
      </w:r>
    </w:p>
    <w:p>
      <w:pPr>
        <w:spacing w:after="80"/>
        <w:jc w:val="center"/>
      </w:pPr>
      <w:r>
        <w:drawing>
          <wp:inline distT="0" distB="0" distL="0" distR="0">
            <wp:extent cx="5334000" cy="5181600"/>
            <wp:effectExtent t="0" r="0" b="0" l="0"/>
            <wp:docPr id="1" name="page2-playground.png" descr="Fig 6. Page 2 Model Playground. Users can pick any of our three classifiers (Logistic Regression, SVM, Naive Bayes) and any of the four training-set treatments (original, undersampling, oversampling, SMOTE) and see test-set accuracy, precision, recall, F1, confusion matrix, and per-feature learned weights. Shown: the deployed winner — Logistic Regression + oversampling (acc 64.7 %, prec 24.4 %, recall 70.1 %, F1 0.362)." title="page2-play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 6. Page 2 Model Playground. Users can pick any of our three classifiers (Logistic Regression, SVM, Naive Bayes) and any of the four training-set treatments (original, undersampling, oversampling, SMOTE) and see test-set accuracy, precision, recall, F1, confusion matrix, and per-feature learned weights. Shown: the deployed winner — Logistic Regression + oversampling (acc 64.7 %, prec 24.4 %, recall 70.1 %, F1 0.362).</w:t>
      </w:r>
    </w:p>
    <w:p>
      <w:pPr>
        <w:pStyle w:val="Heading1"/>
      </w:pPr>
      <w:r>
        <w:t xml:space="preserve">2. Instructions to run the Streamlit code</w:t>
      </w:r>
    </w:p>
    <w:p>
      <w:pPr>
        <w:spacing w:after="120"/>
      </w:pPr>
      <w:r>
        <w:t xml:space="preserve">Tested on macOS and Linux with Python 3.10+. Windows follows the same steps with the venv activation line swapped out (noted below).</w:t>
      </w:r>
    </w:p>
    <w:p>
      <w:pPr>
        <w:pStyle w:val="ListParagraph"/>
        <w:numPr>
          <w:ilvl w:val="0"/>
          <w:numId w:val="2"/>
        </w:numPr>
      </w:pPr>
      <w:r>
        <w:t xml:space="preserve">Clone the repo and move into the app folder: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https://github.com/maria-decaro/PAML_final_project.git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PAML_final_project/DiaMetrics</w:t>
      </w:r>
    </w:p>
    <w:p>
      <w:pPr>
        <w:pStyle w:val="ListParagraph"/>
        <w:numPr>
          <w:ilvl w:val="0"/>
          <w:numId w:val="2"/>
        </w:numPr>
      </w:pPr>
      <w:r>
        <w:t xml:space="preserve">(Recommended) create and activate a virtual environment: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python3 -m venv .venv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       # macOS / Linux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.venv\Scripts\activate             # Windows PowerShell</w:t>
      </w:r>
    </w:p>
    <w:p>
      <w:pPr>
        <w:pStyle w:val="ListParagraph"/>
        <w:numPr>
          <w:ilvl w:val="0"/>
          <w:numId w:val="2"/>
        </w:numPr>
      </w:pPr>
      <w:r>
        <w:t xml:space="preserve">Install dependencies: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Launch the Streamlit app: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streamlit run Home.py</w:t>
      </w:r>
    </w:p>
    <w:p>
      <w:pPr>
        <w:spacing w:after="120"/>
      </w:pPr>
      <w:r>
        <w:t xml:space="preserve">Streamlit prints a local URL (default http://localhost:8501). Open it in a browser. Use the left sidebar to switch between “Home” (Personal Risk Calculator) and “Peek Through Our Data” (BRFSS explorer).</w:t>
      </w:r>
    </w:p>
    <w:p>
      <w:pPr>
        <w:pStyle w:val="ListParagraph"/>
        <w:numPr>
          <w:ilvl w:val="0"/>
          <w:numId w:val="2"/>
        </w:numPr>
      </w:pPr>
      <w:r>
        <w:t xml:space="preserve">To stop the app, press Ctrl+C in the terminal. To run on a different port: streamlit run Home.py --server.port 8502.</w:t>
      </w:r>
    </w:p>
    <w:p>
      <w:pPr>
        <w:pStyle w:val="Heading2"/>
      </w:pPr>
      <w:r>
        <w:t xml:space="preserve">Notes for the team</w:t>
      </w:r>
    </w:p>
    <w:p>
      <w:pPr>
        <w:pStyle w:val="ListParagraph"/>
        <w:numPr>
          <w:ilvl w:val="0"/>
          <w:numId w:val="3"/>
        </w:numPr>
      </w:pPr>
      <w:r>
        <w:t xml:space="preserve">Feature schema exactly matches the team contract: EXERANY2, _BMI5CAT, _SMOKER3, MENTHLTH, SSBFRUT3, ALCDAY4 → DIABETE4.</w:t>
      </w:r>
    </w:p>
    <w:p>
      <w:pPr>
        <w:pStyle w:val="ListParagraph"/>
        <w:numPr>
          <w:ilvl w:val="0"/>
          <w:numId w:val="3"/>
        </w:numPr>
      </w:pPr>
      <w:r>
        <w:t xml:space="preserve">The risk score is computed by a placeholder clinically-weighted scorer in utils/predictor.py. Max’s LR (or Maria’s SVM / Rhia’s NB) can be swapped in by replacing the body of predict_risk — the return contract is the same. Full guide is in the README.</w:t>
      </w:r>
    </w:p>
    <w:p>
      <w:pPr>
        <w:pStyle w:val="ListParagraph"/>
        <w:numPr>
          <w:ilvl w:val="0"/>
          <w:numId w:val="3"/>
        </w:numPr>
      </w:pPr>
      <w:r>
        <w:t xml:space="preserve">Dataset source: data/diabetes_dataset.csv (cleaned BRFSS 2024 extract from Nina’s preprocessing, 100,520 rows). If missing, the app falls back to a synthetic sample so the UI still renders.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980200d785bbc094a7a0979564f33f3ddb8c08.png"/><Relationship Id="rId8" Type="http://schemas.openxmlformats.org/officeDocument/2006/relationships/image" Target="media/bcbb2b055784052b1f74125480f62e00e08b0c37.png"/><Relationship Id="rId9" Type="http://schemas.openxmlformats.org/officeDocument/2006/relationships/image" Target="media/1288725711f159e6d3b4df9a539b435639e6fc3a.png"/><Relationship Id="rId10" Type="http://schemas.openxmlformats.org/officeDocument/2006/relationships/image" Target="media/f51d8f8a6f03f81eb70a082e2b11c4baa871ddb5.png"/><Relationship Id="rId11" Type="http://schemas.openxmlformats.org/officeDocument/2006/relationships/image" Target="media/056f4056a861dd4928f03f43f0d291f0e737acc9.png"/><Relationship Id="rId12" Type="http://schemas.openxmlformats.org/officeDocument/2006/relationships/image" Target="media/6f1d7a7872e65aeb69dca8df27b7e0f0233189d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DiaMetrics — UI and Run Instructions</dc:title>
  <dc:creator>Beyza Simsekoglu</dc:creator>
  <cp:lastModifiedBy>Un-named</cp:lastModifiedBy>
  <cp:revision>1</cp:revision>
  <dcterms:created xsi:type="dcterms:W3CDTF">2026-04-21T17:04:47.319Z</dcterms:created>
  <dcterms:modified xsi:type="dcterms:W3CDTF">2026-04-21T17:04:47.319Z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