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120" w:before="400" w:line="276" w:lineRule="auto"/>
        <w:ind w:left="0" w:right="0" w:firstLine="0"/>
        <w:contextualSpacing w:val="0"/>
        <w:jc w:val="left"/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Практика 1. Блоки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3lsphkismafr" w:id="1"/>
      <w:bookmarkEnd w:id="1"/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Разбиваем HTML-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страницу на блоки.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5uhstowojzyh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 часть.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Берем любую страницу из списка ниже. Делаем скриншот, затем в любом редакторе выделяем блоки. Одинаковые блоки - одним цветом.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2 часть.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Задаем блокам название. Название должно отражать суть блока, и при этом быть лаконичным. Используем английские слова в нижнем регистре, если слов несколько - пишем их через подчеркивание (“_”). Не используем сокращения (например “img” вместо “image” или “bg” вместо “background”)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Пример: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news_list_item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Научиться синтаксису не так сложно. Сложнее увидеть на странице её составные части - блоки. Использование одинаковых стилей для одинаковых блоков в дальнейшем позволит не дублировать стили и ускорить разработку.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Веб-сайты для лабораторной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https://lenta.ru/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https://teamtreehouse.com/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https://www.udacity.com/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https://www.edx.org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edx.org/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lenta.ru/" TargetMode="External"/><Relationship Id="rId7" Type="http://schemas.openxmlformats.org/officeDocument/2006/relationships/hyperlink" Target="https://teamtreehouse.com/" TargetMode="External"/><Relationship Id="rId8" Type="http://schemas.openxmlformats.org/officeDocument/2006/relationships/hyperlink" Target="https://www.udacity.com/" TargetMode="External"/></Relationships>
</file>