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w:t>
            </w:r>
            <w:proofErr w:type="gramStart"/>
            <w:r w:rsidRPr="00302D7A">
              <w:t>matricola</w:t>
            </w:r>
            <w:r>
              <w:t>:</w:t>
            </w:r>
            <w:r w:rsidR="5E9E3609">
              <w:t>?????????</w:t>
            </w:r>
            <w:proofErr w:type="gramEnd"/>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4C7B83C" w14:textId="1FB2C0FA" w:rsidR="00587469"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9105941" w:history="1">
            <w:r w:rsidR="00587469" w:rsidRPr="00116B61">
              <w:rPr>
                <w:rStyle w:val="Collegamentoipertestuale"/>
                <w:noProof/>
              </w:rPr>
              <w:t>1</w:t>
            </w:r>
            <w:r w:rsidR="00587469">
              <w:rPr>
                <w:rFonts w:asciiTheme="minorHAnsi" w:hAnsiTheme="minorHAnsi"/>
                <w:noProof/>
                <w:sz w:val="22"/>
                <w:lang w:eastAsia="it-IT"/>
              </w:rPr>
              <w:tab/>
            </w:r>
            <w:r w:rsidR="00587469" w:rsidRPr="00116B61">
              <w:rPr>
                <w:rStyle w:val="Collegamentoipertestuale"/>
                <w:noProof/>
              </w:rPr>
              <w:t>Introduzione</w:t>
            </w:r>
            <w:r w:rsidR="00587469">
              <w:rPr>
                <w:noProof/>
                <w:webHidden/>
              </w:rPr>
              <w:tab/>
            </w:r>
            <w:r w:rsidR="00587469">
              <w:rPr>
                <w:noProof/>
                <w:webHidden/>
              </w:rPr>
              <w:fldChar w:fldCharType="begin"/>
            </w:r>
            <w:r w:rsidR="00587469">
              <w:rPr>
                <w:noProof/>
                <w:webHidden/>
              </w:rPr>
              <w:instrText xml:space="preserve"> PAGEREF _Toc59105941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6CF3AB4A" w14:textId="1CD7701E" w:rsidR="00587469" w:rsidRDefault="00587469">
          <w:pPr>
            <w:pStyle w:val="Sommario2"/>
            <w:tabs>
              <w:tab w:val="left" w:pos="880"/>
              <w:tab w:val="right" w:leader="dot" w:pos="9628"/>
            </w:tabs>
            <w:rPr>
              <w:rFonts w:asciiTheme="minorHAnsi" w:hAnsiTheme="minorHAnsi"/>
              <w:noProof/>
              <w:sz w:val="22"/>
              <w:lang w:eastAsia="it-IT"/>
            </w:rPr>
          </w:pPr>
          <w:hyperlink w:anchor="_Toc59105942" w:history="1">
            <w:r w:rsidRPr="00116B61">
              <w:rPr>
                <w:rStyle w:val="Collegamentoipertestuale"/>
                <w:noProof/>
              </w:rPr>
              <w:t>1.1</w:t>
            </w:r>
            <w:r>
              <w:rPr>
                <w:rFonts w:asciiTheme="minorHAnsi" w:hAnsiTheme="minorHAnsi"/>
                <w:noProof/>
                <w:sz w:val="22"/>
                <w:lang w:eastAsia="it-IT"/>
              </w:rPr>
              <w:tab/>
            </w:r>
            <w:r w:rsidRPr="00116B61">
              <w:rPr>
                <w:rStyle w:val="Collegamentoipertestuale"/>
                <w:noProof/>
              </w:rPr>
              <w:t>Caso di studio</w:t>
            </w:r>
            <w:r>
              <w:rPr>
                <w:noProof/>
                <w:webHidden/>
              </w:rPr>
              <w:tab/>
            </w:r>
            <w:r>
              <w:rPr>
                <w:noProof/>
                <w:webHidden/>
              </w:rPr>
              <w:fldChar w:fldCharType="begin"/>
            </w:r>
            <w:r>
              <w:rPr>
                <w:noProof/>
                <w:webHidden/>
              </w:rPr>
              <w:instrText xml:space="preserve"> PAGEREF _Toc59105942 \h </w:instrText>
            </w:r>
            <w:r>
              <w:rPr>
                <w:noProof/>
                <w:webHidden/>
              </w:rPr>
            </w:r>
            <w:r>
              <w:rPr>
                <w:noProof/>
                <w:webHidden/>
              </w:rPr>
              <w:fldChar w:fldCharType="separate"/>
            </w:r>
            <w:r>
              <w:rPr>
                <w:noProof/>
                <w:webHidden/>
              </w:rPr>
              <w:t>3</w:t>
            </w:r>
            <w:r>
              <w:rPr>
                <w:noProof/>
                <w:webHidden/>
              </w:rPr>
              <w:fldChar w:fldCharType="end"/>
            </w:r>
          </w:hyperlink>
        </w:p>
        <w:p w14:paraId="5AFF1963" w14:textId="64CEE435" w:rsidR="00587469" w:rsidRDefault="00587469">
          <w:pPr>
            <w:pStyle w:val="Sommario2"/>
            <w:tabs>
              <w:tab w:val="left" w:pos="880"/>
              <w:tab w:val="right" w:leader="dot" w:pos="9628"/>
            </w:tabs>
            <w:rPr>
              <w:rFonts w:asciiTheme="minorHAnsi" w:hAnsiTheme="minorHAnsi"/>
              <w:noProof/>
              <w:sz w:val="22"/>
              <w:lang w:eastAsia="it-IT"/>
            </w:rPr>
          </w:pPr>
          <w:hyperlink w:anchor="_Toc59105943" w:history="1">
            <w:r w:rsidRPr="00116B61">
              <w:rPr>
                <w:rStyle w:val="Collegamentoipertestuale"/>
                <w:noProof/>
              </w:rPr>
              <w:t>1.2</w:t>
            </w:r>
            <w:r>
              <w:rPr>
                <w:rFonts w:asciiTheme="minorHAnsi" w:hAnsiTheme="minorHAnsi"/>
                <w:noProof/>
                <w:sz w:val="22"/>
                <w:lang w:eastAsia="it-IT"/>
              </w:rPr>
              <w:tab/>
            </w:r>
            <w:r w:rsidRPr="00116B61">
              <w:rPr>
                <w:rStyle w:val="Collegamentoipertestuale"/>
                <w:noProof/>
              </w:rPr>
              <w:t>Rappresentazione grafica</w:t>
            </w:r>
            <w:r>
              <w:rPr>
                <w:noProof/>
                <w:webHidden/>
              </w:rPr>
              <w:tab/>
            </w:r>
            <w:r>
              <w:rPr>
                <w:noProof/>
                <w:webHidden/>
              </w:rPr>
              <w:fldChar w:fldCharType="begin"/>
            </w:r>
            <w:r>
              <w:rPr>
                <w:noProof/>
                <w:webHidden/>
              </w:rPr>
              <w:instrText xml:space="preserve"> PAGEREF _Toc59105943 \h </w:instrText>
            </w:r>
            <w:r>
              <w:rPr>
                <w:noProof/>
                <w:webHidden/>
              </w:rPr>
            </w:r>
            <w:r>
              <w:rPr>
                <w:noProof/>
                <w:webHidden/>
              </w:rPr>
              <w:fldChar w:fldCharType="separate"/>
            </w:r>
            <w:r>
              <w:rPr>
                <w:noProof/>
                <w:webHidden/>
              </w:rPr>
              <w:t>4</w:t>
            </w:r>
            <w:r>
              <w:rPr>
                <w:noProof/>
                <w:webHidden/>
              </w:rPr>
              <w:fldChar w:fldCharType="end"/>
            </w:r>
          </w:hyperlink>
        </w:p>
        <w:p w14:paraId="077DCD33" w14:textId="5B234BE6" w:rsidR="00587469" w:rsidRDefault="00587469">
          <w:pPr>
            <w:pStyle w:val="Sommario1"/>
            <w:tabs>
              <w:tab w:val="left" w:pos="480"/>
              <w:tab w:val="right" w:leader="dot" w:pos="9628"/>
            </w:tabs>
            <w:rPr>
              <w:rFonts w:asciiTheme="minorHAnsi" w:hAnsiTheme="minorHAnsi"/>
              <w:noProof/>
              <w:sz w:val="22"/>
              <w:lang w:eastAsia="it-IT"/>
            </w:rPr>
          </w:pPr>
          <w:hyperlink w:anchor="_Toc59105944" w:history="1">
            <w:r w:rsidRPr="00116B61">
              <w:rPr>
                <w:rStyle w:val="Collegamentoipertestuale"/>
                <w:noProof/>
              </w:rPr>
              <w:t>2</w:t>
            </w:r>
            <w:r>
              <w:rPr>
                <w:rFonts w:asciiTheme="minorHAnsi" w:hAnsiTheme="minorHAnsi"/>
                <w:noProof/>
                <w:sz w:val="22"/>
                <w:lang w:eastAsia="it-IT"/>
              </w:rPr>
              <w:tab/>
            </w:r>
            <w:r w:rsidRPr="00116B61">
              <w:rPr>
                <w:rStyle w:val="Collegamentoipertestuale"/>
                <w:noProof/>
              </w:rPr>
              <w:t>Statistica descrittiva univariata</w:t>
            </w:r>
            <w:r>
              <w:rPr>
                <w:noProof/>
                <w:webHidden/>
              </w:rPr>
              <w:tab/>
            </w:r>
            <w:r>
              <w:rPr>
                <w:noProof/>
                <w:webHidden/>
              </w:rPr>
              <w:fldChar w:fldCharType="begin"/>
            </w:r>
            <w:r>
              <w:rPr>
                <w:noProof/>
                <w:webHidden/>
              </w:rPr>
              <w:instrText xml:space="preserve"> PAGEREF _Toc59105944 \h </w:instrText>
            </w:r>
            <w:r>
              <w:rPr>
                <w:noProof/>
                <w:webHidden/>
              </w:rPr>
            </w:r>
            <w:r>
              <w:rPr>
                <w:noProof/>
                <w:webHidden/>
              </w:rPr>
              <w:fldChar w:fldCharType="separate"/>
            </w:r>
            <w:r>
              <w:rPr>
                <w:noProof/>
                <w:webHidden/>
              </w:rPr>
              <w:t>9</w:t>
            </w:r>
            <w:r>
              <w:rPr>
                <w:noProof/>
                <w:webHidden/>
              </w:rPr>
              <w:fldChar w:fldCharType="end"/>
            </w:r>
          </w:hyperlink>
        </w:p>
        <w:p w14:paraId="0035D607" w14:textId="1F26F5FF" w:rsidR="00587469" w:rsidRDefault="00587469">
          <w:pPr>
            <w:pStyle w:val="Sommario2"/>
            <w:tabs>
              <w:tab w:val="left" w:pos="880"/>
              <w:tab w:val="right" w:leader="dot" w:pos="9628"/>
            </w:tabs>
            <w:rPr>
              <w:rFonts w:asciiTheme="minorHAnsi" w:hAnsiTheme="minorHAnsi"/>
              <w:noProof/>
              <w:sz w:val="22"/>
              <w:lang w:eastAsia="it-IT"/>
            </w:rPr>
          </w:pPr>
          <w:hyperlink w:anchor="_Toc59105945" w:history="1">
            <w:r w:rsidRPr="00116B61">
              <w:rPr>
                <w:rStyle w:val="Collegamentoipertestuale"/>
                <w:noProof/>
              </w:rPr>
              <w:t>2.1</w:t>
            </w:r>
            <w:r>
              <w:rPr>
                <w:rFonts w:asciiTheme="minorHAnsi" w:hAnsiTheme="minorHAnsi"/>
                <w:noProof/>
                <w:sz w:val="22"/>
                <w:lang w:eastAsia="it-IT"/>
              </w:rPr>
              <w:tab/>
            </w:r>
            <w:r w:rsidRPr="00116B61">
              <w:rPr>
                <w:rStyle w:val="Collegamentoipertestuale"/>
                <w:noProof/>
              </w:rPr>
              <w:t>Funzione di distribuzione empirica continua</w:t>
            </w:r>
            <w:r>
              <w:rPr>
                <w:noProof/>
                <w:webHidden/>
              </w:rPr>
              <w:tab/>
            </w:r>
            <w:r>
              <w:rPr>
                <w:noProof/>
                <w:webHidden/>
              </w:rPr>
              <w:fldChar w:fldCharType="begin"/>
            </w:r>
            <w:r>
              <w:rPr>
                <w:noProof/>
                <w:webHidden/>
              </w:rPr>
              <w:instrText xml:space="preserve"> PAGEREF _Toc59105945 \h </w:instrText>
            </w:r>
            <w:r>
              <w:rPr>
                <w:noProof/>
                <w:webHidden/>
              </w:rPr>
            </w:r>
            <w:r>
              <w:rPr>
                <w:noProof/>
                <w:webHidden/>
              </w:rPr>
              <w:fldChar w:fldCharType="separate"/>
            </w:r>
            <w:r>
              <w:rPr>
                <w:noProof/>
                <w:webHidden/>
              </w:rPr>
              <w:t>9</w:t>
            </w:r>
            <w:r>
              <w:rPr>
                <w:noProof/>
                <w:webHidden/>
              </w:rPr>
              <w:fldChar w:fldCharType="end"/>
            </w:r>
          </w:hyperlink>
        </w:p>
        <w:p w14:paraId="2C607C5F" w14:textId="5DEA538E" w:rsidR="00587469" w:rsidRDefault="00587469">
          <w:pPr>
            <w:pStyle w:val="Sommario2"/>
            <w:tabs>
              <w:tab w:val="left" w:pos="880"/>
              <w:tab w:val="right" w:leader="dot" w:pos="9628"/>
            </w:tabs>
            <w:rPr>
              <w:rFonts w:asciiTheme="minorHAnsi" w:hAnsiTheme="minorHAnsi"/>
              <w:noProof/>
              <w:sz w:val="22"/>
              <w:lang w:eastAsia="it-IT"/>
            </w:rPr>
          </w:pPr>
          <w:hyperlink w:anchor="_Toc59105946" w:history="1">
            <w:r w:rsidRPr="00116B61">
              <w:rPr>
                <w:rStyle w:val="Collegamentoipertestuale"/>
                <w:noProof/>
              </w:rPr>
              <w:t>2.2</w:t>
            </w:r>
            <w:r>
              <w:rPr>
                <w:rFonts w:asciiTheme="minorHAnsi" w:hAnsiTheme="minorHAnsi"/>
                <w:noProof/>
                <w:sz w:val="22"/>
                <w:lang w:eastAsia="it-IT"/>
              </w:rPr>
              <w:tab/>
            </w:r>
            <w:r w:rsidRPr="00116B61">
              <w:rPr>
                <w:rStyle w:val="Collegamentoipertestuale"/>
                <w:noProof/>
              </w:rPr>
              <w:t>Indici di sintesi</w:t>
            </w:r>
            <w:r>
              <w:rPr>
                <w:noProof/>
                <w:webHidden/>
              </w:rPr>
              <w:tab/>
            </w:r>
            <w:r>
              <w:rPr>
                <w:noProof/>
                <w:webHidden/>
              </w:rPr>
              <w:fldChar w:fldCharType="begin"/>
            </w:r>
            <w:r>
              <w:rPr>
                <w:noProof/>
                <w:webHidden/>
              </w:rPr>
              <w:instrText xml:space="preserve"> PAGEREF _Toc59105946 \h </w:instrText>
            </w:r>
            <w:r>
              <w:rPr>
                <w:noProof/>
                <w:webHidden/>
              </w:rPr>
            </w:r>
            <w:r>
              <w:rPr>
                <w:noProof/>
                <w:webHidden/>
              </w:rPr>
              <w:fldChar w:fldCharType="separate"/>
            </w:r>
            <w:r>
              <w:rPr>
                <w:noProof/>
                <w:webHidden/>
              </w:rPr>
              <w:t>10</w:t>
            </w:r>
            <w:r>
              <w:rPr>
                <w:noProof/>
                <w:webHidden/>
              </w:rPr>
              <w:fldChar w:fldCharType="end"/>
            </w:r>
          </w:hyperlink>
        </w:p>
        <w:p w14:paraId="0C901A57" w14:textId="15F15A2E" w:rsidR="00587469" w:rsidRDefault="00587469">
          <w:pPr>
            <w:pStyle w:val="Sommario2"/>
            <w:tabs>
              <w:tab w:val="left" w:pos="880"/>
              <w:tab w:val="right" w:leader="dot" w:pos="9628"/>
            </w:tabs>
            <w:rPr>
              <w:rFonts w:asciiTheme="minorHAnsi" w:hAnsiTheme="minorHAnsi"/>
              <w:noProof/>
              <w:sz w:val="22"/>
              <w:lang w:eastAsia="it-IT"/>
            </w:rPr>
          </w:pPr>
          <w:hyperlink w:anchor="_Toc59105947" w:history="1">
            <w:r w:rsidRPr="00116B61">
              <w:rPr>
                <w:rStyle w:val="Collegamentoipertestuale"/>
                <w:noProof/>
              </w:rPr>
              <w:t>2.3</w:t>
            </w:r>
            <w:r>
              <w:rPr>
                <w:rFonts w:asciiTheme="minorHAnsi" w:hAnsiTheme="minorHAnsi"/>
                <w:noProof/>
                <w:sz w:val="22"/>
                <w:lang w:eastAsia="it-IT"/>
              </w:rPr>
              <w:tab/>
            </w:r>
            <w:r w:rsidRPr="00116B61">
              <w:rPr>
                <w:rStyle w:val="Collegamentoipertestuale"/>
                <w:noProof/>
              </w:rPr>
              <w:t>Forma della distribuzione di frequenze</w:t>
            </w:r>
            <w:r>
              <w:rPr>
                <w:noProof/>
                <w:webHidden/>
              </w:rPr>
              <w:tab/>
            </w:r>
            <w:r>
              <w:rPr>
                <w:noProof/>
                <w:webHidden/>
              </w:rPr>
              <w:fldChar w:fldCharType="begin"/>
            </w:r>
            <w:r>
              <w:rPr>
                <w:noProof/>
                <w:webHidden/>
              </w:rPr>
              <w:instrText xml:space="preserve"> PAGEREF _Toc59105947 \h </w:instrText>
            </w:r>
            <w:r>
              <w:rPr>
                <w:noProof/>
                <w:webHidden/>
              </w:rPr>
            </w:r>
            <w:r>
              <w:rPr>
                <w:noProof/>
                <w:webHidden/>
              </w:rPr>
              <w:fldChar w:fldCharType="separate"/>
            </w:r>
            <w:r>
              <w:rPr>
                <w:noProof/>
                <w:webHidden/>
              </w:rPr>
              <w:t>16</w:t>
            </w:r>
            <w:r>
              <w:rPr>
                <w:noProof/>
                <w:webHidden/>
              </w:rPr>
              <w:fldChar w:fldCharType="end"/>
            </w:r>
          </w:hyperlink>
        </w:p>
        <w:p w14:paraId="0F4F2498" w14:textId="27E2599C" w:rsidR="00587469" w:rsidRDefault="00587469">
          <w:pPr>
            <w:pStyle w:val="Sommario1"/>
            <w:tabs>
              <w:tab w:val="left" w:pos="480"/>
              <w:tab w:val="right" w:leader="dot" w:pos="9628"/>
            </w:tabs>
            <w:rPr>
              <w:rFonts w:asciiTheme="minorHAnsi" w:hAnsiTheme="minorHAnsi"/>
              <w:noProof/>
              <w:sz w:val="22"/>
              <w:lang w:eastAsia="it-IT"/>
            </w:rPr>
          </w:pPr>
          <w:hyperlink w:anchor="_Toc59105948" w:history="1">
            <w:r w:rsidRPr="00116B61">
              <w:rPr>
                <w:rStyle w:val="Collegamentoipertestuale"/>
                <w:noProof/>
              </w:rPr>
              <w:t>3</w:t>
            </w:r>
            <w:r>
              <w:rPr>
                <w:rFonts w:asciiTheme="minorHAnsi" w:hAnsiTheme="minorHAnsi"/>
                <w:noProof/>
                <w:sz w:val="22"/>
                <w:lang w:eastAsia="it-IT"/>
              </w:rPr>
              <w:tab/>
            </w:r>
            <w:r w:rsidRPr="00116B61">
              <w:rPr>
                <w:rStyle w:val="Collegamentoipertestuale"/>
                <w:noProof/>
              </w:rPr>
              <w:t>Statistica descrittiva bivariata</w:t>
            </w:r>
            <w:r>
              <w:rPr>
                <w:noProof/>
                <w:webHidden/>
              </w:rPr>
              <w:tab/>
            </w:r>
            <w:r>
              <w:rPr>
                <w:noProof/>
                <w:webHidden/>
              </w:rPr>
              <w:fldChar w:fldCharType="begin"/>
            </w:r>
            <w:r>
              <w:rPr>
                <w:noProof/>
                <w:webHidden/>
              </w:rPr>
              <w:instrText xml:space="preserve"> PAGEREF _Toc59105948 \h </w:instrText>
            </w:r>
            <w:r>
              <w:rPr>
                <w:noProof/>
                <w:webHidden/>
              </w:rPr>
            </w:r>
            <w:r>
              <w:rPr>
                <w:noProof/>
                <w:webHidden/>
              </w:rPr>
              <w:fldChar w:fldCharType="separate"/>
            </w:r>
            <w:r>
              <w:rPr>
                <w:noProof/>
                <w:webHidden/>
              </w:rPr>
              <w:t>19</w:t>
            </w:r>
            <w:r>
              <w:rPr>
                <w:noProof/>
                <w:webHidden/>
              </w:rPr>
              <w:fldChar w:fldCharType="end"/>
            </w:r>
          </w:hyperlink>
        </w:p>
        <w:p w14:paraId="6A3B9C67" w14:textId="641A7630" w:rsidR="00587469" w:rsidRDefault="00587469">
          <w:pPr>
            <w:pStyle w:val="Sommario2"/>
            <w:tabs>
              <w:tab w:val="left" w:pos="880"/>
              <w:tab w:val="right" w:leader="dot" w:pos="9628"/>
            </w:tabs>
            <w:rPr>
              <w:rFonts w:asciiTheme="minorHAnsi" w:hAnsiTheme="minorHAnsi"/>
              <w:noProof/>
              <w:sz w:val="22"/>
              <w:lang w:eastAsia="it-IT"/>
            </w:rPr>
          </w:pPr>
          <w:hyperlink w:anchor="_Toc59105949" w:history="1">
            <w:r w:rsidRPr="00116B61">
              <w:rPr>
                <w:rStyle w:val="Collegamentoipertestuale"/>
                <w:noProof/>
              </w:rPr>
              <w:t>3.1</w:t>
            </w:r>
            <w:r>
              <w:rPr>
                <w:rFonts w:asciiTheme="minorHAnsi" w:hAnsiTheme="minorHAnsi"/>
                <w:noProof/>
                <w:sz w:val="22"/>
                <w:lang w:eastAsia="it-IT"/>
              </w:rPr>
              <w:tab/>
            </w:r>
            <w:r w:rsidRPr="00116B61">
              <w:rPr>
                <w:rStyle w:val="Collegamentoipertestuale"/>
                <w:noProof/>
              </w:rPr>
              <w:t>Regressione lineare semplice</w:t>
            </w:r>
            <w:r>
              <w:rPr>
                <w:noProof/>
                <w:webHidden/>
              </w:rPr>
              <w:tab/>
            </w:r>
            <w:r>
              <w:rPr>
                <w:noProof/>
                <w:webHidden/>
              </w:rPr>
              <w:fldChar w:fldCharType="begin"/>
            </w:r>
            <w:r>
              <w:rPr>
                <w:noProof/>
                <w:webHidden/>
              </w:rPr>
              <w:instrText xml:space="preserve"> PAGEREF _Toc59105949 \h </w:instrText>
            </w:r>
            <w:r>
              <w:rPr>
                <w:noProof/>
                <w:webHidden/>
              </w:rPr>
            </w:r>
            <w:r>
              <w:rPr>
                <w:noProof/>
                <w:webHidden/>
              </w:rPr>
              <w:fldChar w:fldCharType="separate"/>
            </w:r>
            <w:r>
              <w:rPr>
                <w:noProof/>
                <w:webHidden/>
              </w:rPr>
              <w:t>19</w:t>
            </w:r>
            <w:r>
              <w:rPr>
                <w:noProof/>
                <w:webHidden/>
              </w:rPr>
              <w:fldChar w:fldCharType="end"/>
            </w:r>
          </w:hyperlink>
        </w:p>
        <w:p w14:paraId="0BEC1CAC" w14:textId="2261FAE8" w:rsidR="00587469" w:rsidRDefault="00587469">
          <w:pPr>
            <w:pStyle w:val="Sommario2"/>
            <w:tabs>
              <w:tab w:val="left" w:pos="880"/>
              <w:tab w:val="right" w:leader="dot" w:pos="9628"/>
            </w:tabs>
            <w:rPr>
              <w:rFonts w:asciiTheme="minorHAnsi" w:hAnsiTheme="minorHAnsi"/>
              <w:noProof/>
              <w:sz w:val="22"/>
              <w:lang w:eastAsia="it-IT"/>
            </w:rPr>
          </w:pPr>
          <w:hyperlink w:anchor="_Toc59105950" w:history="1">
            <w:r w:rsidRPr="00116B61">
              <w:rPr>
                <w:rStyle w:val="Collegamentoipertestuale"/>
                <w:noProof/>
              </w:rPr>
              <w:t>3.2</w:t>
            </w:r>
            <w:r>
              <w:rPr>
                <w:rFonts w:asciiTheme="minorHAnsi" w:hAnsiTheme="minorHAnsi"/>
                <w:noProof/>
                <w:sz w:val="22"/>
                <w:lang w:eastAsia="it-IT"/>
              </w:rPr>
              <w:tab/>
            </w:r>
            <w:r w:rsidRPr="00116B61">
              <w:rPr>
                <w:rStyle w:val="Collegamentoipertestuale"/>
                <w:noProof/>
              </w:rPr>
              <w:t>Regressione lineare multipla</w:t>
            </w:r>
            <w:r>
              <w:rPr>
                <w:noProof/>
                <w:webHidden/>
              </w:rPr>
              <w:tab/>
            </w:r>
            <w:r>
              <w:rPr>
                <w:noProof/>
                <w:webHidden/>
              </w:rPr>
              <w:fldChar w:fldCharType="begin"/>
            </w:r>
            <w:r>
              <w:rPr>
                <w:noProof/>
                <w:webHidden/>
              </w:rPr>
              <w:instrText xml:space="preserve"> PAGEREF _Toc59105950 \h </w:instrText>
            </w:r>
            <w:r>
              <w:rPr>
                <w:noProof/>
                <w:webHidden/>
              </w:rPr>
            </w:r>
            <w:r>
              <w:rPr>
                <w:noProof/>
                <w:webHidden/>
              </w:rPr>
              <w:fldChar w:fldCharType="separate"/>
            </w:r>
            <w:r>
              <w:rPr>
                <w:noProof/>
                <w:webHidden/>
              </w:rPr>
              <w:t>28</w:t>
            </w:r>
            <w:r>
              <w:rPr>
                <w:noProof/>
                <w:webHidden/>
              </w:rPr>
              <w:fldChar w:fldCharType="end"/>
            </w:r>
          </w:hyperlink>
        </w:p>
        <w:p w14:paraId="7C14B29F" w14:textId="57A74310" w:rsidR="00587469" w:rsidRDefault="00587469">
          <w:pPr>
            <w:pStyle w:val="Sommario1"/>
            <w:tabs>
              <w:tab w:val="left" w:pos="480"/>
              <w:tab w:val="right" w:leader="dot" w:pos="9628"/>
            </w:tabs>
            <w:rPr>
              <w:rFonts w:asciiTheme="minorHAnsi" w:hAnsiTheme="minorHAnsi"/>
              <w:noProof/>
              <w:sz w:val="22"/>
              <w:lang w:eastAsia="it-IT"/>
            </w:rPr>
          </w:pPr>
          <w:hyperlink w:anchor="_Toc59105951" w:history="1">
            <w:r w:rsidRPr="00116B61">
              <w:rPr>
                <w:rStyle w:val="Collegamentoipertestuale"/>
                <w:noProof/>
              </w:rPr>
              <w:t>4</w:t>
            </w:r>
            <w:r>
              <w:rPr>
                <w:rFonts w:asciiTheme="minorHAnsi" w:hAnsiTheme="minorHAnsi"/>
                <w:noProof/>
                <w:sz w:val="22"/>
                <w:lang w:eastAsia="it-IT"/>
              </w:rPr>
              <w:tab/>
            </w:r>
            <w:r w:rsidRPr="00116B61">
              <w:rPr>
                <w:rStyle w:val="Collegamentoipertestuale"/>
                <w:noProof/>
              </w:rPr>
              <w:t>Analisi dei cluster</w:t>
            </w:r>
            <w:r>
              <w:rPr>
                <w:noProof/>
                <w:webHidden/>
              </w:rPr>
              <w:tab/>
            </w:r>
            <w:r>
              <w:rPr>
                <w:noProof/>
                <w:webHidden/>
              </w:rPr>
              <w:fldChar w:fldCharType="begin"/>
            </w:r>
            <w:r>
              <w:rPr>
                <w:noProof/>
                <w:webHidden/>
              </w:rPr>
              <w:instrText xml:space="preserve"> PAGEREF _Toc59105951 \h </w:instrText>
            </w:r>
            <w:r>
              <w:rPr>
                <w:noProof/>
                <w:webHidden/>
              </w:rPr>
            </w:r>
            <w:r>
              <w:rPr>
                <w:noProof/>
                <w:webHidden/>
              </w:rPr>
              <w:fldChar w:fldCharType="separate"/>
            </w:r>
            <w:r>
              <w:rPr>
                <w:noProof/>
                <w:webHidden/>
              </w:rPr>
              <w:t>34</w:t>
            </w:r>
            <w:r>
              <w:rPr>
                <w:noProof/>
                <w:webHidden/>
              </w:rPr>
              <w:fldChar w:fldCharType="end"/>
            </w:r>
          </w:hyperlink>
        </w:p>
        <w:p w14:paraId="41156A2F" w14:textId="71898A61" w:rsidR="00587469" w:rsidRDefault="00587469">
          <w:pPr>
            <w:pStyle w:val="Sommario2"/>
            <w:tabs>
              <w:tab w:val="left" w:pos="880"/>
              <w:tab w:val="right" w:leader="dot" w:pos="9628"/>
            </w:tabs>
            <w:rPr>
              <w:rFonts w:asciiTheme="minorHAnsi" w:hAnsiTheme="minorHAnsi"/>
              <w:noProof/>
              <w:sz w:val="22"/>
              <w:lang w:eastAsia="it-IT"/>
            </w:rPr>
          </w:pPr>
          <w:hyperlink w:anchor="_Toc59105952" w:history="1">
            <w:r w:rsidRPr="00116B61">
              <w:rPr>
                <w:rStyle w:val="Collegamentoipertestuale"/>
                <w:noProof/>
              </w:rPr>
              <w:t>4.1</w:t>
            </w:r>
            <w:r>
              <w:rPr>
                <w:rFonts w:asciiTheme="minorHAnsi" w:hAnsiTheme="minorHAnsi"/>
                <w:noProof/>
                <w:sz w:val="22"/>
                <w:lang w:eastAsia="it-IT"/>
              </w:rPr>
              <w:tab/>
            </w:r>
            <w:r w:rsidRPr="00116B61">
              <w:rPr>
                <w:rStyle w:val="Collegamentoipertestuale"/>
                <w:noProof/>
              </w:rPr>
              <w:t>Metodi gerarchici</w:t>
            </w:r>
            <w:r>
              <w:rPr>
                <w:noProof/>
                <w:webHidden/>
              </w:rPr>
              <w:tab/>
            </w:r>
            <w:r>
              <w:rPr>
                <w:noProof/>
                <w:webHidden/>
              </w:rPr>
              <w:fldChar w:fldCharType="begin"/>
            </w:r>
            <w:r>
              <w:rPr>
                <w:noProof/>
                <w:webHidden/>
              </w:rPr>
              <w:instrText xml:space="preserve"> PAGEREF _Toc59105952 \h </w:instrText>
            </w:r>
            <w:r>
              <w:rPr>
                <w:noProof/>
                <w:webHidden/>
              </w:rPr>
            </w:r>
            <w:r>
              <w:rPr>
                <w:noProof/>
                <w:webHidden/>
              </w:rPr>
              <w:fldChar w:fldCharType="separate"/>
            </w:r>
            <w:r>
              <w:rPr>
                <w:noProof/>
                <w:webHidden/>
              </w:rPr>
              <w:t>37</w:t>
            </w:r>
            <w:r>
              <w:rPr>
                <w:noProof/>
                <w:webHidden/>
              </w:rPr>
              <w:fldChar w:fldCharType="end"/>
            </w:r>
          </w:hyperlink>
        </w:p>
        <w:p w14:paraId="6D97609E" w14:textId="58024CBC" w:rsidR="00587469" w:rsidRDefault="00587469">
          <w:pPr>
            <w:pStyle w:val="Sommario2"/>
            <w:tabs>
              <w:tab w:val="left" w:pos="880"/>
              <w:tab w:val="right" w:leader="dot" w:pos="9628"/>
            </w:tabs>
            <w:rPr>
              <w:rFonts w:asciiTheme="minorHAnsi" w:hAnsiTheme="minorHAnsi"/>
              <w:noProof/>
              <w:sz w:val="22"/>
              <w:lang w:eastAsia="it-IT"/>
            </w:rPr>
          </w:pPr>
          <w:hyperlink w:anchor="_Toc59105953" w:history="1">
            <w:r w:rsidRPr="00116B61">
              <w:rPr>
                <w:rStyle w:val="Collegamentoipertestuale"/>
                <w:noProof/>
              </w:rPr>
              <w:t>4.2</w:t>
            </w:r>
            <w:r>
              <w:rPr>
                <w:rFonts w:asciiTheme="minorHAnsi" w:hAnsiTheme="minorHAnsi"/>
                <w:noProof/>
                <w:sz w:val="22"/>
                <w:lang w:eastAsia="it-IT"/>
              </w:rPr>
              <w:tab/>
            </w:r>
            <w:r w:rsidRPr="00116B61">
              <w:rPr>
                <w:rStyle w:val="Collegamentoipertestuale"/>
                <w:noProof/>
              </w:rPr>
              <w:t>metodi non gerarchici</w:t>
            </w:r>
            <w:r>
              <w:rPr>
                <w:noProof/>
                <w:webHidden/>
              </w:rPr>
              <w:tab/>
            </w:r>
            <w:r>
              <w:rPr>
                <w:noProof/>
                <w:webHidden/>
              </w:rPr>
              <w:fldChar w:fldCharType="begin"/>
            </w:r>
            <w:r>
              <w:rPr>
                <w:noProof/>
                <w:webHidden/>
              </w:rPr>
              <w:instrText xml:space="preserve"> PAGEREF _Toc59105953 \h </w:instrText>
            </w:r>
            <w:r>
              <w:rPr>
                <w:noProof/>
                <w:webHidden/>
              </w:rPr>
            </w:r>
            <w:r>
              <w:rPr>
                <w:noProof/>
                <w:webHidden/>
              </w:rPr>
              <w:fldChar w:fldCharType="separate"/>
            </w:r>
            <w:r>
              <w:rPr>
                <w:noProof/>
                <w:webHidden/>
              </w:rPr>
              <w:t>45</w:t>
            </w:r>
            <w:r>
              <w:rPr>
                <w:noProof/>
                <w:webHidden/>
              </w:rPr>
              <w:fldChar w:fldCharType="end"/>
            </w:r>
          </w:hyperlink>
        </w:p>
        <w:p w14:paraId="63627B8B" w14:textId="0C8F5987" w:rsidR="00587469" w:rsidRDefault="00587469">
          <w:pPr>
            <w:pStyle w:val="Sommario2"/>
            <w:tabs>
              <w:tab w:val="left" w:pos="880"/>
              <w:tab w:val="right" w:leader="dot" w:pos="9628"/>
            </w:tabs>
            <w:rPr>
              <w:rFonts w:asciiTheme="minorHAnsi" w:hAnsiTheme="minorHAnsi"/>
              <w:noProof/>
              <w:sz w:val="22"/>
              <w:lang w:eastAsia="it-IT"/>
            </w:rPr>
          </w:pPr>
          <w:hyperlink w:anchor="_Toc59105954" w:history="1">
            <w:r w:rsidRPr="00116B61">
              <w:rPr>
                <w:rStyle w:val="Collegamentoipertestuale"/>
                <w:noProof/>
              </w:rPr>
              <w:t>4.3</w:t>
            </w:r>
            <w:r>
              <w:rPr>
                <w:rFonts w:asciiTheme="minorHAnsi" w:hAnsiTheme="minorHAnsi"/>
                <w:noProof/>
                <w:sz w:val="22"/>
                <w:lang w:eastAsia="it-IT"/>
              </w:rPr>
              <w:tab/>
            </w:r>
            <w:r w:rsidRPr="00116B61">
              <w:rPr>
                <w:rStyle w:val="Collegamentoipertestuale"/>
                <w:noProof/>
              </w:rPr>
              <w:t>Suddivisione con 3 cluster</w:t>
            </w:r>
            <w:r>
              <w:rPr>
                <w:noProof/>
                <w:webHidden/>
              </w:rPr>
              <w:tab/>
            </w:r>
            <w:r>
              <w:rPr>
                <w:noProof/>
                <w:webHidden/>
              </w:rPr>
              <w:fldChar w:fldCharType="begin"/>
            </w:r>
            <w:r>
              <w:rPr>
                <w:noProof/>
                <w:webHidden/>
              </w:rPr>
              <w:instrText xml:space="preserve"> PAGEREF _Toc59105954 \h </w:instrText>
            </w:r>
            <w:r>
              <w:rPr>
                <w:noProof/>
                <w:webHidden/>
              </w:rPr>
            </w:r>
            <w:r>
              <w:rPr>
                <w:noProof/>
                <w:webHidden/>
              </w:rPr>
              <w:fldChar w:fldCharType="separate"/>
            </w:r>
            <w:r>
              <w:rPr>
                <w:noProof/>
                <w:webHidden/>
              </w:rPr>
              <w:t>46</w:t>
            </w:r>
            <w:r>
              <w:rPr>
                <w:noProof/>
                <w:webHidden/>
              </w:rPr>
              <w:fldChar w:fldCharType="end"/>
            </w:r>
          </w:hyperlink>
        </w:p>
        <w:p w14:paraId="542A5DEF" w14:textId="42143ADF" w:rsidR="00587469" w:rsidRDefault="00587469">
          <w:pPr>
            <w:pStyle w:val="Sommario1"/>
            <w:tabs>
              <w:tab w:val="left" w:pos="480"/>
              <w:tab w:val="right" w:leader="dot" w:pos="9628"/>
            </w:tabs>
            <w:rPr>
              <w:rFonts w:asciiTheme="minorHAnsi" w:hAnsiTheme="minorHAnsi"/>
              <w:noProof/>
              <w:sz w:val="22"/>
              <w:lang w:eastAsia="it-IT"/>
            </w:rPr>
          </w:pPr>
          <w:hyperlink w:anchor="_Toc59105955" w:history="1">
            <w:r w:rsidRPr="00116B61">
              <w:rPr>
                <w:rStyle w:val="Collegamentoipertestuale"/>
                <w:noProof/>
              </w:rPr>
              <w:t>5</w:t>
            </w:r>
            <w:r>
              <w:rPr>
                <w:rFonts w:asciiTheme="minorHAnsi" w:hAnsiTheme="minorHAnsi"/>
                <w:noProof/>
                <w:sz w:val="22"/>
                <w:lang w:eastAsia="it-IT"/>
              </w:rPr>
              <w:tab/>
            </w:r>
            <w:r w:rsidRPr="00116B61">
              <w:rPr>
                <w:rStyle w:val="Collegamentoipertestuale"/>
                <w:noProof/>
              </w:rPr>
              <w:t>Bibliografia</w:t>
            </w:r>
            <w:r>
              <w:rPr>
                <w:noProof/>
                <w:webHidden/>
              </w:rPr>
              <w:tab/>
            </w:r>
            <w:r>
              <w:rPr>
                <w:noProof/>
                <w:webHidden/>
              </w:rPr>
              <w:fldChar w:fldCharType="begin"/>
            </w:r>
            <w:r>
              <w:rPr>
                <w:noProof/>
                <w:webHidden/>
              </w:rPr>
              <w:instrText xml:space="preserve"> PAGEREF _Toc59105955 \h </w:instrText>
            </w:r>
            <w:r>
              <w:rPr>
                <w:noProof/>
                <w:webHidden/>
              </w:rPr>
            </w:r>
            <w:r>
              <w:rPr>
                <w:noProof/>
                <w:webHidden/>
              </w:rPr>
              <w:fldChar w:fldCharType="separate"/>
            </w:r>
            <w:r>
              <w:rPr>
                <w:noProof/>
                <w:webHidden/>
              </w:rPr>
              <w:t>47</w:t>
            </w:r>
            <w:r>
              <w:rPr>
                <w:noProof/>
                <w:webHidden/>
              </w:rPr>
              <w:fldChar w:fldCharType="end"/>
            </w:r>
          </w:hyperlink>
        </w:p>
        <w:p w14:paraId="124191E8" w14:textId="78627CE0"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9105941"/>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9105942"/>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w:t>
      </w:r>
      <w:proofErr w:type="spellStart"/>
      <w:r>
        <w:t>lockdown</w:t>
      </w:r>
      <w:proofErr w:type="spellEnd"/>
      <w:r>
        <w:t xml:space="preserve">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 xml:space="preserve">nell’analisi statistica </w:t>
      </w:r>
      <w:proofErr w:type="spellStart"/>
      <w:r w:rsidR="00302799">
        <w:t>univariata</w:t>
      </w:r>
      <w:proofErr w:type="spellEnd"/>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9105943"/>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 xml:space="preserve">Di seguito vengono mostrati i due </w:t>
      </w:r>
      <w:proofErr w:type="spellStart"/>
      <w:r>
        <w:rPr>
          <w:rFonts w:eastAsiaTheme="majorEastAsia"/>
        </w:rPr>
        <w:t>b</w:t>
      </w:r>
      <w:r w:rsidR="00B55560">
        <w:rPr>
          <w:rFonts w:eastAsiaTheme="majorEastAsia"/>
        </w:rPr>
        <w:t>ar</w:t>
      </w:r>
      <w:r>
        <w:rPr>
          <w:rFonts w:eastAsiaTheme="majorEastAsia"/>
        </w:rPr>
        <w:t>plot</w:t>
      </w:r>
      <w:proofErr w:type="spellEnd"/>
      <w:r>
        <w:rPr>
          <w:rFonts w:eastAsiaTheme="majorEastAsia"/>
        </w:rPr>
        <w:t xml:space="preserve">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proofErr w:type="spellStart"/>
      <w:r w:rsidRPr="00775A59">
        <w:t>tableNaz</w:t>
      </w:r>
      <w:proofErr w:type="spellEnd"/>
      <w:r w:rsidRPr="00775A59">
        <w:t>&lt;-</w:t>
      </w:r>
      <w:proofErr w:type="spellStart"/>
      <w:proofErr w:type="gramStart"/>
      <w:r w:rsidRPr="00775A59">
        <w:t>table</w:t>
      </w:r>
      <w:proofErr w:type="spellEnd"/>
      <w:r w:rsidRPr="00775A59">
        <w:t>(</w:t>
      </w:r>
      <w:proofErr w:type="gramEnd"/>
      <w:r w:rsidRPr="00775A59">
        <w:t xml:space="preserve">c(rep("2013", </w:t>
      </w:r>
      <w:proofErr w:type="spellStart"/>
      <w:r w:rsidRPr="00775A59">
        <w:t>utenti_nazione</w:t>
      </w:r>
      <w:proofErr w:type="spellEnd"/>
      <w:r w:rsidRPr="00775A59">
        <w:t>[1]), rep("2014",utenti_nazione[2]), rep("2015",utenti_nazione[3]),</w:t>
      </w:r>
    </w:p>
    <w:p w14:paraId="794D3FE7" w14:textId="29AF4081" w:rsidR="00775A59" w:rsidRPr="00775A59" w:rsidRDefault="00775A59" w:rsidP="00775A59">
      <w:pPr>
        <w:pStyle w:val="Nessunaspaziatura"/>
        <w:ind w:left="2280"/>
      </w:pPr>
      <w:r w:rsidRPr="00775A59">
        <w:t>rep("2016</w:t>
      </w:r>
      <w:proofErr w:type="gramStart"/>
      <w:r w:rsidRPr="00775A59">
        <w:t>",utenti</w:t>
      </w:r>
      <w:proofErr w:type="gramEnd"/>
      <w:r w:rsidRPr="00775A59">
        <w:t>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w:t>
      </w:r>
      <w:proofErr w:type="gramStart"/>
      <w:r w:rsidRPr="00775A59">
        <w:t>",utenti</w:t>
      </w:r>
      <w:proofErr w:type="gramEnd"/>
      <w:r w:rsidRPr="00775A59">
        <w:t>_nazione[7]), rep("2020",utenti_nazione[8])))</w:t>
      </w:r>
    </w:p>
    <w:p w14:paraId="3A9C1C33" w14:textId="77777777" w:rsidR="00775A59" w:rsidRPr="00775A59" w:rsidRDefault="00775A59" w:rsidP="00775A59">
      <w:pPr>
        <w:pStyle w:val="Nessunaspaziatura"/>
      </w:pPr>
      <w:proofErr w:type="spellStart"/>
      <w:r w:rsidRPr="00775A59">
        <w:t>ord</w:t>
      </w:r>
      <w:proofErr w:type="spellEnd"/>
      <w:r w:rsidRPr="00775A59">
        <w:t>&lt;-</w:t>
      </w:r>
      <w:proofErr w:type="spellStart"/>
      <w:proofErr w:type="gramStart"/>
      <w:r w:rsidRPr="00775A59">
        <w:t>sort</w:t>
      </w:r>
      <w:proofErr w:type="spellEnd"/>
      <w:r w:rsidRPr="00775A59">
        <w:t>(</w:t>
      </w:r>
      <w:proofErr w:type="spellStart"/>
      <w:proofErr w:type="gramEnd"/>
      <w:r w:rsidRPr="00775A59">
        <w:t>tableNaz</w:t>
      </w:r>
      <w:proofErr w:type="spellEnd"/>
      <w:r w:rsidRPr="00775A59">
        <w:t xml:space="preserve">, </w:t>
      </w:r>
      <w:proofErr w:type="spellStart"/>
      <w:r w:rsidRPr="00775A59">
        <w:t>decreasing</w:t>
      </w:r>
      <w:proofErr w:type="spellEnd"/>
      <w:r w:rsidRPr="00775A59">
        <w:t xml:space="preserve"> = TRUE)</w:t>
      </w:r>
    </w:p>
    <w:p w14:paraId="11F2B0D0" w14:textId="77777777" w:rsidR="00775A59" w:rsidRPr="00775A59" w:rsidRDefault="00775A59" w:rsidP="00775A59">
      <w:pPr>
        <w:pStyle w:val="Nessunaspaziatura"/>
      </w:pPr>
      <w:proofErr w:type="spellStart"/>
      <w:r w:rsidRPr="00775A59">
        <w:t>propOrd</w:t>
      </w:r>
      <w:proofErr w:type="spellEnd"/>
      <w:r w:rsidRPr="00775A59">
        <w:t xml:space="preserve"> &lt;- </w:t>
      </w:r>
      <w:proofErr w:type="spellStart"/>
      <w:proofErr w:type="gramStart"/>
      <w:r w:rsidRPr="00775A59">
        <w:t>prop.table</w:t>
      </w:r>
      <w:proofErr w:type="spellEnd"/>
      <w:proofErr w:type="gramEnd"/>
      <w:r w:rsidRPr="00775A59">
        <w:t xml:space="preserve"> (</w:t>
      </w:r>
      <w:proofErr w:type="spellStart"/>
      <w:r w:rsidRPr="00775A59">
        <w:t>ord</w:t>
      </w:r>
      <w:proofErr w:type="spellEnd"/>
      <w:r w:rsidRPr="00775A59">
        <w:t>)</w:t>
      </w:r>
    </w:p>
    <w:p w14:paraId="2675DEB3" w14:textId="4872135B" w:rsidR="00775A59" w:rsidRPr="00775A59" w:rsidRDefault="00775A59" w:rsidP="00775A59">
      <w:pPr>
        <w:pStyle w:val="Nessunaspaziatura"/>
      </w:pPr>
      <w:r w:rsidRPr="00775A59">
        <w:t xml:space="preserve">x &lt;- </w:t>
      </w:r>
      <w:proofErr w:type="spellStart"/>
      <w:r w:rsidRPr="00775A59">
        <w:t>barplot</w:t>
      </w:r>
      <w:proofErr w:type="spellEnd"/>
      <w:r w:rsidRPr="00775A59">
        <w:t xml:space="preserve"> (</w:t>
      </w:r>
      <w:proofErr w:type="spellStart"/>
      <w:proofErr w:type="gramStart"/>
      <w:r w:rsidRPr="00775A59">
        <w:t>propOrd</w:t>
      </w:r>
      <w:proofErr w:type="spellEnd"/>
      <w:r w:rsidRPr="00775A59">
        <w:t xml:space="preserve"> ,</w:t>
      </w:r>
      <w:proofErr w:type="gramEnd"/>
      <w:r w:rsidRPr="00775A59">
        <w:t xml:space="preserve"> </w:t>
      </w:r>
      <w:proofErr w:type="spellStart"/>
      <w:r w:rsidRPr="00775A59">
        <w:t>ylim</w:t>
      </w:r>
      <w:proofErr w:type="spellEnd"/>
      <w:r w:rsidRPr="00775A59">
        <w:t xml:space="preserve"> = c(0, 1.05) , </w:t>
      </w:r>
      <w:proofErr w:type="spellStart"/>
      <w:r w:rsidRPr="00775A59">
        <w:t>main</w:t>
      </w:r>
      <w:proofErr w:type="spellEnd"/>
      <w:r w:rsidRPr="00775A59">
        <w:t xml:space="preserve"> = "Diagramma di Pareto</w:t>
      </w:r>
      <w:r>
        <w:t xml:space="preserve"> </w:t>
      </w:r>
      <w:r w:rsidRPr="00775A59">
        <w:t xml:space="preserve">Italia", col =1:8 , </w:t>
      </w:r>
      <w:proofErr w:type="spellStart"/>
      <w:r w:rsidRPr="00775A59">
        <w:t>las</w:t>
      </w:r>
      <w:proofErr w:type="spellEnd"/>
      <w:r w:rsidRPr="00775A59">
        <w:t xml:space="preserve"> =2)</w:t>
      </w:r>
    </w:p>
    <w:p w14:paraId="12ED4947" w14:textId="61C0EBF1" w:rsidR="00775A59" w:rsidRPr="00775A59" w:rsidRDefault="00775A59" w:rsidP="00775A59">
      <w:pPr>
        <w:pStyle w:val="Nessunaspaziatura"/>
      </w:pPr>
      <w:proofErr w:type="gramStart"/>
      <w:r w:rsidRPr="00775A59">
        <w:t>lines(</w:t>
      </w:r>
      <w:proofErr w:type="gramEnd"/>
      <w:r w:rsidRPr="00775A59">
        <w:t xml:space="preserve">x, </w:t>
      </w:r>
      <w:proofErr w:type="spellStart"/>
      <w:r w:rsidRPr="00775A59">
        <w:t>cumsum</w:t>
      </w:r>
      <w:proofErr w:type="spellEnd"/>
      <w:r w:rsidRPr="00775A59">
        <w:t>(</w:t>
      </w:r>
      <w:proofErr w:type="spellStart"/>
      <w:r w:rsidRPr="00775A59">
        <w:t>propOrd</w:t>
      </w:r>
      <w:proofErr w:type="spellEnd"/>
      <w:r w:rsidRPr="00775A59">
        <w:t xml:space="preserve">), </w:t>
      </w:r>
      <w:proofErr w:type="spellStart"/>
      <w:r w:rsidRPr="00775A59">
        <w:t>type</w:t>
      </w:r>
      <w:proofErr w:type="spellEnd"/>
      <w:r w:rsidRPr="00775A59">
        <w:t xml:space="preserve"> = "b", </w:t>
      </w:r>
      <w:proofErr w:type="spellStart"/>
      <w:r w:rsidRPr="00775A59">
        <w:t>pch</w:t>
      </w:r>
      <w:proofErr w:type="spellEnd"/>
      <w:r w:rsidRPr="00775A59">
        <w:t xml:space="preserve"> = 16)</w:t>
      </w:r>
    </w:p>
    <w:p w14:paraId="30060A7C" w14:textId="53060A43" w:rsidR="00775A59" w:rsidRDefault="00775A59" w:rsidP="00775A59">
      <w:pPr>
        <w:pStyle w:val="Nessunaspaziatura"/>
      </w:pPr>
      <w:proofErr w:type="gramStart"/>
      <w:r w:rsidRPr="00775A59">
        <w:t>text(</w:t>
      </w:r>
      <w:proofErr w:type="gramEnd"/>
      <w:r w:rsidRPr="00775A59">
        <w:t xml:space="preserve">x - 0.2, </w:t>
      </w:r>
      <w:proofErr w:type="spellStart"/>
      <w:r w:rsidRPr="00775A59">
        <w:t>cumsum</w:t>
      </w:r>
      <w:proofErr w:type="spellEnd"/>
      <w:r w:rsidR="004A1AE7">
        <w:t xml:space="preserve"> </w:t>
      </w:r>
      <w:r w:rsidRPr="00775A59">
        <w:t>(</w:t>
      </w:r>
      <w:proofErr w:type="spellStart"/>
      <w:r w:rsidRPr="00775A59">
        <w:t>propOrd</w:t>
      </w:r>
      <w:proofErr w:type="spellEnd"/>
      <w:r w:rsidRPr="00775A59">
        <w:t>) + 0.03 , paste (format(</w:t>
      </w:r>
      <w:proofErr w:type="spellStart"/>
      <w:r w:rsidRPr="00775A59">
        <w:t>cumsum</w:t>
      </w:r>
      <w:proofErr w:type="spellEnd"/>
      <w:r w:rsidRPr="00775A59">
        <w:t>(</w:t>
      </w:r>
      <w:proofErr w:type="spellStart"/>
      <w:r w:rsidRPr="00775A59">
        <w:t>propOrd</w:t>
      </w:r>
      <w:proofErr w:type="spellEnd"/>
      <w:r w:rsidRPr="00775A59">
        <w:t xml:space="preserve">) * 100, </w:t>
      </w:r>
      <w:proofErr w:type="spellStart"/>
      <w:r w:rsidRPr="00775A59">
        <w:t>digits</w:t>
      </w:r>
      <w:proofErr w:type="spellEnd"/>
      <w:r w:rsidRPr="00775A59">
        <w:t xml:space="preserve">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51072"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54144"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9105944"/>
      <w:r>
        <w:lastRenderedPageBreak/>
        <w:t xml:space="preserve">Statistica descrittiva </w:t>
      </w:r>
      <w:proofErr w:type="spellStart"/>
      <w:r>
        <w:t>univariata</w:t>
      </w:r>
      <w:bookmarkEnd w:id="4"/>
      <w:proofErr w:type="spellEnd"/>
    </w:p>
    <w:p w14:paraId="7EDF3EC8" w14:textId="5ED07425" w:rsidR="00724F44" w:rsidRDefault="00F22300" w:rsidP="00724F44">
      <w:r>
        <w:t xml:space="preserve">In questo capitolo verranno mostrati i risultati relativi all’analisi statistica </w:t>
      </w:r>
      <w:proofErr w:type="spellStart"/>
      <w:r>
        <w:t>univariata</w:t>
      </w:r>
      <w:proofErr w:type="spellEnd"/>
      <w:r>
        <w:t xml:space="preserve">.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w:t>
      </w:r>
      <w:proofErr w:type="spellStart"/>
      <w:r>
        <w:t>skewness</w:t>
      </w:r>
      <w:proofErr w:type="spellEnd"/>
      <w:r>
        <w:t xml:space="preserve">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9105945"/>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xml:space="preserve">), … </w:t>
      </w:r>
      <w:proofErr w:type="spellStart"/>
      <w:r>
        <w:t>C</w:t>
      </w:r>
      <w:r>
        <w:rPr>
          <w:vertAlign w:val="subscript"/>
        </w:rPr>
        <w:t>k</w:t>
      </w:r>
      <w:proofErr w:type="spellEnd"/>
      <w:proofErr w:type="gramStart"/>
      <w:r>
        <w:t>=[</w:t>
      </w:r>
      <w:proofErr w:type="gramEnd"/>
      <w:r w:rsidR="00822073">
        <w:t>z</w:t>
      </w:r>
      <w:r w:rsidR="00822073">
        <w:rPr>
          <w:vertAlign w:val="subscript"/>
        </w:rPr>
        <w:t>k-1</w:t>
      </w:r>
      <w:r>
        <w:t>,</w:t>
      </w:r>
      <w:r w:rsidR="00822073">
        <w:t xml:space="preserve"> </w:t>
      </w:r>
      <w:proofErr w:type="spellStart"/>
      <w:r w:rsidR="00822073">
        <w:t>z</w:t>
      </w:r>
      <w:r w:rsidR="00822073">
        <w:rPr>
          <w:vertAlign w:val="subscript"/>
        </w:rPr>
        <w:t>k</w:t>
      </w:r>
      <w:proofErr w:type="spellEnd"/>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 xml:space="preserve">&lt; </w:t>
      </w:r>
      <w:proofErr w:type="spellStart"/>
      <w:r w:rsidR="006506A8">
        <w:t>z</w:t>
      </w:r>
      <w:r w:rsidR="006506A8">
        <w:rPr>
          <w:vertAlign w:val="subscript"/>
        </w:rPr>
        <w:t>k</w:t>
      </w:r>
      <w:proofErr w:type="spellEnd"/>
      <w:r w:rsidR="006506A8">
        <w:rPr>
          <w:vertAlign w:val="subscript"/>
        </w:rPr>
        <w:t xml:space="preserve">, </w:t>
      </w:r>
      <w:r w:rsidR="006506A8">
        <w:t>dove z</w:t>
      </w:r>
      <w:r w:rsidR="006506A8">
        <w:rPr>
          <w:vertAlign w:val="subscript"/>
        </w:rPr>
        <w:t xml:space="preserve">0 </w:t>
      </w:r>
      <w:r w:rsidR="006506A8">
        <w:t xml:space="preserve">corrisponde al minimo delle osservazioni e </w:t>
      </w:r>
      <w:proofErr w:type="spellStart"/>
      <w:r w:rsidR="006506A8">
        <w:t>z</w:t>
      </w:r>
      <w:r w:rsidR="006506A8">
        <w:rPr>
          <w:vertAlign w:val="subscript"/>
        </w:rPr>
        <w:t>k</w:t>
      </w:r>
      <w:proofErr w:type="spellEnd"/>
      <w:r w:rsidR="006506A8">
        <w:rPr>
          <w:vertAlign w:val="subscript"/>
        </w:rPr>
        <w:t xml:space="preserve">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proofErr w:type="spellStart"/>
      <w:r>
        <w:t>minOsservazione</w:t>
      </w:r>
      <w:proofErr w:type="spellEnd"/>
      <w:r>
        <w:t xml:space="preserve"> = </w:t>
      </w:r>
      <w:proofErr w:type="spellStart"/>
      <w:r>
        <w:t>min</w:t>
      </w:r>
      <w:proofErr w:type="spellEnd"/>
      <w:r>
        <w:t>(</w:t>
      </w:r>
      <w:proofErr w:type="spellStart"/>
      <w:r>
        <w:t>utenti_campania</w:t>
      </w:r>
      <w:proofErr w:type="spellEnd"/>
      <w:r>
        <w:t>)</w:t>
      </w:r>
    </w:p>
    <w:p w14:paraId="652A6A9B" w14:textId="77777777" w:rsidR="00D04108" w:rsidRDefault="00D04108" w:rsidP="00D04108">
      <w:pPr>
        <w:pStyle w:val="Nessunaspaziatura"/>
      </w:pPr>
      <w:proofErr w:type="spellStart"/>
      <w:r>
        <w:t>maxOsservazione</w:t>
      </w:r>
      <w:proofErr w:type="spellEnd"/>
      <w:r>
        <w:t xml:space="preserve"> = max(</w:t>
      </w:r>
      <w:proofErr w:type="spellStart"/>
      <w:r>
        <w:t>utenti_campania</w:t>
      </w:r>
      <w:proofErr w:type="spellEnd"/>
      <w:r>
        <w:t>)</w:t>
      </w:r>
    </w:p>
    <w:p w14:paraId="2748A8E2" w14:textId="77777777" w:rsidR="00D04108" w:rsidRDefault="00D04108" w:rsidP="00D04108">
      <w:pPr>
        <w:pStyle w:val="Nessunaspaziatura"/>
      </w:pPr>
      <w:r>
        <w:t>frequenza&lt;-</w:t>
      </w:r>
      <w:proofErr w:type="spellStart"/>
      <w:r>
        <w:t>table</w:t>
      </w:r>
      <w:proofErr w:type="spellEnd"/>
      <w:r>
        <w:t>(</w:t>
      </w:r>
      <w:proofErr w:type="spellStart"/>
      <w:r>
        <w:t>utenti_</w:t>
      </w:r>
      <w:proofErr w:type="gramStart"/>
      <w:r>
        <w:t>campania</w:t>
      </w:r>
      <w:proofErr w:type="spellEnd"/>
      <w:r>
        <w:t>)/</w:t>
      </w:r>
      <w:proofErr w:type="spellStart"/>
      <w:proofErr w:type="gramEnd"/>
      <w:r>
        <w:t>length</w:t>
      </w:r>
      <w:proofErr w:type="spellEnd"/>
      <w:r>
        <w:t>(</w:t>
      </w:r>
      <w:proofErr w:type="spellStart"/>
      <w:r>
        <w:t>utenti_campania</w:t>
      </w:r>
      <w:proofErr w:type="spellEnd"/>
      <w:r>
        <w:t>)</w:t>
      </w:r>
    </w:p>
    <w:p w14:paraId="2983A126" w14:textId="77777777" w:rsidR="00D04108" w:rsidRDefault="00D04108" w:rsidP="00D04108">
      <w:pPr>
        <w:pStyle w:val="Nessunaspaziatura"/>
      </w:pPr>
      <w:proofErr w:type="spellStart"/>
      <w:r>
        <w:t>lung</w:t>
      </w:r>
      <w:proofErr w:type="spellEnd"/>
      <w:r>
        <w:t>&lt;-</w:t>
      </w:r>
      <w:proofErr w:type="spellStart"/>
      <w:r>
        <w:t>length</w:t>
      </w:r>
      <w:proofErr w:type="spellEnd"/>
      <w:r>
        <w:t>(frequenza)</w:t>
      </w:r>
    </w:p>
    <w:p w14:paraId="39C9E760" w14:textId="77777777" w:rsidR="00D04108" w:rsidRDefault="00D04108" w:rsidP="00D04108">
      <w:pPr>
        <w:pStyle w:val="Nessunaspaziatura"/>
      </w:pPr>
      <w:r>
        <w:t>classe&lt;-round((</w:t>
      </w:r>
      <w:proofErr w:type="spellStart"/>
      <w:r>
        <w:t>maxOsservazione-</w:t>
      </w:r>
      <w:proofErr w:type="gramStart"/>
      <w:r>
        <w:t>minOsservazione</w:t>
      </w:r>
      <w:proofErr w:type="spellEnd"/>
      <w:r>
        <w:t>)/</w:t>
      </w:r>
      <w:proofErr w:type="gramEnd"/>
      <w:r>
        <w:t xml:space="preserve">3, </w:t>
      </w:r>
      <w:proofErr w:type="spellStart"/>
      <w:r>
        <w:t>digits</w:t>
      </w:r>
      <w:proofErr w:type="spellEnd"/>
      <w:r>
        <w:t>=0)</w:t>
      </w:r>
    </w:p>
    <w:p w14:paraId="11BE2D09" w14:textId="77777777" w:rsidR="00D04108" w:rsidRDefault="00D04108" w:rsidP="00D04108">
      <w:pPr>
        <w:pStyle w:val="Nessunaspaziatura"/>
      </w:pPr>
      <w:r>
        <w:t>classi&lt;-</w:t>
      </w:r>
      <w:proofErr w:type="gramStart"/>
      <w:r>
        <w:t>c(</w:t>
      </w:r>
      <w:proofErr w:type="spellStart"/>
      <w:proofErr w:type="gramEnd"/>
      <w:r>
        <w:t>minOsservazione</w:t>
      </w:r>
      <w:proofErr w:type="spellEnd"/>
      <w:r>
        <w:t xml:space="preserve">, </w:t>
      </w:r>
      <w:proofErr w:type="spellStart"/>
      <w:r>
        <w:t>minOsservazione+classe</w:t>
      </w:r>
      <w:proofErr w:type="spellEnd"/>
      <w:r>
        <w:t xml:space="preserve">, minOsservazione+2*classe, </w:t>
      </w:r>
      <w:proofErr w:type="spellStart"/>
      <w:r>
        <w:t>maxOsservazione</w:t>
      </w:r>
      <w:proofErr w:type="spellEnd"/>
      <w:r>
        <w:t>)</w:t>
      </w:r>
    </w:p>
    <w:p w14:paraId="47D27FF8" w14:textId="77777777" w:rsidR="00D04108" w:rsidRDefault="00D04108" w:rsidP="00D04108">
      <w:pPr>
        <w:pStyle w:val="Nessunaspaziatura"/>
      </w:pPr>
      <w:proofErr w:type="spellStart"/>
      <w:r>
        <w:t>frelclassi</w:t>
      </w:r>
      <w:proofErr w:type="spellEnd"/>
      <w:r>
        <w:t xml:space="preserve"> &lt;-</w:t>
      </w:r>
      <w:proofErr w:type="spellStart"/>
      <w:r>
        <w:t>table</w:t>
      </w:r>
      <w:proofErr w:type="spellEnd"/>
      <w:r>
        <w:t xml:space="preserve"> (</w:t>
      </w:r>
      <w:proofErr w:type="spellStart"/>
      <w:r>
        <w:t>cut</w:t>
      </w:r>
      <w:proofErr w:type="spellEnd"/>
      <w:r>
        <w:t xml:space="preserve"> (</w:t>
      </w:r>
      <w:proofErr w:type="spellStart"/>
      <w:r>
        <w:t>utenti_campania</w:t>
      </w:r>
      <w:proofErr w:type="spellEnd"/>
      <w:r>
        <w:t xml:space="preserve">, breaks = </w:t>
      </w:r>
      <w:proofErr w:type="spellStart"/>
      <w:proofErr w:type="gramStart"/>
      <w:r>
        <w:t>classi,right</w:t>
      </w:r>
      <w:proofErr w:type="spellEnd"/>
      <w:proofErr w:type="gramEnd"/>
      <w:r>
        <w:t xml:space="preserve"> = FALSE ))/ </w:t>
      </w:r>
      <w:proofErr w:type="spellStart"/>
      <w:r>
        <w:t>length</w:t>
      </w:r>
      <w:proofErr w:type="spellEnd"/>
      <w:r>
        <w:t xml:space="preserve"> (</w:t>
      </w:r>
      <w:proofErr w:type="spellStart"/>
      <w:r>
        <w:t>utenti_campania</w:t>
      </w:r>
      <w:proofErr w:type="spellEnd"/>
      <w:r>
        <w:t>)</w:t>
      </w:r>
    </w:p>
    <w:p w14:paraId="718434CB" w14:textId="77777777" w:rsidR="00D04108" w:rsidRDefault="00D04108" w:rsidP="00D04108">
      <w:pPr>
        <w:pStyle w:val="Nessunaspaziatura"/>
      </w:pPr>
      <w:proofErr w:type="spellStart"/>
      <w:r>
        <w:t>Fcum</w:t>
      </w:r>
      <w:proofErr w:type="spellEnd"/>
      <w:r>
        <w:t xml:space="preserve"> &lt;-</w:t>
      </w:r>
      <w:proofErr w:type="spellStart"/>
      <w:r>
        <w:t>cumsum</w:t>
      </w:r>
      <w:proofErr w:type="spellEnd"/>
      <w:r>
        <w:t xml:space="preserve"> (</w:t>
      </w:r>
      <w:proofErr w:type="spellStart"/>
      <w:r>
        <w:t>frelclassi</w:t>
      </w:r>
      <w:proofErr w:type="spellEnd"/>
      <w:r>
        <w:t>)</w:t>
      </w:r>
    </w:p>
    <w:p w14:paraId="3DCADBEB" w14:textId="77EA3891" w:rsidR="00D04108" w:rsidRDefault="00D04108" w:rsidP="00D04108">
      <w:pPr>
        <w:pStyle w:val="Nessunaspaziatura"/>
      </w:pPr>
      <w:proofErr w:type="spellStart"/>
      <w:r>
        <w:t>Fcum</w:t>
      </w:r>
      <w:proofErr w:type="spellEnd"/>
      <w:r>
        <w:t>[</w:t>
      </w:r>
      <w:proofErr w:type="gramStart"/>
      <w:r>
        <w:t>3]&lt;</w:t>
      </w:r>
      <w:proofErr w:type="gramEnd"/>
      <w:r>
        <w:t>-</w:t>
      </w:r>
      <w:proofErr w:type="spellStart"/>
      <w:r>
        <w:t>Fcum</w:t>
      </w:r>
      <w:proofErr w:type="spellEnd"/>
      <w:r>
        <w:t>[3]+frequenza[</w:t>
      </w:r>
      <w:proofErr w:type="spellStart"/>
      <w:r>
        <w:t>lung</w:t>
      </w:r>
      <w:proofErr w:type="spellEnd"/>
      <w:r>
        <w:t>]</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w:t>
      </w:r>
      <w:proofErr w:type="gramStart"/>
      <w:r>
        <w:t>c(</w:t>
      </w:r>
      <w:proofErr w:type="gramEnd"/>
      <w:r>
        <w:t>0, classi, maxOsservazione+100)</w:t>
      </w:r>
    </w:p>
    <w:p w14:paraId="2AC74F75" w14:textId="77777777" w:rsidR="00A235C8" w:rsidRDefault="00A235C8" w:rsidP="00A235C8">
      <w:pPr>
        <w:pStyle w:val="Nessunaspaziatura"/>
      </w:pPr>
      <w:r>
        <w:t>ordinate &lt;-</w:t>
      </w:r>
      <w:proofErr w:type="gramStart"/>
      <w:r>
        <w:t>c(</w:t>
      </w:r>
      <w:proofErr w:type="gramEnd"/>
      <w:r>
        <w:t xml:space="preserve">0, 0, </w:t>
      </w:r>
      <w:proofErr w:type="spellStart"/>
      <w:r>
        <w:t>FcumI</w:t>
      </w:r>
      <w:proofErr w:type="spellEnd"/>
      <w:r>
        <w:t xml:space="preserve"> [1:3] ,1)</w:t>
      </w:r>
    </w:p>
    <w:p w14:paraId="3B400E86" w14:textId="77777777" w:rsidR="00A235C8" w:rsidRDefault="00A235C8" w:rsidP="00A235C8">
      <w:pPr>
        <w:pStyle w:val="Nessunaspaziatura"/>
      </w:pPr>
      <w:proofErr w:type="gramStart"/>
      <w:r>
        <w:t>plot(</w:t>
      </w:r>
      <w:proofErr w:type="gramEnd"/>
      <w:r>
        <w:t xml:space="preserve">ascisse , ordinate , </w:t>
      </w:r>
      <w:proofErr w:type="spellStart"/>
      <w:r>
        <w:t>type</w:t>
      </w:r>
      <w:proofErr w:type="spellEnd"/>
      <w:r>
        <w:t xml:space="preserve"> = "b", </w:t>
      </w:r>
      <w:proofErr w:type="spellStart"/>
      <w:r>
        <w:t>axes</w:t>
      </w:r>
      <w:proofErr w:type="spellEnd"/>
      <w:r>
        <w:t xml:space="preserve"> = FALSE , </w:t>
      </w:r>
      <w:proofErr w:type="spellStart"/>
      <w:r>
        <w:t>main</w:t>
      </w:r>
      <w:proofErr w:type="spellEnd"/>
      <w:r>
        <w:t xml:space="preserve"> = "</w:t>
      </w:r>
    </w:p>
    <w:p w14:paraId="237A0E69" w14:textId="47ED2A2D" w:rsidR="00A235C8" w:rsidRDefault="00A235C8" w:rsidP="00A235C8">
      <w:pPr>
        <w:pStyle w:val="Nessunaspaziatura"/>
      </w:pPr>
      <w:r>
        <w:t xml:space="preserve">Funzione di distribuzione empirica continua Campania", col =" red </w:t>
      </w:r>
      <w:proofErr w:type="gramStart"/>
      <w:r>
        <w:t>",</w:t>
      </w:r>
      <w:proofErr w:type="spellStart"/>
      <w:r>
        <w:t>ylim</w:t>
      </w:r>
      <w:proofErr w:type="spellEnd"/>
      <w:proofErr w:type="gramEnd"/>
      <w:r>
        <w:t>=c(0 ,1) ,</w:t>
      </w:r>
      <w:proofErr w:type="spellStart"/>
      <w:r>
        <w:t>xlab</w:t>
      </w:r>
      <w:proofErr w:type="spellEnd"/>
      <w:r>
        <w:t>="x",</w:t>
      </w:r>
      <w:proofErr w:type="spellStart"/>
      <w:r>
        <w:t>ylab</w:t>
      </w:r>
      <w:proofErr w:type="spellEnd"/>
      <w:r>
        <w:t>="F(x)")</w:t>
      </w:r>
    </w:p>
    <w:p w14:paraId="1C87A2EB" w14:textId="77777777" w:rsidR="00A235C8" w:rsidRDefault="00A235C8" w:rsidP="00A235C8">
      <w:pPr>
        <w:pStyle w:val="Nessunaspaziatura"/>
      </w:pPr>
      <w:proofErr w:type="spellStart"/>
      <w:r>
        <w:t>axis</w:t>
      </w:r>
      <w:proofErr w:type="spellEnd"/>
      <w:r>
        <w:t xml:space="preserve"> (1, </w:t>
      </w:r>
      <w:proofErr w:type="gramStart"/>
      <w:r>
        <w:t>format(</w:t>
      </w:r>
      <w:proofErr w:type="gramEnd"/>
      <w:r>
        <w:t xml:space="preserve">ascisse, </w:t>
      </w:r>
      <w:proofErr w:type="spellStart"/>
      <w:r>
        <w:t>digits</w:t>
      </w:r>
      <w:proofErr w:type="spellEnd"/>
      <w:r>
        <w:t>=2))</w:t>
      </w:r>
    </w:p>
    <w:p w14:paraId="1A81E3DF" w14:textId="77777777" w:rsidR="00A235C8" w:rsidRDefault="00A235C8" w:rsidP="00A235C8">
      <w:pPr>
        <w:pStyle w:val="Nessunaspaziatura"/>
      </w:pPr>
      <w:proofErr w:type="spellStart"/>
      <w:r>
        <w:t>axis</w:t>
      </w:r>
      <w:proofErr w:type="spellEnd"/>
      <w:r>
        <w:t xml:space="preserve"> (2, </w:t>
      </w:r>
      <w:proofErr w:type="gramStart"/>
      <w:r>
        <w:t>format(</w:t>
      </w:r>
      <w:proofErr w:type="spellStart"/>
      <w:proofErr w:type="gramEnd"/>
      <w:r>
        <w:t>FcumI</w:t>
      </w:r>
      <w:proofErr w:type="spellEnd"/>
      <w:r>
        <w:t xml:space="preserve">, </w:t>
      </w:r>
      <w:proofErr w:type="spellStart"/>
      <w:r>
        <w:t>digits</w:t>
      </w:r>
      <w:proofErr w:type="spellEnd"/>
      <w:r>
        <w:t>=2))</w:t>
      </w:r>
    </w:p>
    <w:p w14:paraId="4392BCE4" w14:textId="6EBE3140" w:rsidR="00A235C8" w:rsidRDefault="00A235C8" w:rsidP="00A235C8">
      <w:pPr>
        <w:pStyle w:val="Nessunaspaziatura"/>
      </w:pPr>
      <w:proofErr w:type="gramStart"/>
      <w:r>
        <w:t>box(</w:t>
      </w:r>
      <w:proofErr w:type="gramEnd"/>
      <w:r>
        <w:t>)</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B957746" w:rsidR="00A235C8" w:rsidRDefault="00A235C8" w:rsidP="0099350A">
      <w:r>
        <w:rPr>
          <w:noProof/>
          <w:lang w:eastAsia="it-IT"/>
        </w:rPr>
        <w:t>Dai grafici si può notare che avendo diviso i dati in 3 classi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68008403" w:rsidR="002743EC" w:rsidRDefault="002743EC" w:rsidP="002743EC">
      <w:pPr>
        <w:pStyle w:val="Titolo2"/>
      </w:pPr>
      <w:bookmarkStart w:id="6" w:name="_Toc59105946"/>
      <w:r>
        <w:t>Indici di sintesi</w:t>
      </w:r>
      <w:bookmarkEnd w:id="6"/>
    </w:p>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59C3F785" w14:textId="4A23C753" w:rsidR="00B32B0A" w:rsidRDefault="00B32B0A" w:rsidP="0052139E">
      <w:r>
        <w:t>Supponiamo di avere un insieme,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79563802" w14:textId="097412C3" w:rsidR="00E72C26" w:rsidRDefault="00E72C26" w:rsidP="00E72C26">
      <w:pPr>
        <w:rPr>
          <w:shd w:val="clear" w:color="auto" w:fill="FFFFFF"/>
        </w:rPr>
      </w:pPr>
      <w:r>
        <w:rPr>
          <w:shd w:val="clear" w:color="auto" w:fill="FFFFFF"/>
        </w:rPr>
        <w:t>Dato un campione di dati ordinato in maniera crescente, si definisce la </w:t>
      </w:r>
      <w:r>
        <w:rPr>
          <w:b/>
          <w:bCs/>
          <w:shd w:val="clear" w:color="auto" w:fill="FFFFFF"/>
        </w:rPr>
        <w:t>mediana</w:t>
      </w:r>
      <w:r>
        <w:rPr>
          <w:shd w:val="clear" w:color="auto" w:fill="FFFFFF"/>
        </w:rPr>
        <w:t> (o </w:t>
      </w:r>
      <w:r>
        <w:rPr>
          <w:b/>
          <w:bCs/>
          <w:shd w:val="clear" w:color="auto" w:fill="FFFFFF"/>
        </w:rPr>
        <w:t>valore mediano</w:t>
      </w:r>
      <w:r>
        <w:rPr>
          <w:shd w:val="clear" w:color="auto" w:fill="FFFFFF"/>
        </w:rPr>
        <w:t>) come il valore/modalità assunto dalle unità statistiche che si trovano nel mezzo della distribuzione. Se n è dispari, la mediana sarà il valore in posizione (n+</w:t>
      </w:r>
      <w:proofErr w:type="gramStart"/>
      <w:r>
        <w:rPr>
          <w:shd w:val="clear" w:color="auto" w:fill="FFFFFF"/>
        </w:rPr>
        <w:t>1)/</w:t>
      </w:r>
      <w:proofErr w:type="gramEnd"/>
      <w:r>
        <w:rPr>
          <w:shd w:val="clear" w:color="auto" w:fill="FFFFFF"/>
        </w:rPr>
        <w:t xml:space="preserve">2; se n è pari la mediana </w:t>
      </w:r>
      <w:r>
        <w:rPr>
          <w:shd w:val="clear" w:color="auto" w:fill="FFFFFF"/>
        </w:rPr>
        <w:lastRenderedPageBreak/>
        <w:t>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4FB28D04" w14:textId="720B087A" w:rsidR="008F0595" w:rsidRDefault="008F0595" w:rsidP="008F0595">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w:t>
      </w:r>
      <w:r w:rsidR="00D8215A">
        <w:t xml:space="preserve"> Se si hanno insieme di dati raggruppati in classi, la classe a cui è associata la frequenza più alta viene detta classe modale.</w:t>
      </w:r>
    </w:p>
    <w:p w14:paraId="08649341" w14:textId="5C1E6C37" w:rsidR="008F0595" w:rsidRDefault="008F0595" w:rsidP="00E72C26"/>
    <w:p w14:paraId="25AD3B92" w14:textId="1A0B08BE" w:rsidR="00E0798D" w:rsidRDefault="00E0798D" w:rsidP="00E0798D">
      <w:r>
        <w:t xml:space="preserve">Nel grafico seguente vengono mostrate le due curve relative ai dati che si stanno analizzando. </w:t>
      </w:r>
    </w:p>
    <w:p w14:paraId="01D304DE" w14:textId="053415A9" w:rsidR="00E0798D" w:rsidRDefault="00E0798D" w:rsidP="00E0798D">
      <w:r>
        <w:rPr>
          <w:noProof/>
          <w:lang w:eastAsia="it-IT"/>
        </w:rPr>
        <w:drawing>
          <wp:inline distT="0" distB="0" distL="0" distR="0" wp14:anchorId="09F11F9D" wp14:editId="33338283">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50761120" w14:textId="08B9C1A1" w:rsidR="00D56F89" w:rsidRDefault="00D56F89" w:rsidP="00D56F89">
      <w:r>
        <w:t xml:space="preserve">Entrambe le curve mostrano una distribuzione di frequenze non simmetrica, in particolare inizialmente sono decrescenti </w:t>
      </w:r>
      <w:r w:rsidR="0025756E">
        <w:t>fino ad arrivare ad un valore minimo nel 2017 e successivamente</w:t>
      </w:r>
      <w:r>
        <w:t xml:space="preserve"> hanno un picco massimo nell’ultimo anno 2020. Le due curve sono tra loro abbastanza simili.</w:t>
      </w:r>
    </w:p>
    <w:p w14:paraId="3A2FA267" w14:textId="77777777" w:rsidR="00D56F89" w:rsidRDefault="00D56F89" w:rsidP="00E0798D"/>
    <w:p w14:paraId="0B3527D6" w14:textId="4A0C91C5" w:rsidR="00E0798D" w:rsidRDefault="00E0798D" w:rsidP="00E0798D">
      <w:r>
        <w:lastRenderedPageBreak/>
        <w:t xml:space="preserve">Il grafico seguente mostra, invece, i </w:t>
      </w:r>
      <w:proofErr w:type="spellStart"/>
      <w:r>
        <w:t>boxplot</w:t>
      </w:r>
      <w:proofErr w:type="spellEnd"/>
      <w:r>
        <w:t xml:space="preserve">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w:t>
      </w:r>
      <w:proofErr w:type="spellStart"/>
      <w:r w:rsidR="00DC1E08">
        <w:t>boxplot</w:t>
      </w:r>
      <w:proofErr w:type="spellEnd"/>
      <w:r w:rsidR="00DC1E08">
        <w: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1145E668" w14:textId="77777777" w:rsidR="00E0798D" w:rsidRDefault="00E0798D" w:rsidP="00E0798D"/>
    <w:p w14:paraId="6F496D7C" w14:textId="0050FCFE" w:rsidR="00E0798D" w:rsidRDefault="00E0798D" w:rsidP="00E0798D">
      <w:r>
        <w:rPr>
          <w:noProof/>
          <w:lang w:eastAsia="it-IT"/>
        </w:rPr>
        <w:drawing>
          <wp:anchor distT="0" distB="0" distL="114300" distR="114300" simplePos="0" relativeHeight="25165721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2">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r w:rsidR="002F461B">
        <w:t xml:space="preserve"> </w:t>
      </w:r>
    </w:p>
    <w:p w14:paraId="14A6D97C" w14:textId="77777777" w:rsidR="00ED5D5A" w:rsidRDefault="00ED5D5A" w:rsidP="00E0798D"/>
    <w:p w14:paraId="680FBC14" w14:textId="77777777" w:rsidR="00ED5D5A" w:rsidRDefault="00ED5D5A" w:rsidP="00E0798D"/>
    <w:p w14:paraId="670E51F1" w14:textId="2C511793" w:rsidR="00ED5D5A" w:rsidRDefault="00ED5D5A" w:rsidP="00E0798D"/>
    <w:p w14:paraId="3E022191" w14:textId="77777777" w:rsidR="00D8215A" w:rsidRDefault="00D8215A" w:rsidP="00E0798D"/>
    <w:p w14:paraId="6EFA2D46" w14:textId="39E02593" w:rsidR="00E0798D" w:rsidRDefault="00E0798D" w:rsidP="00E0798D">
      <w:r>
        <w:t xml:space="preserve">Utilizzando la funzione </w:t>
      </w:r>
      <w:proofErr w:type="spellStart"/>
      <w:r>
        <w:t>summary</w:t>
      </w:r>
      <w:proofErr w:type="spellEnd"/>
      <w:r>
        <w:t xml:space="preserve">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3">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lastRenderedPageBreak/>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4">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 xml:space="preserve">Avendo ottenuto il valore dei quartili, è possibile calcolare il valore dei baffi del </w:t>
      </w:r>
      <w:proofErr w:type="spellStart"/>
      <w:r>
        <w:t>boxplot</w:t>
      </w:r>
      <w:proofErr w:type="spellEnd"/>
      <w:r w:rsidR="00624257">
        <w:t xml:space="preserve"> della Campania.</w:t>
      </w:r>
    </w:p>
    <w:p w14:paraId="6A6193E3" w14:textId="754B12B6" w:rsidR="005B6F9E" w:rsidRDefault="0025756E" w:rsidP="00E0798D">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m:t>
        </m:r>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rsidR="00A12960">
        <w:t xml:space="preserve"> </w:t>
      </w:r>
      <w:r w:rsidR="00B32B0A">
        <w:t xml:space="preserve"> </w:t>
      </w:r>
    </w:p>
    <w:p w14:paraId="5FDC96DC" w14:textId="61D0E996" w:rsidR="005B6F9E" w:rsidRDefault="0025756E" w:rsidP="00E0798D">
      <m:oMath>
        <m:sSub>
          <m:sSubPr>
            <m:ctrlPr>
              <w:rPr>
                <w:rFonts w:ascii="Cambria Math" w:hAnsi="Cambria Math"/>
                <w:i/>
              </w:rPr>
            </m:ctrlPr>
          </m:sSubPr>
          <m:e>
            <m:r>
              <w:rPr>
                <w:rFonts w:ascii="Cambria Math" w:hAnsi="Cambria Math"/>
              </w:rPr>
              <m:t>(</m:t>
            </m:r>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m:t>
        </m:r>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rsidR="00A12960">
        <w:t xml:space="preserve"> </w:t>
      </w:r>
    </w:p>
    <w:p w14:paraId="179F10AB" w14:textId="106B75F6" w:rsidR="005B6F9E" w:rsidRDefault="0025756E" w:rsidP="00E0798D">
      <w:r>
        <w:t>Tutti i dati rientrano nell’intervallo (159.7, 1701.3) pertanto i baffi sono posti in corrispondenza del minimo e del massimo delle osservazioni. (537, 1492)</w:t>
      </w:r>
    </w:p>
    <w:p w14:paraId="3F1D41B1" w14:textId="6CE8D3C5" w:rsidR="00624257" w:rsidRDefault="00624257" w:rsidP="00E0798D">
      <w:r>
        <w:t xml:space="preserve">Valore dei baffi nel </w:t>
      </w:r>
      <w:proofErr w:type="spellStart"/>
      <w:r>
        <w:t>boxplot</w:t>
      </w:r>
      <w:proofErr w:type="spellEnd"/>
      <w:r>
        <w:t xml:space="preserve"> della media nazionale:</w:t>
      </w:r>
    </w:p>
    <w:p w14:paraId="49B9C985" w14:textId="7BE3CB4B" w:rsidR="00A12960" w:rsidRPr="005B6F9E" w:rsidRDefault="0025756E" w:rsidP="00A12960">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m:t>
        </m:r>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rsidR="00A12960">
        <w:t xml:space="preserve">  </w:t>
      </w:r>
      <w:r w:rsidR="00B32B0A">
        <w:t xml:space="preserve">quindi il baffo inferiore è posto in corrispondenza del valore </w:t>
      </w:r>
      <w:r w:rsidR="00A12960">
        <w:t>208</w:t>
      </w:r>
      <w:r w:rsidR="00B32B0A">
        <w:t>.</w:t>
      </w:r>
    </w:p>
    <w:p w14:paraId="7774DE63" w14:textId="14A48C67" w:rsidR="00A12960" w:rsidRDefault="0025756E" w:rsidP="00A12960">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m:t>
        </m:r>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rsidR="00A12960">
        <w:t xml:space="preserve"> </w:t>
      </w:r>
      <w:r w:rsidR="00B32B0A">
        <w:t xml:space="preserve">quindi il baffo superiore è posto in corrispondenza del valore </w:t>
      </w:r>
      <w:r w:rsidR="00A12960">
        <w:t>570</w:t>
      </w:r>
      <w:r w:rsidR="00B32B0A">
        <w:t>.</w:t>
      </w:r>
    </w:p>
    <w:p w14:paraId="0622BFBC" w14:textId="08FE3C76" w:rsidR="0025756E" w:rsidRPr="005B6F9E" w:rsidRDefault="0025756E" w:rsidP="00A12960">
      <w:r>
        <w:t>Tutti i dati rientrano nell’intervallo (</w:t>
      </w:r>
      <w:r>
        <w:t>63.75, 626.55</w:t>
      </w:r>
      <w:r>
        <w:t>) pertanto i baffi sono posti in corrispondenza del minimo e del massimo delle osservazioni. (</w:t>
      </w:r>
      <w:r>
        <w:t>208, 570</w:t>
      </w:r>
      <w:r>
        <w:t>)</w:t>
      </w:r>
    </w:p>
    <w:p w14:paraId="6AF6E0B7" w14:textId="2237999B" w:rsidR="00B32B0A" w:rsidRDefault="00B32B0A" w:rsidP="00E0798D">
      <w:r>
        <w:t xml:space="preserve">Nei due </w:t>
      </w:r>
      <w:proofErr w:type="spellStart"/>
      <w:r>
        <w:t>boxplot</w:t>
      </w:r>
      <w:proofErr w:type="spellEnd"/>
      <w:r>
        <w:t xml:space="preserve"> non risultano esserci valori anomali.</w:t>
      </w:r>
    </w:p>
    <w:p w14:paraId="7F88C0EB" w14:textId="3C5DF94C" w:rsidR="00B32B0A" w:rsidRDefault="00B32B0A" w:rsidP="00E0798D"/>
    <w:p w14:paraId="07FEF212" w14:textId="77777777" w:rsidR="00B32B0A" w:rsidRDefault="00B32B0A" w:rsidP="00B32B0A">
      <w:r>
        <w:t xml:space="preserve">Le medie campionarie dei due campioni di dati negli anni risultano essere: </w:t>
      </w:r>
    </w:p>
    <w:p w14:paraId="5A994C58" w14:textId="77777777" w:rsidR="00B32B0A" w:rsidRDefault="00B32B0A" w:rsidP="00B32B0A">
      <w:r>
        <w:rPr>
          <w:noProof/>
        </w:rPr>
        <w:drawing>
          <wp:inline distT="0" distB="0" distL="0" distR="0" wp14:anchorId="2CF3EAAF" wp14:editId="247F00A9">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750" cy="590550"/>
                    </a:xfrm>
                    <a:prstGeom prst="rect">
                      <a:avLst/>
                    </a:prstGeom>
                  </pic:spPr>
                </pic:pic>
              </a:graphicData>
            </a:graphic>
          </wp:inline>
        </w:drawing>
      </w:r>
    </w:p>
    <w:p w14:paraId="7A665E79" w14:textId="3EA722FA" w:rsidR="00447FD5" w:rsidRDefault="00B32B0A" w:rsidP="0025756E">
      <w:r>
        <w:t>Pertanto, è possibile vedere quali sono gli anni in cui ci sono state più chiamate rispetto alla media e gli anni in cui ci sono state meno chiamate.</w:t>
      </w:r>
    </w:p>
    <w:p w14:paraId="2CF5A7D0" w14:textId="6733ABFB" w:rsidR="0025756E" w:rsidRDefault="0025756E" w:rsidP="0025756E"/>
    <w:p w14:paraId="445998B8" w14:textId="3C44B132" w:rsidR="0025756E" w:rsidRDefault="0025756E" w:rsidP="0025756E"/>
    <w:p w14:paraId="324EA9A6" w14:textId="0ECF2105" w:rsidR="0025756E" w:rsidRDefault="0025756E" w:rsidP="0025756E"/>
    <w:p w14:paraId="3B327CE1" w14:textId="77777777" w:rsidR="0025756E" w:rsidRPr="0025756E" w:rsidRDefault="0025756E" w:rsidP="0025756E"/>
    <w:p w14:paraId="1186EF91" w14:textId="72CE963C" w:rsidR="00D8215A" w:rsidRDefault="00D8215A" w:rsidP="00B32B0A">
      <w:pPr>
        <w:jc w:val="center"/>
        <w:rPr>
          <w:rFonts w:eastAsiaTheme="majorEastAsia" w:cstheme="majorBidi"/>
          <w:i/>
          <w:iCs/>
        </w:rPr>
        <w:sectPr w:rsidR="00D8215A">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B32B0A" w14:paraId="635F91BE"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3C90F5F" w14:textId="13DC9D30" w:rsidR="00B32B0A" w:rsidRDefault="00B32B0A" w:rsidP="00B32B0A">
            <w:pPr>
              <w:jc w:val="center"/>
            </w:pPr>
            <w:r>
              <w:lastRenderedPageBreak/>
              <w:t>Media nazionale</w:t>
            </w:r>
          </w:p>
        </w:tc>
      </w:tr>
      <w:tr w:rsidR="00B32B0A" w14:paraId="48EA5111"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46704E1" w14:textId="77777777" w:rsidR="00B32B0A" w:rsidRDefault="00B32B0A" w:rsidP="00B32B0A">
            <w:r>
              <w:t>2013</w:t>
            </w:r>
          </w:p>
        </w:tc>
        <w:tc>
          <w:tcPr>
            <w:tcW w:w="1276" w:type="dxa"/>
            <w:shd w:val="clear" w:color="auto" w:fill="FF0000"/>
          </w:tcPr>
          <w:p w14:paraId="5F332A4A"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474</w:t>
            </w:r>
          </w:p>
        </w:tc>
      </w:tr>
      <w:tr w:rsidR="00B32B0A" w14:paraId="6C96A35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034E080" w14:textId="77777777" w:rsidR="00B32B0A" w:rsidRDefault="00B32B0A" w:rsidP="00B32B0A">
            <w:r>
              <w:t>2014</w:t>
            </w:r>
          </w:p>
        </w:tc>
        <w:tc>
          <w:tcPr>
            <w:tcW w:w="1276" w:type="dxa"/>
            <w:shd w:val="clear" w:color="auto" w:fill="FF0000"/>
          </w:tcPr>
          <w:p w14:paraId="67957AD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396</w:t>
            </w:r>
          </w:p>
        </w:tc>
      </w:tr>
      <w:tr w:rsidR="00B32B0A" w14:paraId="11D94ADF"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04DF2D" w14:textId="77777777" w:rsidR="00B32B0A" w:rsidRDefault="00B32B0A" w:rsidP="00B32B0A">
            <w:r>
              <w:t xml:space="preserve"> 2015</w:t>
            </w:r>
          </w:p>
        </w:tc>
        <w:tc>
          <w:tcPr>
            <w:tcW w:w="1276" w:type="dxa"/>
            <w:shd w:val="clear" w:color="auto" w:fill="92D050"/>
          </w:tcPr>
          <w:p w14:paraId="57F29F6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282</w:t>
            </w:r>
          </w:p>
        </w:tc>
      </w:tr>
      <w:tr w:rsidR="00B32B0A" w14:paraId="7B04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5819FF70" w14:textId="77777777" w:rsidR="00B32B0A" w:rsidRDefault="00B32B0A" w:rsidP="00B32B0A">
            <w:r>
              <w:t>2016</w:t>
            </w:r>
          </w:p>
        </w:tc>
        <w:tc>
          <w:tcPr>
            <w:tcW w:w="1276" w:type="dxa"/>
            <w:shd w:val="clear" w:color="auto" w:fill="92D050"/>
          </w:tcPr>
          <w:p w14:paraId="78694EE4"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253</w:t>
            </w:r>
          </w:p>
        </w:tc>
      </w:tr>
      <w:tr w:rsidR="00B32B0A" w14:paraId="1071D5E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3EB8346" w14:textId="77777777" w:rsidR="00B32B0A" w:rsidRDefault="00B32B0A" w:rsidP="00B32B0A">
            <w:r>
              <w:t>2017</w:t>
            </w:r>
          </w:p>
        </w:tc>
        <w:tc>
          <w:tcPr>
            <w:tcW w:w="1276" w:type="dxa"/>
            <w:shd w:val="clear" w:color="auto" w:fill="92D050"/>
          </w:tcPr>
          <w:p w14:paraId="2D181888"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208</w:t>
            </w:r>
          </w:p>
        </w:tc>
      </w:tr>
      <w:tr w:rsidR="00B32B0A" w14:paraId="1282646D"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A26BC40" w14:textId="77777777" w:rsidR="00B32B0A" w:rsidRDefault="00B32B0A" w:rsidP="00B32B0A">
            <w:r>
              <w:t>2018</w:t>
            </w:r>
          </w:p>
        </w:tc>
        <w:tc>
          <w:tcPr>
            <w:tcW w:w="1276" w:type="dxa"/>
            <w:shd w:val="clear" w:color="auto" w:fill="92D050"/>
          </w:tcPr>
          <w:p w14:paraId="3B10E733"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299</w:t>
            </w:r>
          </w:p>
        </w:tc>
      </w:tr>
      <w:tr w:rsidR="00B32B0A" w14:paraId="7BD80D0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F53555B" w14:textId="77777777" w:rsidR="00B32B0A" w:rsidRDefault="00B32B0A" w:rsidP="00B32B0A">
            <w:r>
              <w:t>2019</w:t>
            </w:r>
          </w:p>
        </w:tc>
        <w:tc>
          <w:tcPr>
            <w:tcW w:w="1276" w:type="dxa"/>
            <w:shd w:val="clear" w:color="auto" w:fill="92D050"/>
          </w:tcPr>
          <w:p w14:paraId="2AFE60E5"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291</w:t>
            </w:r>
          </w:p>
        </w:tc>
      </w:tr>
      <w:tr w:rsidR="00B32B0A" w14:paraId="5AAB081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A79A017" w14:textId="77777777" w:rsidR="00B32B0A" w:rsidRDefault="00B32B0A" w:rsidP="00B32B0A">
            <w:r>
              <w:t>2020</w:t>
            </w:r>
          </w:p>
        </w:tc>
        <w:tc>
          <w:tcPr>
            <w:tcW w:w="1276" w:type="dxa"/>
            <w:shd w:val="clear" w:color="auto" w:fill="FF0000"/>
          </w:tcPr>
          <w:p w14:paraId="16FF494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570</w:t>
            </w:r>
          </w:p>
        </w:tc>
      </w:tr>
    </w:tbl>
    <w:p w14:paraId="6E62A915" w14:textId="77777777" w:rsidR="00B32B0A" w:rsidRDefault="00B32B0A" w:rsidP="00B32B0A"/>
    <w:tbl>
      <w:tblPr>
        <w:tblStyle w:val="Tabellasemplice5"/>
        <w:tblW w:w="0" w:type="auto"/>
        <w:tblLook w:val="04A0" w:firstRow="1" w:lastRow="0" w:firstColumn="1" w:lastColumn="0" w:noHBand="0" w:noVBand="1"/>
      </w:tblPr>
      <w:tblGrid>
        <w:gridCol w:w="959"/>
        <w:gridCol w:w="1276"/>
      </w:tblGrid>
      <w:tr w:rsidR="00B32B0A" w14:paraId="69DBB7B7"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9FD6A16" w14:textId="77777777" w:rsidR="00B32B0A" w:rsidRDefault="00B32B0A" w:rsidP="00B32B0A">
            <w:pPr>
              <w:jc w:val="center"/>
            </w:pPr>
            <w:r>
              <w:t>Campania</w:t>
            </w:r>
          </w:p>
        </w:tc>
      </w:tr>
      <w:tr w:rsidR="00B32B0A" w14:paraId="0E5755C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D23CCA3" w14:textId="77777777" w:rsidR="00B32B0A" w:rsidRDefault="00B32B0A" w:rsidP="00B32B0A">
            <w:r>
              <w:t>2013</w:t>
            </w:r>
          </w:p>
        </w:tc>
        <w:tc>
          <w:tcPr>
            <w:tcW w:w="1276" w:type="dxa"/>
            <w:shd w:val="clear" w:color="auto" w:fill="FF0000"/>
          </w:tcPr>
          <w:p w14:paraId="516E44EF"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1316</w:t>
            </w:r>
          </w:p>
        </w:tc>
      </w:tr>
      <w:tr w:rsidR="00B32B0A" w14:paraId="557B9CC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78160D2" w14:textId="77777777" w:rsidR="00B32B0A" w:rsidRDefault="00B32B0A" w:rsidP="00B32B0A">
            <w:r>
              <w:t>2014</w:t>
            </w:r>
          </w:p>
        </w:tc>
        <w:tc>
          <w:tcPr>
            <w:tcW w:w="1276" w:type="dxa"/>
            <w:shd w:val="clear" w:color="auto" w:fill="FF0000"/>
          </w:tcPr>
          <w:p w14:paraId="496C295C"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1059</w:t>
            </w:r>
          </w:p>
        </w:tc>
      </w:tr>
      <w:tr w:rsidR="00B32B0A" w14:paraId="7EF21477"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23AE095" w14:textId="77777777" w:rsidR="00B32B0A" w:rsidRDefault="00B32B0A" w:rsidP="00B32B0A">
            <w:r>
              <w:t>2015</w:t>
            </w:r>
          </w:p>
        </w:tc>
        <w:tc>
          <w:tcPr>
            <w:tcW w:w="1276" w:type="dxa"/>
            <w:shd w:val="clear" w:color="auto" w:fill="92D050"/>
          </w:tcPr>
          <w:p w14:paraId="27C65686"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815</w:t>
            </w:r>
          </w:p>
        </w:tc>
      </w:tr>
      <w:tr w:rsidR="00B32B0A" w14:paraId="0D0F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8081C82" w14:textId="77777777" w:rsidR="00B32B0A" w:rsidRDefault="00B32B0A" w:rsidP="00B32B0A">
            <w:r>
              <w:t>2016</w:t>
            </w:r>
          </w:p>
        </w:tc>
        <w:tc>
          <w:tcPr>
            <w:tcW w:w="1276" w:type="dxa"/>
            <w:shd w:val="clear" w:color="auto" w:fill="92D050"/>
          </w:tcPr>
          <w:p w14:paraId="5A3A63B1"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635</w:t>
            </w:r>
          </w:p>
        </w:tc>
      </w:tr>
      <w:tr w:rsidR="00B32B0A" w14:paraId="705BBBEE"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EA4B15" w14:textId="77777777" w:rsidR="00B32B0A" w:rsidRDefault="00B32B0A" w:rsidP="00B32B0A">
            <w:r>
              <w:t>2017</w:t>
            </w:r>
          </w:p>
        </w:tc>
        <w:tc>
          <w:tcPr>
            <w:tcW w:w="1276" w:type="dxa"/>
            <w:shd w:val="clear" w:color="auto" w:fill="92D050"/>
          </w:tcPr>
          <w:p w14:paraId="6E4F397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537</w:t>
            </w:r>
          </w:p>
        </w:tc>
      </w:tr>
      <w:tr w:rsidR="00B32B0A" w14:paraId="0E5982B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A457A7F" w14:textId="77777777" w:rsidR="00B32B0A" w:rsidRDefault="00B32B0A" w:rsidP="00B32B0A">
            <w:r>
              <w:t>2018</w:t>
            </w:r>
          </w:p>
        </w:tc>
        <w:tc>
          <w:tcPr>
            <w:tcW w:w="1276" w:type="dxa"/>
            <w:shd w:val="clear" w:color="auto" w:fill="92D050"/>
          </w:tcPr>
          <w:p w14:paraId="2679164E"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823</w:t>
            </w:r>
          </w:p>
        </w:tc>
      </w:tr>
      <w:tr w:rsidR="00B32B0A" w14:paraId="78A42DA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AF82176" w14:textId="77777777" w:rsidR="00B32B0A" w:rsidRDefault="00B32B0A" w:rsidP="00B32B0A">
            <w:r>
              <w:t>2019</w:t>
            </w:r>
          </w:p>
        </w:tc>
        <w:tc>
          <w:tcPr>
            <w:tcW w:w="1276" w:type="dxa"/>
            <w:shd w:val="clear" w:color="auto" w:fill="92D050"/>
          </w:tcPr>
          <w:p w14:paraId="3C287F30"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772</w:t>
            </w:r>
          </w:p>
        </w:tc>
      </w:tr>
      <w:tr w:rsidR="00B32B0A" w14:paraId="53B1D91B"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D792C80" w14:textId="77777777" w:rsidR="00B32B0A" w:rsidRDefault="00B32B0A" w:rsidP="00B32B0A">
            <w:r>
              <w:t>2020</w:t>
            </w:r>
          </w:p>
        </w:tc>
        <w:tc>
          <w:tcPr>
            <w:tcW w:w="1276" w:type="dxa"/>
            <w:shd w:val="clear" w:color="auto" w:fill="FF0000"/>
          </w:tcPr>
          <w:p w14:paraId="3CACFEA5"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1492</w:t>
            </w:r>
          </w:p>
        </w:tc>
      </w:tr>
    </w:tbl>
    <w:p w14:paraId="440E3532" w14:textId="77777777" w:rsidR="00447FD5" w:rsidRDefault="00447FD5" w:rsidP="00B32B0A">
      <w:pPr>
        <w:sectPr w:rsidR="00447FD5" w:rsidSect="00447FD5">
          <w:type w:val="continuous"/>
          <w:pgSz w:w="11906" w:h="16838"/>
          <w:pgMar w:top="1417" w:right="1134" w:bottom="1134" w:left="1134" w:header="708" w:footer="708" w:gutter="0"/>
          <w:cols w:num="2" w:space="708"/>
          <w:docGrid w:linePitch="360"/>
        </w:sectPr>
      </w:pPr>
    </w:p>
    <w:p w14:paraId="7C31B13F" w14:textId="701B95A1" w:rsidR="00B32B0A" w:rsidRPr="005B6F9E" w:rsidRDefault="00B32B0A" w:rsidP="00E0798D">
      <w:r>
        <w:t xml:space="preserve">Sia per la Campania che per la media nazionale gli anni in cui ci sono state più chiamate rispetto alla loro media sono 2013, 2014 e 2020. </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2A809465" w14:textId="21C9A722" w:rsidR="0025756E"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lastRenderedPageBreak/>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51431D1B" w14:textId="77777777" w:rsidR="00B32B0A"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587469"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5C181AB" w:rsidR="0098355E" w:rsidRDefault="0098355E" w:rsidP="002743EC">
      <w:pPr>
        <w:rPr>
          <w:noProof/>
        </w:rPr>
      </w:pPr>
      <w:r>
        <w:rPr>
          <w:noProof/>
        </w:rPr>
        <w:t>Il seguente codice permette di mostrare</w:t>
      </w:r>
      <w:r w:rsidR="001265B6">
        <w:rPr>
          <w:noProof/>
        </w:rPr>
        <w:t xml:space="preserve"> i valori della varianza</w:t>
      </w:r>
      <w:r>
        <w:rPr>
          <w:noProof/>
        </w:rPr>
        <w:t xml:space="preserv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54CF9B2B" w14:textId="09289EE1" w:rsidR="09AF09DA" w:rsidRDefault="09AF09DA" w:rsidP="09AF09DA"/>
    <w:p w14:paraId="50F9CEFD" w14:textId="7F8DE0F5" w:rsidR="002743EC" w:rsidRDefault="002743EC" w:rsidP="002743EC">
      <w:pPr>
        <w:pStyle w:val="Titolo2"/>
      </w:pPr>
      <w:bookmarkStart w:id="7" w:name="_Toc5910594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 xml:space="preserve">La </w:t>
      </w:r>
      <w:proofErr w:type="spellStart"/>
      <w:r>
        <w:t>skewness</w:t>
      </w:r>
      <w:proofErr w:type="spellEnd"/>
      <w:r>
        <w:t xml:space="preserve"> campionaria permette di misurare la simmetria di una distribuzione di frequenze.</w:t>
      </w:r>
      <w:r w:rsidR="00F80CAD">
        <w:t xml:space="preserve"> </w:t>
      </w:r>
      <w:r>
        <w:t xml:space="preserve"> </w:t>
      </w:r>
      <w:r w:rsidR="00F80CAD">
        <w:t>Assegnato un insieme di dati numerici x</w:t>
      </w:r>
      <w:proofErr w:type="gramStart"/>
      <w:r w:rsidR="00F80CAD">
        <w:rPr>
          <w:vertAlign w:val="subscript"/>
        </w:rPr>
        <w:t xml:space="preserve">1 </w:t>
      </w:r>
      <w:r w:rsidR="00F80CAD">
        <w:t>,</w:t>
      </w:r>
      <w:proofErr w:type="gramEnd"/>
      <w:r w:rsidR="00F80CAD">
        <w:t xml:space="preserve"> x</w:t>
      </w:r>
      <w:r w:rsidR="00F80CAD">
        <w:rPr>
          <w:vertAlign w:val="subscript"/>
        </w:rPr>
        <w:t xml:space="preserve">2 </w:t>
      </w:r>
      <w:r w:rsidR="00F80CAD">
        <w:t>,</w:t>
      </w:r>
      <w:r w:rsidR="00F80CAD">
        <w:rPr>
          <w:vertAlign w:val="subscript"/>
        </w:rPr>
        <w:t xml:space="preserve"> </w:t>
      </w:r>
      <w:r w:rsidR="00F80CAD">
        <w:t xml:space="preserve">…, </w:t>
      </w:r>
      <w:proofErr w:type="spellStart"/>
      <w:r w:rsidR="00F80CAD">
        <w:t>x</w:t>
      </w:r>
      <w:r w:rsidR="00F80CAD">
        <w:rPr>
          <w:vertAlign w:val="subscript"/>
        </w:rPr>
        <w:t>n</w:t>
      </w:r>
      <w:proofErr w:type="spellEnd"/>
      <w:r w:rsidR="00F80CAD">
        <w:rPr>
          <w:vertAlign w:val="subscript"/>
        </w:rPr>
        <w:t xml:space="preserve"> </w:t>
      </w:r>
      <w:r w:rsidR="00F80CAD">
        <w:t xml:space="preserve">, si definisce </w:t>
      </w:r>
      <w:proofErr w:type="spellStart"/>
      <w:r w:rsidR="00F80CAD" w:rsidRPr="00790A1E">
        <w:rPr>
          <w:b/>
          <w:bCs/>
        </w:rPr>
        <w:t>skewness</w:t>
      </w:r>
      <w:proofErr w:type="spellEnd"/>
      <w:r w:rsidR="00F80CAD" w:rsidRPr="00790A1E">
        <w:rPr>
          <w:b/>
          <w:bCs/>
        </w:rPr>
        <w:t xml:space="preserve">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 xml:space="preserve">Il codice per calcolare la </w:t>
      </w:r>
      <w:proofErr w:type="spellStart"/>
      <w:r>
        <w:t>skewness</w:t>
      </w:r>
      <w:proofErr w:type="spellEnd"/>
      <w:r>
        <w:t xml:space="preserve"> campionaria in R è:</w:t>
      </w:r>
    </w:p>
    <w:p w14:paraId="5FC4CB45" w14:textId="77777777" w:rsidR="00B55560" w:rsidRDefault="00B55560" w:rsidP="00B55560">
      <w:pPr>
        <w:pStyle w:val="Nessunaspaziatura"/>
      </w:pPr>
      <w:proofErr w:type="spellStart"/>
      <w:r>
        <w:t>skw</w:t>
      </w:r>
      <w:proofErr w:type="spellEnd"/>
      <w:r>
        <w:t xml:space="preserve"> &lt;-</w:t>
      </w:r>
      <w:proofErr w:type="spellStart"/>
      <w:r>
        <w:t>function</w:t>
      </w:r>
      <w:proofErr w:type="spellEnd"/>
      <w:r>
        <w:t xml:space="preserve"> (x</w:t>
      </w:r>
      <w:proofErr w:type="gramStart"/>
      <w:r>
        <w:t>){</w:t>
      </w:r>
      <w:proofErr w:type="gramEnd"/>
    </w:p>
    <w:p w14:paraId="1BB6F7B3" w14:textId="77777777" w:rsidR="00B55560" w:rsidRDefault="00B55560" w:rsidP="00B55560">
      <w:pPr>
        <w:pStyle w:val="Nessunaspaziatura"/>
      </w:pPr>
      <w:r>
        <w:t xml:space="preserve">  n&lt;-</w:t>
      </w:r>
      <w:proofErr w:type="spellStart"/>
      <w:r>
        <w:t>length</w:t>
      </w:r>
      <w:proofErr w:type="spellEnd"/>
      <w:r>
        <w:t xml:space="preserve"> (x)</w:t>
      </w:r>
    </w:p>
    <w:p w14:paraId="55495B81" w14:textId="77777777" w:rsidR="00B55560" w:rsidRDefault="00B55560" w:rsidP="00B55560">
      <w:pPr>
        <w:pStyle w:val="Nessunaspaziatura"/>
      </w:pPr>
      <w:r>
        <w:t xml:space="preserve">  m2 &lt;-(n -1) *</w:t>
      </w:r>
      <w:proofErr w:type="spellStart"/>
      <w:r>
        <w:t>var</w:t>
      </w:r>
      <w:proofErr w:type="spellEnd"/>
      <w:r>
        <w:t xml:space="preserve"> (x)/n</w:t>
      </w:r>
    </w:p>
    <w:p w14:paraId="7A4836A8" w14:textId="77777777" w:rsidR="00B55560" w:rsidRDefault="00B55560" w:rsidP="00B55560">
      <w:pPr>
        <w:pStyle w:val="Nessunaspaziatura"/>
      </w:pPr>
      <w:r>
        <w:t xml:space="preserve">  m3 &lt;- (sum </w:t>
      </w:r>
      <w:proofErr w:type="gramStart"/>
      <w:r>
        <w:t>( (</w:t>
      </w:r>
      <w:proofErr w:type="gramEnd"/>
      <w:r>
        <w:t xml:space="preserve">x- </w:t>
      </w:r>
      <w:proofErr w:type="spellStart"/>
      <w:r>
        <w:t>mean</w:t>
      </w:r>
      <w:proofErr w:type="spellEnd"/>
      <w:r>
        <w:t>(x))^3) )/n</w:t>
      </w:r>
    </w:p>
    <w:p w14:paraId="3F65C038" w14:textId="77777777" w:rsidR="00B55560" w:rsidRDefault="00B55560" w:rsidP="00B55560">
      <w:pPr>
        <w:pStyle w:val="Nessunaspaziatura"/>
      </w:pPr>
      <w:r>
        <w:t xml:space="preserve">  m3</w:t>
      </w:r>
      <w:proofErr w:type="gramStart"/>
      <w:r>
        <w:t>/(</w:t>
      </w:r>
      <w:proofErr w:type="gramEnd"/>
      <w:r>
        <w:t>m2 ^1.5)</w:t>
      </w:r>
    </w:p>
    <w:p w14:paraId="050D7AFE" w14:textId="3D8C017B" w:rsidR="00B55560" w:rsidRDefault="00B55560" w:rsidP="00B55560">
      <w:pPr>
        <w:pStyle w:val="Nessunaspaziatura"/>
      </w:pPr>
      <w:r>
        <w:t>}</w:t>
      </w:r>
    </w:p>
    <w:p w14:paraId="0FDB3359" w14:textId="77777777" w:rsidR="00913083" w:rsidRDefault="00913083" w:rsidP="0F23CAD0"/>
    <w:p w14:paraId="411F3B4B" w14:textId="572BD954" w:rsidR="001265B6" w:rsidRDefault="00913083" w:rsidP="0F23CAD0">
      <w:r>
        <w:t xml:space="preserve">Da ciò che è stato dedotto graficamente dai </w:t>
      </w:r>
      <w:proofErr w:type="spellStart"/>
      <w:r>
        <w:t>boxplot</w:t>
      </w:r>
      <w:proofErr w:type="spellEnd"/>
      <w:r>
        <w:t xml:space="preserve"> ci si aspetta un’asimmetria positiva in entrambi i casi ed infatti, a</w:t>
      </w:r>
      <w:r w:rsidR="001265B6">
        <w:t>pplicando tale funzione ai due campioni di dati</w:t>
      </w:r>
      <w:r>
        <w:t>,</w:t>
      </w:r>
      <w:r w:rsidR="001265B6">
        <w:t xml:space="preserve">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lastRenderedPageBreak/>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483D4BE0"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r w:rsidR="00913083">
        <w:t>;</w:t>
      </w:r>
    </w:p>
    <w:p w14:paraId="3827C7FE" w14:textId="72949A7A"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r w:rsidR="00913083">
        <w:t>;</w:t>
      </w:r>
    </w:p>
    <w:p w14:paraId="439766C6" w14:textId="49F72CCF"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r w:rsidR="00913083">
        <w:t>.</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proofErr w:type="spellStart"/>
      <w:r w:rsidRPr="004F0105">
        <w:t>curt</w:t>
      </w:r>
      <w:proofErr w:type="spellEnd"/>
      <w:r w:rsidRPr="004F0105">
        <w:t xml:space="preserve"> &lt;-</w:t>
      </w:r>
      <w:proofErr w:type="spellStart"/>
      <w:r w:rsidRPr="004F0105">
        <w:t>function</w:t>
      </w:r>
      <w:proofErr w:type="spellEnd"/>
      <w:r w:rsidRPr="004F0105">
        <w:t xml:space="preserve"> (x</w:t>
      </w:r>
      <w:proofErr w:type="gramStart"/>
      <w:r w:rsidRPr="004F0105">
        <w:t>){</w:t>
      </w:r>
      <w:proofErr w:type="gramEnd"/>
    </w:p>
    <w:p w14:paraId="5E9F0926" w14:textId="77777777" w:rsidR="00ED2ED1" w:rsidRPr="004F0105" w:rsidRDefault="00ED2ED1" w:rsidP="00B55560">
      <w:pPr>
        <w:pStyle w:val="Nessunaspaziatura"/>
      </w:pPr>
      <w:r w:rsidRPr="004F0105">
        <w:t xml:space="preserve">  n &lt;-</w:t>
      </w:r>
      <w:proofErr w:type="spellStart"/>
      <w:r w:rsidRPr="004F0105">
        <w:t>length</w:t>
      </w:r>
      <w:proofErr w:type="spellEnd"/>
      <w:r w:rsidRPr="004F0105">
        <w:t xml:space="preserve"> (x)</w:t>
      </w:r>
    </w:p>
    <w:p w14:paraId="162ED31F" w14:textId="77777777" w:rsidR="00ED2ED1" w:rsidRPr="004F0105" w:rsidRDefault="00ED2ED1" w:rsidP="00B55560">
      <w:pPr>
        <w:pStyle w:val="Nessunaspaziatura"/>
      </w:pPr>
      <w:r w:rsidRPr="004F0105">
        <w:t xml:space="preserve">  m2 &lt;-(n -1) *</w:t>
      </w:r>
      <w:proofErr w:type="spellStart"/>
      <w:r w:rsidRPr="004F0105">
        <w:t>var</w:t>
      </w:r>
      <w:proofErr w:type="spellEnd"/>
      <w:r w:rsidRPr="004F0105">
        <w:t xml:space="preserve"> (x)/n</w:t>
      </w:r>
    </w:p>
    <w:p w14:paraId="1D65F759" w14:textId="77777777" w:rsidR="00ED2ED1" w:rsidRPr="004F0105" w:rsidRDefault="00ED2ED1" w:rsidP="00B55560">
      <w:pPr>
        <w:pStyle w:val="Nessunaspaziatura"/>
      </w:pPr>
      <w:r w:rsidRPr="004F0105">
        <w:t xml:space="preserve">  m4 &lt;- (sum ((x-</w:t>
      </w:r>
      <w:proofErr w:type="spellStart"/>
      <w:r w:rsidRPr="004F0105">
        <w:t>mean</w:t>
      </w:r>
      <w:proofErr w:type="spellEnd"/>
      <w:r w:rsidRPr="004F0105">
        <w:t>(x</w:t>
      </w:r>
      <w:proofErr w:type="gramStart"/>
      <w:r w:rsidRPr="004F0105">
        <w:t>))^</w:t>
      </w:r>
      <w:proofErr w:type="gramEnd"/>
      <w:r w:rsidRPr="004F0105">
        <w:t>4) )/n</w:t>
      </w:r>
    </w:p>
    <w:p w14:paraId="6BCED5D0" w14:textId="77777777" w:rsidR="00ED2ED1" w:rsidRPr="004F0105" w:rsidRDefault="00ED2ED1" w:rsidP="00B55560">
      <w:pPr>
        <w:pStyle w:val="Nessunaspaziatura"/>
      </w:pPr>
      <w:r w:rsidRPr="004F0105">
        <w:t xml:space="preserve">  m4</w:t>
      </w:r>
      <w:proofErr w:type="gramStart"/>
      <w:r w:rsidRPr="004F0105">
        <w:t>/(</w:t>
      </w:r>
      <w:proofErr w:type="gramEnd"/>
      <w:r w:rsidRPr="004F0105">
        <w:t>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593CF899" w:rsidR="00B32B0A" w:rsidRDefault="00D4423F" w:rsidP="00B32B0A">
      <w:r>
        <w:t>Confrontando i valori ottenuti da questi due indici si ha un’ulteriore conferma del fatto che l’andamento negli anni delle due curve considerate risulte essere molto simile</w:t>
      </w:r>
      <w:r w:rsidR="001265B6">
        <w:t xml:space="preserve"> </w:t>
      </w:r>
      <w:r w:rsidR="00B32B0A">
        <w:t xml:space="preserve">anche se i dati relativi all’intera nazione sono più bassi in quanto sono ottenuti dalla media di tutte le </w:t>
      </w:r>
      <w:r w:rsidR="00913083">
        <w:t>region</w:t>
      </w:r>
      <w:r w:rsidR="00B32B0A">
        <w:t>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9105948"/>
      <w:r>
        <w:lastRenderedPageBreak/>
        <w:t xml:space="preserve">Statistica descrittiva </w:t>
      </w:r>
      <w:proofErr w:type="spellStart"/>
      <w:r>
        <w:t>bivariata</w:t>
      </w:r>
      <w:bookmarkEnd w:id="8"/>
      <w:proofErr w:type="spellEnd"/>
    </w:p>
    <w:p w14:paraId="67F248C2" w14:textId="0B6A7A3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 xml:space="preserve">La statistica descrittiva </w:t>
      </w:r>
      <w:proofErr w:type="spellStart"/>
      <w:r>
        <w:t>bivariata</w:t>
      </w:r>
      <w:proofErr w:type="spellEnd"/>
      <w:r>
        <w:t xml:space="preserve">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9105949"/>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0D9675BA" w14:textId="77777777" w:rsidR="007913A1" w:rsidRDefault="00E110B9" w:rsidP="00C10E77">
      <w:r>
        <w:t>Si calcolano gli indici di posizione e di dispersione relativi alle due coppie di variabili.</w:t>
      </w:r>
    </w:p>
    <w:p w14:paraId="0AE14DDC" w14:textId="77777777" w:rsidR="007913A1" w:rsidRDefault="007913A1" w:rsidP="00C10E77"/>
    <w:p w14:paraId="1726DF78" w14:textId="4464D73F" w:rsidR="007913A1" w:rsidRDefault="007913A1" w:rsidP="00C10E77"/>
    <w:p w14:paraId="6BA260B4" w14:textId="4F64CAE8" w:rsidR="007913A1" w:rsidRDefault="007913A1" w:rsidP="00C10E77"/>
    <w:p w14:paraId="61F3B35E" w14:textId="581D7220" w:rsidR="007913A1" w:rsidRDefault="007913A1" w:rsidP="007913A1">
      <w:r>
        <w:rPr>
          <w:noProof/>
        </w:rPr>
        <w:lastRenderedPageBreak/>
        <w:drawing>
          <wp:anchor distT="0" distB="0" distL="114300" distR="114300" simplePos="0" relativeHeight="251663360" behindDoc="0" locked="0" layoutInCell="1" allowOverlap="1" wp14:anchorId="611C2D85" wp14:editId="322C4BAD">
            <wp:simplePos x="0" y="0"/>
            <wp:positionH relativeFrom="column">
              <wp:posOffset>3810</wp:posOffset>
            </wp:positionH>
            <wp:positionV relativeFrom="paragraph">
              <wp:posOffset>64770</wp:posOffset>
            </wp:positionV>
            <wp:extent cx="1676400" cy="1752600"/>
            <wp:effectExtent l="0" t="0" r="0" b="0"/>
            <wp:wrapSquare wrapText="bothSides"/>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400" cy="1752600"/>
                    </a:xfrm>
                    <a:prstGeom prst="rect">
                      <a:avLst/>
                    </a:prstGeom>
                  </pic:spPr>
                </pic:pic>
              </a:graphicData>
            </a:graphic>
            <wp14:sizeRelH relativeFrom="page">
              <wp14:pctWidth>0</wp14:pctWidth>
            </wp14:sizeRelH>
            <wp14:sizeRelV relativeFrom="page">
              <wp14:pctHeight>0</wp14:pctHeight>
            </wp14:sizeRelV>
          </wp:anchor>
        </w:drawing>
      </w:r>
    </w:p>
    <w:p w14:paraId="3FDD7CA7" w14:textId="29C3D05E" w:rsidR="007913A1" w:rsidRPr="00003A27" w:rsidRDefault="007913A1" w:rsidP="007913A1">
      <w:r>
        <w:t>Si nota che sia mediana, sia media che deviazione standard sono maggiori per la variabile Y.</w:t>
      </w:r>
    </w:p>
    <w:p w14:paraId="7B2B7E9A" w14:textId="5EFDA363" w:rsidR="00E110B9" w:rsidRDefault="00E110B9" w:rsidP="00C10E77"/>
    <w:p w14:paraId="37737E20" w14:textId="77777777" w:rsidR="007913A1" w:rsidRDefault="007913A1" w:rsidP="00C10E77"/>
    <w:p w14:paraId="71478A7D" w14:textId="77777777" w:rsidR="007913A1" w:rsidRDefault="007913A1" w:rsidP="00C10E77"/>
    <w:p w14:paraId="4BF91D66" w14:textId="6305D19E" w:rsidR="00490668" w:rsidRDefault="00490668" w:rsidP="00C10E77">
      <w:r w:rsidRPr="008A0435">
        <w:t xml:space="preserve">Un primo passo per indagare l’eventuale dipendenza tra due variabili X e Y consiste nel disegnare il diagramma di dispersione o </w:t>
      </w:r>
      <w:proofErr w:type="spellStart"/>
      <w:r w:rsidRPr="008A0435">
        <w:t>scatterplot</w:t>
      </w:r>
      <w:proofErr w:type="spellEnd"/>
      <w:r w:rsidRPr="008A0435">
        <w:t>.</w:t>
      </w:r>
      <w:r>
        <w:t xml:space="preserve"> Il grafico che si ottiene mira ad evidenziare se le coppie di punti presentano qualche forma di regolarità. </w:t>
      </w:r>
    </w:p>
    <w:p w14:paraId="05C4F937" w14:textId="73770C91" w:rsidR="00E110B9" w:rsidRDefault="00E110B9" w:rsidP="00E110B9">
      <w:r>
        <w:t xml:space="preserve">Nello </w:t>
      </w:r>
      <w:proofErr w:type="spellStart"/>
      <w:r>
        <w:t>scatterplot</w:t>
      </w:r>
      <w:proofErr w:type="spellEnd"/>
      <w:r>
        <w:t xml:space="preserve">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2096"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 xml:space="preserve">Dallo </w:t>
      </w:r>
      <w:proofErr w:type="spellStart"/>
      <w:r>
        <w:t>scatterplot</w:t>
      </w:r>
      <w:proofErr w:type="spellEnd"/>
      <w:r>
        <w:t xml:space="preserve">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 xml:space="preserve">Assegnato un campione </w:t>
      </w:r>
      <w:proofErr w:type="spellStart"/>
      <w:r w:rsidRPr="008A0435">
        <w:rPr>
          <w:i/>
          <w:iCs/>
          <w:sz w:val="23"/>
          <w:szCs w:val="23"/>
        </w:rPr>
        <w:t>bivariato</w:t>
      </w:r>
      <w:proofErr w:type="spellEnd"/>
      <w:r w:rsidRPr="008A0435">
        <w:rPr>
          <w:i/>
          <w:iCs/>
          <w:sz w:val="23"/>
          <w:szCs w:val="23"/>
        </w:rPr>
        <w:t xml:space="preserve"> (x</w:t>
      </w:r>
      <w:proofErr w:type="gramStart"/>
      <w:r w:rsidRPr="008A0435">
        <w:rPr>
          <w:i/>
          <w:iCs/>
          <w:sz w:val="23"/>
          <w:szCs w:val="23"/>
          <w:vertAlign w:val="subscript"/>
        </w:rPr>
        <w:t>1</w:t>
      </w:r>
      <w:r w:rsidRPr="008A0435">
        <w:rPr>
          <w:i/>
          <w:iCs/>
          <w:sz w:val="23"/>
          <w:szCs w:val="23"/>
        </w:rPr>
        <w:t>,y</w:t>
      </w:r>
      <w:proofErr w:type="gramEnd"/>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r w:rsidRPr="008A0435">
        <w:rPr>
          <w:i/>
          <w:iCs/>
          <w:sz w:val="23"/>
          <w:szCs w:val="23"/>
        </w:rPr>
        <w:t>,y</w:t>
      </w:r>
      <w:r w:rsidRPr="008A0435">
        <w:rPr>
          <w:i/>
          <w:iCs/>
          <w:sz w:val="23"/>
          <w:szCs w:val="23"/>
          <w:vertAlign w:val="subscript"/>
        </w:rPr>
        <w:t>n</w:t>
      </w:r>
      <w:proofErr w:type="spellEnd"/>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proofErr w:type="spellEnd"/>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y</w:t>
      </w:r>
      <w:r w:rsidRPr="008A0435">
        <w:rPr>
          <w:i/>
          <w:iCs/>
          <w:sz w:val="23"/>
          <w:szCs w:val="23"/>
          <w:vertAlign w:val="subscript"/>
        </w:rPr>
        <w:t>n</w:t>
      </w:r>
      <w:proofErr w:type="spellEnd"/>
      <w:r w:rsidRPr="008A0435">
        <w:rPr>
          <w:i/>
          <w:iCs/>
          <w:sz w:val="23"/>
          <w:szCs w:val="23"/>
        </w:rPr>
        <w:t>. La covarianza campionaria tra le due variabili X e Y è così definita:</w:t>
      </w:r>
    </w:p>
    <w:p w14:paraId="3D489561" w14:textId="77777777" w:rsidR="00E110B9" w:rsidRPr="008A0435" w:rsidRDefault="00587469"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xml:space="preserve">, pertanto esiste una correlazione lineare positiva tra le due variabili come si poteva già intuite dal grafico dello </w:t>
      </w:r>
      <w:proofErr w:type="spellStart"/>
      <w:r w:rsidR="00E11F99">
        <w:t>scatterplot</w:t>
      </w:r>
      <w:proofErr w:type="spellEnd"/>
      <w:r w:rsidR="00E11F99">
        <w: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w:t>
      </w:r>
      <w:proofErr w:type="spellStart"/>
      <w:r w:rsidRPr="005F58B0">
        <w:rPr>
          <w:i/>
          <w:iCs/>
        </w:rPr>
        <w:t>bivariato</w:t>
      </w:r>
      <w:proofErr w:type="spellEnd"/>
      <w:r w:rsidRPr="005F58B0">
        <w:rPr>
          <w:i/>
          <w:iCs/>
        </w:rPr>
        <w:t xml:space="preserve"> </w:t>
      </w:r>
      <w:r w:rsidRPr="005F58B0">
        <w:rPr>
          <w:i/>
          <w:iCs/>
          <w:sz w:val="23"/>
          <w:szCs w:val="23"/>
        </w:rPr>
        <w:t>(x</w:t>
      </w:r>
      <w:proofErr w:type="gramStart"/>
      <w:r w:rsidRPr="005F58B0">
        <w:rPr>
          <w:i/>
          <w:iCs/>
          <w:sz w:val="23"/>
          <w:szCs w:val="23"/>
          <w:vertAlign w:val="subscript"/>
        </w:rPr>
        <w:t>1</w:t>
      </w:r>
      <w:r w:rsidRPr="005F58B0">
        <w:rPr>
          <w:i/>
          <w:iCs/>
          <w:sz w:val="23"/>
          <w:szCs w:val="23"/>
        </w:rPr>
        <w:t>,y</w:t>
      </w:r>
      <w:proofErr w:type="gramEnd"/>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w:t>
      </w:r>
      <w:proofErr w:type="spellStart"/>
      <w:r w:rsidRPr="005F58B0">
        <w:rPr>
          <w:i/>
          <w:iCs/>
          <w:sz w:val="23"/>
          <w:szCs w:val="23"/>
        </w:rPr>
        <w:t>x</w:t>
      </w:r>
      <w:r w:rsidRPr="005F58B0">
        <w:rPr>
          <w:i/>
          <w:iCs/>
          <w:sz w:val="23"/>
          <w:szCs w:val="23"/>
          <w:vertAlign w:val="subscript"/>
        </w:rPr>
        <w:t>n</w:t>
      </w:r>
      <w:r w:rsidRPr="005F58B0">
        <w:rPr>
          <w:i/>
          <w:iCs/>
          <w:sz w:val="23"/>
          <w:szCs w:val="23"/>
        </w:rPr>
        <w:t>,y</w:t>
      </w:r>
      <w:r w:rsidRPr="005F58B0">
        <w:rPr>
          <w:i/>
          <w:iCs/>
          <w:sz w:val="23"/>
          <w:szCs w:val="23"/>
          <w:vertAlign w:val="subscript"/>
        </w:rPr>
        <w:t>n</w:t>
      </w:r>
      <w:proofErr w:type="spellEnd"/>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 xml:space="preserve">e </w:t>
      </w:r>
      <w:proofErr w:type="spellStart"/>
      <w:r w:rsidRPr="005F58B0">
        <w:rPr>
          <w:i/>
          <w:iCs/>
        </w:rPr>
        <w:t>s</w:t>
      </w:r>
      <w:r w:rsidRPr="005F58B0">
        <w:rPr>
          <w:i/>
          <w:iCs/>
          <w:vertAlign w:val="subscript"/>
        </w:rPr>
        <w:t>x</w:t>
      </w:r>
      <w:proofErr w:type="spellEnd"/>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w:t>
      </w:r>
      <w:proofErr w:type="spellStart"/>
      <w:r w:rsidRPr="005F58B0">
        <w:rPr>
          <w:i/>
          <w:iCs/>
        </w:rPr>
        <w:t>x</w:t>
      </w:r>
      <w:r w:rsidRPr="005F58B0">
        <w:rPr>
          <w:i/>
          <w:iCs/>
          <w:sz w:val="16"/>
          <w:szCs w:val="16"/>
        </w:rPr>
        <w:t>n</w:t>
      </w:r>
      <w:proofErr w:type="spellEnd"/>
      <w:r w:rsidRPr="005F58B0">
        <w:rPr>
          <w:i/>
          <w:iCs/>
          <w:sz w:val="16"/>
          <w:szCs w:val="16"/>
        </w:rPr>
        <w:t xml:space="preserve"> </w:t>
      </w:r>
      <w:r w:rsidRPr="005F58B0">
        <w:rPr>
          <w:i/>
          <w:iCs/>
        </w:rPr>
        <w:t xml:space="preserve">ed inoltre siano </w:t>
      </w:r>
      <w:r w:rsidRPr="005F58B0">
        <w:rPr>
          <w:rFonts w:ascii="Cambria Math" w:hAnsi="Cambria Math" w:cs="Cambria Math"/>
          <w:i/>
          <w:iCs/>
        </w:rPr>
        <w:t xml:space="preserve">𝑦̅ </w:t>
      </w:r>
      <w:r w:rsidRPr="005F58B0">
        <w:rPr>
          <w:i/>
          <w:iCs/>
        </w:rPr>
        <w:t xml:space="preserve">e </w:t>
      </w:r>
      <w:proofErr w:type="spellStart"/>
      <w:r w:rsidRPr="005F58B0">
        <w:rPr>
          <w:i/>
          <w:iCs/>
        </w:rPr>
        <w:t>s</w:t>
      </w:r>
      <w:r w:rsidRPr="005F58B0">
        <w:rPr>
          <w:i/>
          <w:iCs/>
          <w:sz w:val="16"/>
          <w:szCs w:val="16"/>
        </w:rPr>
        <w:t>y</w:t>
      </w:r>
      <w:proofErr w:type="spellEnd"/>
      <w:r w:rsidRPr="005F58B0">
        <w:rPr>
          <w:i/>
          <w:iCs/>
          <w:sz w:val="16"/>
          <w:szCs w:val="16"/>
        </w:rPr>
        <w:t xml:space="preserve">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w:t>
      </w:r>
      <w:proofErr w:type="spellStart"/>
      <w:r w:rsidRPr="005F58B0">
        <w:rPr>
          <w:i/>
          <w:iCs/>
        </w:rPr>
        <w:t>y</w:t>
      </w:r>
      <w:r w:rsidRPr="005F58B0">
        <w:rPr>
          <w:i/>
          <w:iCs/>
          <w:sz w:val="16"/>
          <w:szCs w:val="16"/>
        </w:rPr>
        <w:t>n</w:t>
      </w:r>
      <w:proofErr w:type="spellEnd"/>
      <w:r w:rsidRPr="005F58B0">
        <w:rPr>
          <w:i/>
          <w:iCs/>
          <w:sz w:val="16"/>
          <w:szCs w:val="16"/>
        </w:rPr>
        <w:t xml:space="preserve">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587469"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77777777"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xml:space="preserve"> </m:t>
        </m:r>
      </m:oMath>
      <w:r>
        <w:rPr>
          <w:rFonts w:ascii="CMR10" w:hAnsi="CMR10" w:cs="CMR10"/>
        </w:rPr>
        <w:t xml:space="preserve">misura la </w:t>
      </w:r>
      <w:r>
        <w:t>forza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&lt;1</m:t>
        </m:r>
      </m:oMath>
      <w:r>
        <w:rPr>
          <w:rFonts w:cs="Times New Roman"/>
        </w:rPr>
        <w:t xml:space="preserve"> e il suo valore indica la direzione della retta interpolante. </w:t>
      </w:r>
    </w:p>
    <w:p w14:paraId="3A2AA90A" w14:textId="77777777" w:rsidR="00E11F99" w:rsidRDefault="0058746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58746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58746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58746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587469"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32A97B8C"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w:t>
      </w:r>
      <w:proofErr w:type="spellStart"/>
      <w:r>
        <w:t>scatterplot</w:t>
      </w:r>
      <w:proofErr w:type="spellEnd"/>
      <w:r>
        <w:t xml:space="preserve">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 xml:space="preserve">Il seguente codice permette di realizzare lo </w:t>
      </w:r>
      <w:proofErr w:type="spellStart"/>
      <w:r>
        <w:t>scatterplot</w:t>
      </w:r>
      <w:proofErr w:type="spellEnd"/>
      <w:r>
        <w:t xml:space="preserve"> relativo ai dati del 2019 e del 2020 con la retta interpolante stimata.</w:t>
      </w:r>
    </w:p>
    <w:p w14:paraId="602B0E85" w14:textId="77777777" w:rsidR="00BD1A26" w:rsidRDefault="00BD1A26" w:rsidP="00BD1A26">
      <w:pPr>
        <w:pStyle w:val="Nessunaspaziatura"/>
      </w:pPr>
      <w:proofErr w:type="gramStart"/>
      <w:r>
        <w:t>plot(</w:t>
      </w:r>
      <w:proofErr w:type="gramEnd"/>
      <w:r>
        <w:t xml:space="preserve">df$"2019", df$"2020", </w:t>
      </w:r>
      <w:proofErr w:type="spellStart"/>
      <w:r>
        <w:t>main</w:t>
      </w:r>
      <w:proofErr w:type="spellEnd"/>
      <w:r>
        <w:t>="Retta di regressione 2020 in funzione di 2019", col="blue",</w:t>
      </w:r>
    </w:p>
    <w:p w14:paraId="6ED8DF94" w14:textId="77777777" w:rsidR="00BD1A26" w:rsidRDefault="00BD1A26" w:rsidP="00BD1A26">
      <w:pPr>
        <w:pStyle w:val="Nessunaspaziatura"/>
      </w:pPr>
      <w:r>
        <w:t xml:space="preserve">     </w:t>
      </w:r>
      <w:proofErr w:type="spellStart"/>
      <w:r>
        <w:t>xlab</w:t>
      </w:r>
      <w:proofErr w:type="spellEnd"/>
      <w:r>
        <w:t xml:space="preserve">="2019", </w:t>
      </w:r>
      <w:proofErr w:type="spellStart"/>
      <w:r>
        <w:t>ylab</w:t>
      </w:r>
      <w:proofErr w:type="spellEnd"/>
      <w:r>
        <w:t>="2020")</w:t>
      </w:r>
    </w:p>
    <w:p w14:paraId="110613C0" w14:textId="77777777" w:rsidR="00BD1A26" w:rsidRDefault="00BD1A26" w:rsidP="00BD1A26">
      <w:pPr>
        <w:pStyle w:val="Nessunaspaziatura"/>
      </w:pPr>
      <w:proofErr w:type="spellStart"/>
      <w:r>
        <w:t>abline</w:t>
      </w:r>
      <w:proofErr w:type="spellEnd"/>
      <w:r>
        <w:t>(lm(df$"2020"~df$"2019"),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w:t>
      </w:r>
      <w:proofErr w:type="spellStart"/>
      <w:r w:rsidRPr="000D469A">
        <w:rPr>
          <w:rFonts w:ascii="Consolas" w:hAnsi="Consolas"/>
          <w:sz w:val="22"/>
          <w:szCs w:val="20"/>
        </w:rPr>
        <w:t>y˜x</w:t>
      </w:r>
      <w:proofErr w:type="spellEnd"/>
      <w:r w:rsidRPr="000D469A">
        <w:rPr>
          <w:rFonts w:ascii="Consolas" w:hAnsi="Consolas"/>
          <w:sz w:val="22"/>
          <w:szCs w:val="20"/>
        </w:rPr>
        <w:t>)</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587469"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2ACDC1D8" w:rsidR="00BE18B8" w:rsidRDefault="00BE18B8" w:rsidP="00BE18B8">
      <w:r>
        <w:t xml:space="preserve">Di seguito viene mostrato il grafico che rappresenta lo </w:t>
      </w:r>
      <w:proofErr w:type="spellStart"/>
      <w:r>
        <w:t>scatterplot</w:t>
      </w:r>
      <w:proofErr w:type="spellEnd"/>
      <w:r>
        <w:t xml:space="preserve"> dei punti, la retta di regressione e dei segmenti verticali che rappresentano i residui.</w:t>
      </w:r>
    </w:p>
    <w:p w14:paraId="2D961D8B" w14:textId="77777777" w:rsidR="00BE18B8" w:rsidRDefault="00BE18B8" w:rsidP="00BE18B8">
      <w:pPr>
        <w:pStyle w:val="Nessunaspaziatura"/>
      </w:pPr>
      <w:proofErr w:type="gramStart"/>
      <w:r>
        <w:t>plot(</w:t>
      </w:r>
      <w:proofErr w:type="gramEnd"/>
      <w:r>
        <w:t xml:space="preserve">df$"2019", df$"2020", </w:t>
      </w:r>
      <w:proofErr w:type="spellStart"/>
      <w:r>
        <w:t>main</w:t>
      </w:r>
      <w:proofErr w:type="spellEnd"/>
      <w:r>
        <w:t>="Retta di regressione 2020 in funzione di 2019 con residui", col="blue",</w:t>
      </w:r>
    </w:p>
    <w:p w14:paraId="72F82E7E" w14:textId="77777777" w:rsidR="00BE18B8" w:rsidRDefault="00BE18B8" w:rsidP="00BE18B8">
      <w:pPr>
        <w:pStyle w:val="Nessunaspaziatura"/>
      </w:pPr>
      <w:r>
        <w:t xml:space="preserve">     </w:t>
      </w:r>
      <w:proofErr w:type="spellStart"/>
      <w:r>
        <w:t>xlab</w:t>
      </w:r>
      <w:proofErr w:type="spellEnd"/>
      <w:r>
        <w:t xml:space="preserve">="2019", </w:t>
      </w:r>
      <w:proofErr w:type="spellStart"/>
      <w:r>
        <w:t>ylab</w:t>
      </w:r>
      <w:proofErr w:type="spellEnd"/>
      <w:r>
        <w:t>="2020")</w:t>
      </w:r>
    </w:p>
    <w:p w14:paraId="361C7F2D" w14:textId="77777777" w:rsidR="00BE18B8" w:rsidRDefault="00BE18B8" w:rsidP="00BE18B8">
      <w:pPr>
        <w:pStyle w:val="Nessunaspaziatura"/>
      </w:pPr>
      <w:proofErr w:type="spellStart"/>
      <w:proofErr w:type="gramStart"/>
      <w:r>
        <w:t>abline</w:t>
      </w:r>
      <w:proofErr w:type="spellEnd"/>
      <w:r>
        <w:t>(</w:t>
      </w:r>
      <w:proofErr w:type="spellStart"/>
      <w:proofErr w:type="gramEnd"/>
      <w:r>
        <w:t>linearmodel</w:t>
      </w:r>
      <w:proofErr w:type="spellEnd"/>
      <w:r>
        <w:t>, col="magenta")</w:t>
      </w:r>
    </w:p>
    <w:p w14:paraId="32923E4E" w14:textId="7E47AE4C" w:rsidR="00BE18B8" w:rsidRDefault="00BE18B8" w:rsidP="00BE18B8">
      <w:pPr>
        <w:pStyle w:val="Nessunaspaziatura"/>
      </w:pPr>
      <w:proofErr w:type="spellStart"/>
      <w:r>
        <w:t>segments</w:t>
      </w:r>
      <w:proofErr w:type="spellEnd"/>
      <w:r>
        <w:t xml:space="preserve"> (df$"2019", </w:t>
      </w:r>
      <w:proofErr w:type="spellStart"/>
      <w:r>
        <w:t>linearmodel$</w:t>
      </w:r>
      <w:proofErr w:type="gramStart"/>
      <w:r>
        <w:t>fitted.values</w:t>
      </w:r>
      <w:proofErr w:type="spellEnd"/>
      <w:proofErr w:type="gramEnd"/>
      <w:r>
        <w:t>,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proofErr w:type="gramStart"/>
      <w:r>
        <w:t>plot(</w:t>
      </w:r>
      <w:proofErr w:type="gramEnd"/>
      <w:r>
        <w:t xml:space="preserve">df$"2019", residui, </w:t>
      </w:r>
      <w:proofErr w:type="spellStart"/>
      <w:r>
        <w:t>main</w:t>
      </w:r>
      <w:proofErr w:type="spellEnd"/>
      <w:r>
        <w:t xml:space="preserve">="Diagramma dei residui", </w:t>
      </w:r>
      <w:proofErr w:type="spellStart"/>
      <w:r>
        <w:t>xlab</w:t>
      </w:r>
      <w:proofErr w:type="spellEnd"/>
      <w:r>
        <w:t xml:space="preserve">="2019", </w:t>
      </w:r>
      <w:proofErr w:type="spellStart"/>
      <w:r>
        <w:t>ylab</w:t>
      </w:r>
      <w:proofErr w:type="spellEnd"/>
      <w:r>
        <w:t xml:space="preserve">="Residui", col="blue", </w:t>
      </w:r>
      <w:proofErr w:type="spellStart"/>
      <w:r>
        <w:t>pch</w:t>
      </w:r>
      <w:proofErr w:type="spellEnd"/>
      <w:r>
        <w:t xml:space="preserve"> =9)</w:t>
      </w:r>
    </w:p>
    <w:p w14:paraId="6300EDBA" w14:textId="6A5A0922" w:rsidR="00207BAF" w:rsidRDefault="00207BAF" w:rsidP="00207BAF">
      <w:pPr>
        <w:pStyle w:val="Nessunaspaziatura"/>
      </w:pPr>
      <w:proofErr w:type="spellStart"/>
      <w:r>
        <w:t>abline</w:t>
      </w:r>
      <w:proofErr w:type="spellEnd"/>
      <w:r>
        <w:t xml:space="preserve"> (h=0, col ="magenta</w:t>
      </w:r>
      <w:proofErr w:type="gramStart"/>
      <w:r>
        <w:t>",</w:t>
      </w:r>
      <w:proofErr w:type="spellStart"/>
      <w:r>
        <w:t>lty</w:t>
      </w:r>
      <w:proofErr w:type="spellEnd"/>
      <w:proofErr w:type="gramEnd"/>
      <w:r>
        <w:t>=2)</w:t>
      </w:r>
    </w:p>
    <w:p w14:paraId="1552C09B" w14:textId="73E6503A" w:rsidR="00207BAF" w:rsidRDefault="00207BAF" w:rsidP="00207BAF">
      <w:r>
        <w:rPr>
          <w:noProof/>
        </w:rPr>
        <w:lastRenderedPageBreak/>
        <w:drawing>
          <wp:inline distT="0" distB="0" distL="0" distR="0" wp14:anchorId="4932BB3C" wp14:editId="6CF0FB51">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587469"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w:t>
      </w:r>
      <w:proofErr w:type="spellStart"/>
      <w:r>
        <w:t>linearmodel$residuals</w:t>
      </w:r>
      <w:proofErr w:type="spellEnd"/>
    </w:p>
    <w:p w14:paraId="1E8F5767" w14:textId="19921AD0" w:rsidR="00207BAF" w:rsidRDefault="00207BAF" w:rsidP="00207BAF">
      <w:pPr>
        <w:pStyle w:val="Nessunaspaziatura"/>
      </w:pPr>
      <w:proofErr w:type="spellStart"/>
      <w:r>
        <w:t>residuistandard</w:t>
      </w:r>
      <w:proofErr w:type="spellEnd"/>
      <w:r>
        <w:t>&lt;-residui/</w:t>
      </w:r>
      <w:proofErr w:type="spellStart"/>
      <w:r>
        <w:t>sd</w:t>
      </w:r>
      <w:proofErr w:type="spellEnd"/>
      <w:r>
        <w:t>(residui)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5516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9105950"/>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xml:space="preserve">, …, </w:t>
      </w:r>
      <w:proofErr w:type="spellStart"/>
      <w:r>
        <w:t>X</w:t>
      </w:r>
      <w:r>
        <w:rPr>
          <w:vertAlign w:val="subscript"/>
        </w:rPr>
        <w:t>p</w:t>
      </w:r>
      <w:proofErr w:type="spellEnd"/>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w:t>
      </w:r>
      <w:proofErr w:type="spellStart"/>
      <w:r>
        <w:t>dataframe</w:t>
      </w:r>
      <w:proofErr w:type="spellEnd"/>
      <w:r>
        <w:t xml:space="preserv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 xml:space="preserve">Il seguente grafico visualizza in un’unica finestra tutti gli </w:t>
      </w:r>
      <w:proofErr w:type="spellStart"/>
      <w:r>
        <w:t>scatterplot</w:t>
      </w:r>
      <w:proofErr w:type="spellEnd"/>
      <w:r>
        <w:t xml:space="preserve"> ottenuti mettendo in relazione le varie coppie di variabili.</w:t>
      </w:r>
    </w:p>
    <w:p w14:paraId="35B2F3C6" w14:textId="77777777" w:rsidR="00140525" w:rsidRDefault="00140525" w:rsidP="00140525">
      <w:pPr>
        <w:pStyle w:val="Nessunaspaziatura"/>
      </w:pPr>
      <w:proofErr w:type="spellStart"/>
      <w:proofErr w:type="gramStart"/>
      <w:r>
        <w:t>pairs</w:t>
      </w:r>
      <w:proofErr w:type="spellEnd"/>
      <w:r>
        <w:t>(</w:t>
      </w:r>
      <w:proofErr w:type="spellStart"/>
      <w:proofErr w:type="gramEnd"/>
      <w:r>
        <w:t>df</w:t>
      </w:r>
      <w:proofErr w:type="spellEnd"/>
      <w:r>
        <w:t xml:space="preserve">, </w:t>
      </w:r>
      <w:proofErr w:type="spellStart"/>
      <w:r>
        <w:t>main</w:t>
      </w:r>
      <w:proofErr w:type="spellEnd"/>
      <w:r>
        <w:t>="</w:t>
      </w:r>
      <w:proofErr w:type="spellStart"/>
      <w:r>
        <w:t>Scatterplot</w:t>
      </w:r>
      <w:proofErr w:type="spellEnd"/>
      <w:r>
        <w:t xml:space="preserve">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3120"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w:t>
      </w:r>
      <w:proofErr w:type="spellStart"/>
      <w:r>
        <w:t>scatterplot</w:t>
      </w:r>
      <w:proofErr w:type="spellEnd"/>
      <w:r>
        <w:t xml:space="preserve">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xml:space="preserve">= …= </w:t>
      </w:r>
      <w:proofErr w:type="spellStart"/>
      <w:r>
        <w:t>X</w:t>
      </w:r>
      <w:r>
        <w:rPr>
          <w:vertAlign w:val="subscript"/>
        </w:rPr>
        <w:t>p</w:t>
      </w:r>
      <w:proofErr w:type="spellEnd"/>
      <w:r>
        <w:t>=0;</w:t>
      </w:r>
    </w:p>
    <w:p w14:paraId="1BDCD522" w14:textId="1ED8DF85" w:rsidR="00140525" w:rsidRDefault="00587469"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xml:space="preserve">, </w:t>
      </w:r>
      <w:proofErr w:type="gramStart"/>
      <w:r w:rsidR="00140525">
        <w:t>…,</w:t>
      </w:r>
      <w:proofErr w:type="spellStart"/>
      <w:r w:rsidR="00140525">
        <w:t>X</w:t>
      </w:r>
      <w:r w:rsidR="00140525">
        <w:rPr>
          <w:vertAlign w:val="subscript"/>
        </w:rPr>
        <w:t>p</w:t>
      </w:r>
      <w:proofErr w:type="spellEnd"/>
      <w:proofErr w:type="gramEnd"/>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proofErr w:type="spellStart"/>
      <w:r w:rsidRPr="00140525">
        <w:t>multiplelinearmodel</w:t>
      </w:r>
      <w:proofErr w:type="spellEnd"/>
      <w:r w:rsidRPr="00140525">
        <w:t>&lt;-</w:t>
      </w:r>
      <w:proofErr w:type="gramStart"/>
      <w:r w:rsidRPr="00140525">
        <w:t>lm(</w:t>
      </w:r>
      <w:proofErr w:type="gramEnd"/>
      <w:r w:rsidRPr="00140525">
        <w:t>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proofErr w:type="gramStart"/>
      <w:r>
        <w:t>plot(</w:t>
      </w:r>
      <w:proofErr w:type="gramEnd"/>
      <w:r>
        <w:t xml:space="preserve">stime, </w:t>
      </w:r>
      <w:proofErr w:type="spellStart"/>
      <w:r>
        <w:t>residuistandard</w:t>
      </w:r>
      <w:proofErr w:type="spellEnd"/>
      <w:r>
        <w:t xml:space="preserve">, </w:t>
      </w:r>
      <w:proofErr w:type="spellStart"/>
      <w:r>
        <w:t>main</w:t>
      </w:r>
      <w:proofErr w:type="spellEnd"/>
      <w:r>
        <w:t xml:space="preserve">="Residui standardizzati rispetto ai valori stimati", </w:t>
      </w:r>
      <w:proofErr w:type="spellStart"/>
      <w:r>
        <w:t>xlab</w:t>
      </w:r>
      <w:proofErr w:type="spellEnd"/>
      <w:r>
        <w:t>="valori stimati"</w:t>
      </w:r>
    </w:p>
    <w:p w14:paraId="2F108578" w14:textId="77777777" w:rsidR="00A219D2" w:rsidRDefault="00A219D2" w:rsidP="00A219D2">
      <w:pPr>
        <w:pStyle w:val="Nessunaspaziatura"/>
      </w:pPr>
      <w:r>
        <w:t xml:space="preserve">     , </w:t>
      </w:r>
      <w:proofErr w:type="spellStart"/>
      <w:r>
        <w:t>ylab</w:t>
      </w:r>
      <w:proofErr w:type="spellEnd"/>
      <w:r>
        <w:t xml:space="preserve">="Residui standard", </w:t>
      </w:r>
      <w:proofErr w:type="spellStart"/>
      <w:r>
        <w:t>pch</w:t>
      </w:r>
      <w:proofErr w:type="spellEnd"/>
      <w:r>
        <w:t>=5, col="blue")</w:t>
      </w:r>
    </w:p>
    <w:p w14:paraId="6D162D87" w14:textId="27DD1D12" w:rsidR="00A219D2" w:rsidRDefault="00A219D2" w:rsidP="00A219D2">
      <w:pPr>
        <w:pStyle w:val="Nessunaspaziatura"/>
      </w:pPr>
      <w:proofErr w:type="spellStart"/>
      <w:r>
        <w:t>abline</w:t>
      </w:r>
      <w:proofErr w:type="spellEnd"/>
      <w:r>
        <w:t xml:space="preserve"> (h=0, col ="magenta</w:t>
      </w:r>
      <w:proofErr w:type="gramStart"/>
      <w:r>
        <w:t>",</w:t>
      </w:r>
      <w:proofErr w:type="spellStart"/>
      <w:r>
        <w:t>lty</w:t>
      </w:r>
      <w:proofErr w:type="spellEnd"/>
      <w:proofErr w:type="gramEnd"/>
      <w:r>
        <w:t xml:space="preserve"> =2)</w:t>
      </w:r>
    </w:p>
    <w:p w14:paraId="7AC426B4" w14:textId="0C8C6263" w:rsidR="00A219D2" w:rsidRDefault="003D68C4" w:rsidP="0011064B">
      <w:r>
        <w:rPr>
          <w:noProof/>
        </w:rPr>
        <w:drawing>
          <wp:anchor distT="0" distB="0" distL="114300" distR="114300" simplePos="0" relativeHeight="25165619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r>
        <w:br w:type="page"/>
      </w:r>
    </w:p>
    <w:p w14:paraId="55FF8D42" w14:textId="17AE2F4B" w:rsidR="002743EC" w:rsidRDefault="002743EC" w:rsidP="002743EC">
      <w:pPr>
        <w:pStyle w:val="Titolo1"/>
      </w:pPr>
      <w:bookmarkStart w:id="11" w:name="_Toc59105951"/>
      <w:r>
        <w:lastRenderedPageBreak/>
        <w:t>Analisi dei cluster</w:t>
      </w:r>
      <w:bookmarkEnd w:id="11"/>
    </w:p>
    <w:p w14:paraId="0E4ECF78" w14:textId="01C5E4DE"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il più eterogenei i gruppi così che il grado di associazione sia alto tra membri dello stesso gruppo e basso tra membri di gruppi diversi. </w:t>
      </w:r>
    </w:p>
    <w:p w14:paraId="0079F555" w14:textId="49A51B09"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587469"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w:t>
      </w:r>
      <w:proofErr w:type="spellStart"/>
      <w:r>
        <w:t>function</w:t>
      </w:r>
      <w:proofErr w:type="spellEnd"/>
      <w:r>
        <w:t xml:space="preserve"> (</w:t>
      </w:r>
      <w:proofErr w:type="spellStart"/>
      <w:proofErr w:type="gramStart"/>
      <w:r>
        <w:t>n,m</w:t>
      </w:r>
      <w:proofErr w:type="spellEnd"/>
      <w:proofErr w:type="gramEnd"/>
      <w:r>
        <w:t>){</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w:t>
      </w:r>
      <w:proofErr w:type="spellStart"/>
      <w:r>
        <w:t>if</w:t>
      </w:r>
      <w:proofErr w:type="spellEnd"/>
      <w:r>
        <w:t xml:space="preserve"> ((m &gt;=</w:t>
      </w:r>
      <w:proofErr w:type="gramStart"/>
      <w:r>
        <w:t>1)&amp;</w:t>
      </w:r>
      <w:proofErr w:type="gramEnd"/>
      <w:r>
        <w:t>(m &lt;=n)){</w:t>
      </w:r>
    </w:p>
    <w:p w14:paraId="321FFE82" w14:textId="77777777" w:rsidR="00C84977" w:rsidRDefault="00C84977" w:rsidP="00C84977">
      <w:pPr>
        <w:pStyle w:val="Nessunaspaziatura"/>
      </w:pPr>
      <w:r>
        <w:t xml:space="preserve">    for (k in </w:t>
      </w:r>
      <w:proofErr w:type="spellStart"/>
      <w:r>
        <w:t>seq</w:t>
      </w:r>
      <w:proofErr w:type="spellEnd"/>
      <w:r>
        <w:t xml:space="preserve"> (</w:t>
      </w:r>
      <w:proofErr w:type="gramStart"/>
      <w:r>
        <w:t>0,m</w:t>
      </w:r>
      <w:proofErr w:type="gramEnd"/>
      <w:r>
        <w:t>)){</w:t>
      </w:r>
    </w:p>
    <w:p w14:paraId="107385CA" w14:textId="77777777" w:rsidR="00C84977" w:rsidRDefault="00C84977" w:rsidP="00C84977">
      <w:pPr>
        <w:pStyle w:val="Nessunaspaziatura"/>
      </w:pPr>
      <w:r>
        <w:t xml:space="preserve">      s&lt;-s+( </w:t>
      </w:r>
      <w:proofErr w:type="spellStart"/>
      <w:r>
        <w:t>choose</w:t>
      </w:r>
      <w:proofErr w:type="spellEnd"/>
      <w:r>
        <w:t xml:space="preserve"> (</w:t>
      </w:r>
      <w:proofErr w:type="spellStart"/>
      <w:proofErr w:type="gramStart"/>
      <w:r>
        <w:t>m,k</w:t>
      </w:r>
      <w:proofErr w:type="spellEnd"/>
      <w:proofErr w:type="gramEnd"/>
      <w:r>
        <w:t xml:space="preserve">)*(-1)^k*(m-k)^n/ </w:t>
      </w:r>
      <w:proofErr w:type="spellStart"/>
      <w:r>
        <w:t>factorial</w:t>
      </w:r>
      <w:proofErr w:type="spellEnd"/>
      <w:r>
        <w:t xml:space="preserve"> (m))}</w:t>
      </w:r>
    </w:p>
    <w:p w14:paraId="3AE05194" w14:textId="77777777" w:rsidR="00C84977" w:rsidRDefault="00C84977" w:rsidP="00C84977">
      <w:pPr>
        <w:pStyle w:val="Nessunaspaziatura"/>
      </w:pPr>
      <w:r>
        <w:t xml:space="preserve">    </w:t>
      </w:r>
      <w:proofErr w:type="spellStart"/>
      <w:r>
        <w:t>return</w:t>
      </w:r>
      <w:proofErr w:type="spellEnd"/>
      <w:r>
        <w:t xml:space="preserve">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0B693419"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 xml:space="preserve">’approccio </w:t>
      </w:r>
      <w:proofErr w:type="spellStart"/>
      <w:r>
        <w:t>a</w:t>
      </w:r>
      <w:r w:rsidRPr="00DC009B">
        <w:t>gglomerativo</w:t>
      </w:r>
      <w:proofErr w:type="spellEnd"/>
      <w:r>
        <w:t xml:space="preserve"> è un approccio “bottom-up”, si parte dall’inserire ogni elemento in un singolo cluster e si procede ad accorparli a due a due; l’approccio divisivo è un approccio “top-down” che da un singolo cluster che comprende tutti gli elementi viene diviso in tanti sotto cluster. Tutti i metodi gerarchici producono una struttura ad albero chiamata “</w:t>
      </w:r>
      <w:proofErr w:type="spellStart"/>
      <w:r>
        <w:t>dendogramma</w:t>
      </w:r>
      <w:proofErr w:type="spellEnd"/>
      <w:r>
        <w:t>”.</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w:t>
      </w:r>
      <w:proofErr w:type="spellStart"/>
      <w:r>
        <w:t>means</w:t>
      </w:r>
      <w:proofErr w:type="spellEnd"/>
      <w:r>
        <w:t>.</w:t>
      </w:r>
    </w:p>
    <w:p w14:paraId="542538E7" w14:textId="20A33526" w:rsidR="009163E1" w:rsidRDefault="009163E1" w:rsidP="00B41242"/>
    <w:p w14:paraId="55F87F18" w14:textId="750F6F79" w:rsidR="00B41242" w:rsidRPr="00EF629B" w:rsidRDefault="00B41242" w:rsidP="00B41242">
      <w:r>
        <w:t xml:space="preserve">Per la suddivisione in cluster si è scelto </w:t>
      </w:r>
      <w:r w:rsidR="0009043A">
        <w:t xml:space="preserve">inizialmente </w:t>
      </w:r>
      <w:r>
        <w:t xml:space="preserve">di considerare la suddivisione in </w:t>
      </w:r>
      <w:proofErr w:type="gramStart"/>
      <w:r>
        <w:t>2</w:t>
      </w:r>
      <w:proofErr w:type="gramEnd"/>
      <w:r>
        <w:t xml:space="preserve"> cluster. </w:t>
      </w:r>
      <w:r w:rsidR="0009043A">
        <w:t xml:space="preserve">In seguito, si è deciso di effettuare un’ulteriore suddivisione in </w:t>
      </w:r>
      <w:proofErr w:type="gramStart"/>
      <w:r w:rsidR="0009043A">
        <w:t>3</w:t>
      </w:r>
      <w:proofErr w:type="gramEnd"/>
      <w:r w:rsidR="0009043A">
        <w:t xml:space="preserve"> cluster e di confrontare i risultati ottenuti. </w:t>
      </w:r>
      <w:r>
        <w:t>Tuttavia, al posto di considerare il data frame con i dati originali, si è scelto di scalarli per ottenere dei dati più piccoli.</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w:t>
      </w:r>
      <w:proofErr w:type="spellStart"/>
      <w:proofErr w:type="gramStart"/>
      <w:r w:rsidRPr="00953EE4">
        <w:t>dist</w:t>
      </w:r>
      <w:proofErr w:type="spellEnd"/>
      <w:r w:rsidRPr="00953EE4">
        <w:t>(</w:t>
      </w:r>
      <w:proofErr w:type="gramEnd"/>
      <w:r w:rsidRPr="00953EE4">
        <w:t xml:space="preserve">Z, </w:t>
      </w:r>
      <w:proofErr w:type="spellStart"/>
      <w:r w:rsidRPr="00953EE4">
        <w:t>method</w:t>
      </w:r>
      <w:proofErr w:type="spellEnd"/>
      <w:r w:rsidRPr="00953EE4">
        <w:t>="</w:t>
      </w:r>
      <w:proofErr w:type="spellStart"/>
      <w:r w:rsidRPr="00953EE4">
        <w:t>euclidean</w:t>
      </w:r>
      <w:proofErr w:type="spellEnd"/>
      <w:r w:rsidRPr="00953EE4">
        <w:t xml:space="preserve">", </w:t>
      </w:r>
      <w:proofErr w:type="spellStart"/>
      <w:r w:rsidRPr="00953EE4">
        <w:t>diag</w:t>
      </w:r>
      <w:proofErr w:type="spellEnd"/>
      <w:r w:rsidRPr="00953EE4">
        <w:t xml:space="preserve">=TRUE, </w:t>
      </w:r>
      <w:proofErr w:type="spellStart"/>
      <w:r w:rsidRPr="00953EE4">
        <w:t>upper</w:t>
      </w:r>
      <w:proofErr w:type="spellEnd"/>
      <w:r w:rsidRPr="00953EE4">
        <w:t>=TRUE)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bookmarkStart w:id="12" w:name="_Toc59105952"/>
      <w:r>
        <w:lastRenderedPageBreak/>
        <w:t>Metodi gerarchici</w:t>
      </w:r>
      <w:bookmarkEnd w:id="12"/>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proofErr w:type="spellStart"/>
      <w:r>
        <w:t>hls</w:t>
      </w:r>
      <w:proofErr w:type="spellEnd"/>
      <w:r>
        <w:t>&lt;-</w:t>
      </w:r>
      <w:proofErr w:type="spellStart"/>
      <w:proofErr w:type="gramStart"/>
      <w:r>
        <w:t>hclust</w:t>
      </w:r>
      <w:proofErr w:type="spellEnd"/>
      <w:r>
        <w:t>(</w:t>
      </w:r>
      <w:proofErr w:type="gramEnd"/>
      <w:r>
        <w:t xml:space="preserve">d, </w:t>
      </w:r>
      <w:proofErr w:type="spellStart"/>
      <w:r>
        <w:t>method</w:t>
      </w:r>
      <w:proofErr w:type="spellEnd"/>
      <w:r>
        <w:t>="single")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proofErr w:type="gramStart"/>
      <w:r>
        <w:t>plot(</w:t>
      </w:r>
      <w:proofErr w:type="spellStart"/>
      <w:proofErr w:type="gramEnd"/>
      <w:r>
        <w:t>hls</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singolo")</w:t>
      </w:r>
    </w:p>
    <w:p w14:paraId="2B369022" w14:textId="77777777" w:rsidR="0040557D" w:rsidRDefault="0040557D" w:rsidP="0040557D">
      <w:pPr>
        <w:pStyle w:val="Nessunaspaziatura"/>
      </w:pPr>
      <w:proofErr w:type="spellStart"/>
      <w:proofErr w:type="gramStart"/>
      <w:r>
        <w:t>rect.hclust</w:t>
      </w:r>
      <w:proofErr w:type="spellEnd"/>
      <w:proofErr w:type="gramEnd"/>
      <w:r>
        <w:t>(</w:t>
      </w:r>
      <w:proofErr w:type="spellStart"/>
      <w:r>
        <w:t>hls</w:t>
      </w:r>
      <w:proofErr w:type="spellEnd"/>
      <w:r>
        <w:t xml:space="preserve">, k=2, </w:t>
      </w:r>
      <w:proofErr w:type="spellStart"/>
      <w:r>
        <w:t>border</w:t>
      </w:r>
      <w:proofErr w:type="spellEnd"/>
      <w:r>
        <w:t>="green")</w:t>
      </w:r>
    </w:p>
    <w:p w14:paraId="67443873"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11D31C2A" w14:textId="3F367449" w:rsidR="0040557D" w:rsidRDefault="0040557D" w:rsidP="0040557D">
      <w:pPr>
        <w:pStyle w:val="Nessunaspaziatura"/>
      </w:pPr>
      <w:proofErr w:type="spellStart"/>
      <w:proofErr w:type="gramStart"/>
      <w:r>
        <w:t>dev.off</w:t>
      </w:r>
      <w:proofErr w:type="spellEnd"/>
      <w:r>
        <w:t>(</w:t>
      </w:r>
      <w:proofErr w:type="gramEnd"/>
      <w:r>
        <w:t>)</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proofErr w:type="spellStart"/>
      <w:r w:rsidRPr="0040557D">
        <w:t>hlm</w:t>
      </w:r>
      <w:proofErr w:type="spellEnd"/>
      <w:r w:rsidRPr="0040557D">
        <w:t>&lt;-</w:t>
      </w:r>
      <w:proofErr w:type="spellStart"/>
      <w:proofErr w:type="gramStart"/>
      <w:r w:rsidRPr="0040557D">
        <w:t>hclust</w:t>
      </w:r>
      <w:proofErr w:type="spellEnd"/>
      <w:r w:rsidRPr="0040557D">
        <w:t>(</w:t>
      </w:r>
      <w:proofErr w:type="gramEnd"/>
      <w:r w:rsidRPr="0040557D">
        <w:t xml:space="preserve">d, </w:t>
      </w:r>
      <w:proofErr w:type="spellStart"/>
      <w:r w:rsidRPr="0040557D">
        <w:t>method</w:t>
      </w:r>
      <w:proofErr w:type="spellEnd"/>
      <w:r w:rsidRPr="0040557D">
        <w:t>="</w:t>
      </w:r>
      <w:proofErr w:type="spellStart"/>
      <w:r w:rsidRPr="0040557D">
        <w:t>average</w:t>
      </w:r>
      <w:proofErr w:type="spellEnd"/>
      <w:r w:rsidRPr="0040557D">
        <w:t>")</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proofErr w:type="gramStart"/>
      <w:r w:rsidRPr="0040557D">
        <w:t>plot(</w:t>
      </w:r>
      <w:proofErr w:type="spellStart"/>
      <w:proofErr w:type="gramEnd"/>
      <w:r w:rsidRPr="0040557D">
        <w:t>hlm</w:t>
      </w:r>
      <w:proofErr w:type="spellEnd"/>
      <w:r w:rsidRPr="0040557D">
        <w:t xml:space="preserve">, </w:t>
      </w:r>
      <w:proofErr w:type="spellStart"/>
      <w:r w:rsidRPr="0040557D">
        <w:t>hang</w:t>
      </w:r>
      <w:proofErr w:type="spellEnd"/>
      <w:r w:rsidRPr="0040557D">
        <w:t xml:space="preserve">=-1, </w:t>
      </w:r>
      <w:proofErr w:type="spellStart"/>
      <w:r w:rsidRPr="0040557D">
        <w:t>xlab</w:t>
      </w:r>
      <w:proofErr w:type="spellEnd"/>
      <w:r w:rsidRPr="0040557D">
        <w:t xml:space="preserve">="Metodo gerarchico </w:t>
      </w:r>
      <w:proofErr w:type="spellStart"/>
      <w:r w:rsidRPr="0040557D">
        <w:t>agglomerativo</w:t>
      </w:r>
      <w:proofErr w:type="spellEnd"/>
      <w:r w:rsidRPr="0040557D">
        <w:t>", sub="del legame medio")</w:t>
      </w:r>
    </w:p>
    <w:p w14:paraId="59B0997E" w14:textId="77777777" w:rsidR="0040557D" w:rsidRPr="0040557D" w:rsidRDefault="0040557D" w:rsidP="0040557D">
      <w:pPr>
        <w:pStyle w:val="Nessunaspaziatura"/>
      </w:pPr>
      <w:proofErr w:type="spellStart"/>
      <w:proofErr w:type="gramStart"/>
      <w:r w:rsidRPr="0040557D">
        <w:t>rect.hclust</w:t>
      </w:r>
      <w:proofErr w:type="spellEnd"/>
      <w:proofErr w:type="gramEnd"/>
      <w:r w:rsidRPr="0040557D">
        <w:t>(</w:t>
      </w:r>
      <w:proofErr w:type="spellStart"/>
      <w:r w:rsidRPr="0040557D">
        <w:t>hlm</w:t>
      </w:r>
      <w:proofErr w:type="spellEnd"/>
      <w:r w:rsidRPr="0040557D">
        <w:t xml:space="preserve">, k=2, </w:t>
      </w:r>
      <w:proofErr w:type="spellStart"/>
      <w:r w:rsidRPr="0040557D">
        <w:t>border</w:t>
      </w:r>
      <w:proofErr w:type="spellEnd"/>
      <w:r w:rsidRPr="0040557D">
        <w:t>="green")</w:t>
      </w:r>
    </w:p>
    <w:p w14:paraId="66FD582E" w14:textId="77777777" w:rsidR="0040557D" w:rsidRPr="0040557D" w:rsidRDefault="0040557D" w:rsidP="0040557D">
      <w:pPr>
        <w:pStyle w:val="Nessunaspaziatura"/>
      </w:pPr>
      <w:proofErr w:type="spellStart"/>
      <w:proofErr w:type="gramStart"/>
      <w:r w:rsidRPr="0040557D">
        <w:t>axis</w:t>
      </w:r>
      <w:proofErr w:type="spellEnd"/>
      <w:r w:rsidRPr="0040557D">
        <w:t>(</w:t>
      </w:r>
      <w:proofErr w:type="gramEnd"/>
      <w:r w:rsidRPr="0040557D">
        <w:t xml:space="preserve">side=4, </w:t>
      </w:r>
      <w:proofErr w:type="spellStart"/>
      <w:r w:rsidRPr="0040557D">
        <w:t>at</w:t>
      </w:r>
      <w:proofErr w:type="spellEnd"/>
      <w:r w:rsidRPr="0040557D">
        <w:t xml:space="preserve">=round(c(0, </w:t>
      </w:r>
      <w:proofErr w:type="spellStart"/>
      <w:r w:rsidRPr="0040557D">
        <w:t>hls$height</w:t>
      </w:r>
      <w:proofErr w:type="spellEnd"/>
      <w:r w:rsidRPr="0040557D">
        <w:t>),2))</w:t>
      </w:r>
    </w:p>
    <w:p w14:paraId="01DDB4F7" w14:textId="6F278819" w:rsidR="0040557D" w:rsidRDefault="0040557D" w:rsidP="0040557D">
      <w:pPr>
        <w:pStyle w:val="Nessunaspaziatura"/>
      </w:pPr>
      <w:proofErr w:type="spellStart"/>
      <w:proofErr w:type="gramStart"/>
      <w:r w:rsidRPr="0040557D">
        <w:t>dev.off</w:t>
      </w:r>
      <w:proofErr w:type="spellEnd"/>
      <w:r w:rsidRPr="0040557D">
        <w:t>(</w:t>
      </w:r>
      <w:proofErr w:type="gramEnd"/>
      <w:r w:rsidRPr="0040557D">
        <w:t>)</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214C4769" w:rsidR="00B41242" w:rsidRDefault="00B41242" w:rsidP="00B41242">
      <w:r>
        <w:t xml:space="preserve">La distanza tra due gruppi g1 e g2, con n1 e n2 individui, è definita come la massima tra tutte le distanze di </w:t>
      </w:r>
      <w:r w:rsidR="00CC03B8">
        <w:t>g</w:t>
      </w:r>
      <w:r>
        <w:t xml:space="preserve">1 e </w:t>
      </w:r>
      <w:r w:rsidR="00CC03B8">
        <w:t>g</w:t>
      </w:r>
      <w:r>
        <w:t>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proofErr w:type="spellStart"/>
      <w:r>
        <w:t>hlc</w:t>
      </w:r>
      <w:proofErr w:type="spellEnd"/>
      <w:r>
        <w:t>&lt;-</w:t>
      </w:r>
      <w:proofErr w:type="spellStart"/>
      <w:proofErr w:type="gramStart"/>
      <w:r>
        <w:t>hclust</w:t>
      </w:r>
      <w:proofErr w:type="spellEnd"/>
      <w:r>
        <w:t>(</w:t>
      </w:r>
      <w:proofErr w:type="gramEnd"/>
      <w:r>
        <w:t xml:space="preserve">d, </w:t>
      </w:r>
      <w:proofErr w:type="spellStart"/>
      <w:r>
        <w:t>method</w:t>
      </w:r>
      <w:proofErr w:type="spellEnd"/>
      <w:r>
        <w:t>="complete")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proofErr w:type="gramStart"/>
      <w:r>
        <w:t>plot(</w:t>
      </w:r>
      <w:proofErr w:type="spellStart"/>
      <w:proofErr w:type="gramEnd"/>
      <w:r>
        <w:t>hlc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completo")</w:t>
      </w:r>
    </w:p>
    <w:p w14:paraId="1F2958A3" w14:textId="77777777" w:rsidR="0040557D" w:rsidRDefault="0040557D" w:rsidP="0040557D">
      <w:pPr>
        <w:pStyle w:val="Nessunaspaziatura"/>
      </w:pPr>
      <w:proofErr w:type="spellStart"/>
      <w:proofErr w:type="gramStart"/>
      <w:r>
        <w:t>rect.hclust</w:t>
      </w:r>
      <w:proofErr w:type="spellEnd"/>
      <w:proofErr w:type="gramEnd"/>
      <w:r>
        <w:t>(</w:t>
      </w:r>
      <w:proofErr w:type="spellStart"/>
      <w:r>
        <w:t>hlc</w:t>
      </w:r>
      <w:proofErr w:type="spellEnd"/>
      <w:r>
        <w:t xml:space="preserve">, k=2, </w:t>
      </w:r>
      <w:proofErr w:type="spellStart"/>
      <w:r>
        <w:t>border</w:t>
      </w:r>
      <w:proofErr w:type="spellEnd"/>
      <w:r>
        <w:t>="green")</w:t>
      </w:r>
    </w:p>
    <w:p w14:paraId="103A1BFE"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36485EBF" w14:textId="4CD5D009" w:rsidR="0040557D" w:rsidRDefault="0040557D" w:rsidP="0040557D">
      <w:pPr>
        <w:pStyle w:val="Nessunaspaziatura"/>
      </w:pPr>
      <w:proofErr w:type="spellStart"/>
      <w:proofErr w:type="gramStart"/>
      <w:r>
        <w:t>dev.off</w:t>
      </w:r>
      <w:proofErr w:type="spellEnd"/>
      <w:r>
        <w:t>(</w:t>
      </w:r>
      <w:proofErr w:type="gramEnd"/>
      <w:r>
        <w:t>)</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 xml:space="preserve">Metodo del </w:t>
      </w:r>
      <w:proofErr w:type="spellStart"/>
      <w:r w:rsidRPr="0040557D">
        <w:rPr>
          <w:b/>
          <w:bCs/>
        </w:rPr>
        <w:t>centroide</w:t>
      </w:r>
      <w:proofErr w:type="spellEnd"/>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proofErr w:type="spellStart"/>
      <w:r>
        <w:t>hc</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centroid</w:t>
      </w:r>
      <w:proofErr w:type="spellEnd"/>
      <w:r>
        <w:t>")</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proofErr w:type="gramStart"/>
      <w:r>
        <w:t>plot(</w:t>
      </w:r>
      <w:proofErr w:type="spellStart"/>
      <w:proofErr w:type="gramEnd"/>
      <w:r>
        <w:t>hc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xml:space="preserve">", sub="del </w:t>
      </w:r>
      <w:proofErr w:type="spellStart"/>
      <w:r>
        <w:t>centroide</w:t>
      </w:r>
      <w:proofErr w:type="spellEnd"/>
      <w:r>
        <w:t>")</w:t>
      </w:r>
    </w:p>
    <w:p w14:paraId="248CBA62" w14:textId="77777777" w:rsidR="0040557D" w:rsidRDefault="0040557D" w:rsidP="0040557D">
      <w:pPr>
        <w:pStyle w:val="Nessunaspaziatura"/>
      </w:pPr>
      <w:proofErr w:type="spellStart"/>
      <w:proofErr w:type="gramStart"/>
      <w:r>
        <w:t>rect.hclust</w:t>
      </w:r>
      <w:proofErr w:type="spellEnd"/>
      <w:proofErr w:type="gramEnd"/>
      <w:r>
        <w:t>(</w:t>
      </w:r>
      <w:proofErr w:type="spellStart"/>
      <w:r>
        <w:t>hc</w:t>
      </w:r>
      <w:proofErr w:type="spellEnd"/>
      <w:r>
        <w:t xml:space="preserve">, k=2, </w:t>
      </w:r>
      <w:proofErr w:type="spellStart"/>
      <w:r>
        <w:t>border</w:t>
      </w:r>
      <w:proofErr w:type="spellEnd"/>
      <w:r>
        <w:t>="green")</w:t>
      </w:r>
    </w:p>
    <w:p w14:paraId="45D70FFA"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09F754AD" w14:textId="41353C53" w:rsidR="0040557D" w:rsidRDefault="0040557D" w:rsidP="0040557D">
      <w:pPr>
        <w:pStyle w:val="Nessunaspaziatura"/>
      </w:pPr>
      <w:proofErr w:type="spellStart"/>
      <w:proofErr w:type="gramStart"/>
      <w:r>
        <w:t>dev.off</w:t>
      </w:r>
      <w:proofErr w:type="spellEnd"/>
      <w:r>
        <w:t>(</w:t>
      </w:r>
      <w:proofErr w:type="gramEnd"/>
      <w:r>
        <w:t>)</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 xml:space="preserve">Il metodo della mediana è simile a quello del </w:t>
      </w:r>
      <w:proofErr w:type="spellStart"/>
      <w:r>
        <w:t>centroide</w:t>
      </w:r>
      <w:proofErr w:type="spellEnd"/>
      <w:r>
        <w:t xml:space="preserve">, ma non è dipendente dalla numerosità del gruppo. Quando due gruppi si uniscono, il nuovo </w:t>
      </w:r>
      <w:proofErr w:type="spellStart"/>
      <w:r>
        <w:t>centroide</w:t>
      </w:r>
      <w:proofErr w:type="spellEnd"/>
      <w:r>
        <w:t xml:space="preserve"> è calcolato come la semisomma dei due gruppi precedenti.</w:t>
      </w:r>
    </w:p>
    <w:p w14:paraId="736CAA38" w14:textId="77777777" w:rsidR="0040557D" w:rsidRDefault="0040557D" w:rsidP="0040557D">
      <w:pPr>
        <w:pStyle w:val="Nessunaspaziatura"/>
      </w:pPr>
      <w:proofErr w:type="spellStart"/>
      <w:r>
        <w:t>hmed</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median</w:t>
      </w:r>
      <w:proofErr w:type="spellEnd"/>
      <w:r>
        <w:t>")</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proofErr w:type="gramStart"/>
      <w:r>
        <w:t>plot(</w:t>
      </w:r>
      <w:proofErr w:type="spellStart"/>
      <w:proofErr w:type="gramEnd"/>
      <w:r>
        <w:t>hmed</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sub="della mediana")</w:t>
      </w:r>
    </w:p>
    <w:p w14:paraId="5FFDD28F" w14:textId="77777777" w:rsidR="0040557D" w:rsidRDefault="0040557D" w:rsidP="0040557D">
      <w:pPr>
        <w:pStyle w:val="Nessunaspaziatura"/>
      </w:pPr>
      <w:proofErr w:type="spellStart"/>
      <w:proofErr w:type="gramStart"/>
      <w:r>
        <w:t>rect.hclust</w:t>
      </w:r>
      <w:proofErr w:type="spellEnd"/>
      <w:proofErr w:type="gramEnd"/>
      <w:r>
        <w:t>(</w:t>
      </w:r>
      <w:proofErr w:type="spellStart"/>
      <w:r>
        <w:t>hmed</w:t>
      </w:r>
      <w:proofErr w:type="spellEnd"/>
      <w:r>
        <w:t xml:space="preserve">, k=2, </w:t>
      </w:r>
      <w:proofErr w:type="spellStart"/>
      <w:r>
        <w:t>border</w:t>
      </w:r>
      <w:proofErr w:type="spellEnd"/>
      <w:r>
        <w:t>="green")</w:t>
      </w:r>
    </w:p>
    <w:p w14:paraId="2783A75F"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76888352" w14:textId="5598F058" w:rsidR="0040557D" w:rsidRDefault="0040557D" w:rsidP="0040557D">
      <w:pPr>
        <w:pStyle w:val="Nessunaspaziatura"/>
      </w:pPr>
      <w:proofErr w:type="spellStart"/>
      <w:proofErr w:type="gramStart"/>
      <w:r>
        <w:t>dev.off</w:t>
      </w:r>
      <w:proofErr w:type="spellEnd"/>
      <w:r>
        <w:t>(</w:t>
      </w:r>
      <w:proofErr w:type="gramEnd"/>
      <w:r>
        <w:t>)</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w:t>
      </w:r>
      <w:proofErr w:type="spellStart"/>
      <w:r w:rsidR="0061565F">
        <w:t>trT</w:t>
      </w:r>
      <w:proofErr w:type="spellEnd"/>
      <w:r w:rsidR="0061565F">
        <w:t>), ai singoli cluster ottenuti e alla somma delle loro misure di non omogeneità (</w:t>
      </w:r>
      <w:proofErr w:type="spellStart"/>
      <w:r w:rsidR="0061565F">
        <w:t>trS</w:t>
      </w:r>
      <w:proofErr w:type="spellEnd"/>
      <w:r w:rsidR="0061565F">
        <w:t>) e alla misura di non omogeneità tra i cluster (</w:t>
      </w:r>
      <w:proofErr w:type="spellStart"/>
      <w:r w:rsidR="0061565F">
        <w:t>trB</w:t>
      </w:r>
      <w:proofErr w:type="spellEnd"/>
      <w:r w:rsidR="0061565F">
        <w:t>).</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 xml:space="preserve">ogni fissata matrice X dei dati si ha che la </w:t>
      </w:r>
      <w:proofErr w:type="spellStart"/>
      <w:r w:rsidRPr="0061565F">
        <w:t>trT</w:t>
      </w:r>
      <w:proofErr w:type="spellEnd"/>
      <w:r w:rsidRPr="0061565F">
        <w:t xml:space="preserve"> è fissata, i cluster dovrebbero essere individuati in modo da minimizzare la misura di non omogeneità statistica all’interno dei cluster (</w:t>
      </w:r>
      <w:proofErr w:type="spellStart"/>
      <w:r w:rsidRPr="0061565F">
        <w:t>within</w:t>
      </w:r>
      <w:proofErr w:type="spellEnd"/>
      <w:r w:rsidRPr="0061565F">
        <w:t>) e massimizzare la misura di non omogeneità statistica tra i gruppi (</w:t>
      </w:r>
      <w:proofErr w:type="spellStart"/>
      <w:r w:rsidRPr="0061565F">
        <w:t>between</w:t>
      </w:r>
      <w:proofErr w:type="spellEnd"/>
      <w:r w:rsidRPr="0061565F">
        <w:t>).</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w:t>
      </w:r>
      <w:proofErr w:type="spellStart"/>
      <w:r>
        <w:t>nrow</w:t>
      </w:r>
      <w:proofErr w:type="spellEnd"/>
      <w:r>
        <w:t>(Z)</w:t>
      </w:r>
    </w:p>
    <w:p w14:paraId="6A3D2EE4" w14:textId="3A7BD98F" w:rsidR="0040557D" w:rsidRDefault="0040557D" w:rsidP="0040557D">
      <w:pPr>
        <w:pStyle w:val="Nessunaspaziatura"/>
      </w:pPr>
      <w:proofErr w:type="spellStart"/>
      <w:r>
        <w:t>tr</w:t>
      </w:r>
      <w:r w:rsidR="0061565F">
        <w:t>T</w:t>
      </w:r>
      <w:proofErr w:type="spellEnd"/>
      <w:r>
        <w:t>&lt;-(n-</w:t>
      </w:r>
      <w:proofErr w:type="gramStart"/>
      <w:r>
        <w:t>1)*</w:t>
      </w:r>
      <w:proofErr w:type="gramEnd"/>
      <w:r>
        <w:t>sum(</w:t>
      </w:r>
      <w:proofErr w:type="spellStart"/>
      <w:r>
        <w:t>apply</w:t>
      </w:r>
      <w:proofErr w:type="spellEnd"/>
      <w:r>
        <w:t>(Z,2,var))</w:t>
      </w:r>
      <w:r w:rsidR="0061565F">
        <w:t xml:space="preserve"> #misura di non </w:t>
      </w:r>
      <w:proofErr w:type="spellStart"/>
      <w:r w:rsidR="0061565F">
        <w:t>omogenità</w:t>
      </w:r>
      <w:proofErr w:type="spellEnd"/>
      <w:r w:rsidR="0061565F">
        <w:t xml:space="preserve"> totale</w:t>
      </w:r>
    </w:p>
    <w:p w14:paraId="706EA04B" w14:textId="7BA3B27A" w:rsidR="0040557D" w:rsidRDefault="0040557D" w:rsidP="0040557D">
      <w:pPr>
        <w:pStyle w:val="Nessunaspaziatura"/>
      </w:pPr>
      <w:r>
        <w:t>taglio&lt;-</w:t>
      </w:r>
      <w:proofErr w:type="spellStart"/>
      <w:proofErr w:type="gramStart"/>
      <w:r>
        <w:t>cutree</w:t>
      </w:r>
      <w:proofErr w:type="spellEnd"/>
      <w:r>
        <w:t>(</w:t>
      </w:r>
      <w:proofErr w:type="spellStart"/>
      <w:proofErr w:type="gramEnd"/>
      <w:r>
        <w:t>hls</w:t>
      </w:r>
      <w:proofErr w:type="spellEnd"/>
      <w:r>
        <w:t>, k=2)</w:t>
      </w:r>
    </w:p>
    <w:p w14:paraId="5F085714" w14:textId="1EEFD12C" w:rsidR="0040557D" w:rsidRDefault="0040557D" w:rsidP="0040557D">
      <w:pPr>
        <w:pStyle w:val="Nessunaspaziatura"/>
      </w:pPr>
      <w:proofErr w:type="spellStart"/>
      <w:r>
        <w:t>num</w:t>
      </w:r>
      <w:proofErr w:type="spellEnd"/>
      <w:r>
        <w:t xml:space="preserve"> &lt;-</w:t>
      </w:r>
      <w:proofErr w:type="spellStart"/>
      <w:r>
        <w:t>table</w:t>
      </w:r>
      <w:proofErr w:type="spellEnd"/>
      <w:r>
        <w:t xml:space="preserve"> (taglio)</w:t>
      </w:r>
      <w:r w:rsidR="0024002B">
        <w:t xml:space="preserve"> #numero di elementi dei gruppi</w:t>
      </w:r>
    </w:p>
    <w:p w14:paraId="5E018197" w14:textId="13015C49" w:rsidR="0040557D" w:rsidRDefault="0040557D" w:rsidP="0040557D">
      <w:pPr>
        <w:pStyle w:val="Nessunaspaziatura"/>
      </w:pPr>
      <w:proofErr w:type="spellStart"/>
      <w:r>
        <w:t>tagliolist</w:t>
      </w:r>
      <w:proofErr w:type="spellEnd"/>
      <w:r>
        <w:t>&lt;-list(taglio)</w:t>
      </w:r>
      <w:r w:rsidR="0024002B">
        <w:t xml:space="preserve"> #lista di indici per i gruppi</w:t>
      </w:r>
    </w:p>
    <w:p w14:paraId="7AD56A33" w14:textId="26569B80" w:rsidR="0040557D" w:rsidRDefault="0040557D" w:rsidP="0040557D">
      <w:pPr>
        <w:pStyle w:val="Nessunaspaziatura"/>
      </w:pPr>
      <w:proofErr w:type="spellStart"/>
      <w:r>
        <w:t>agvar</w:t>
      </w:r>
      <w:proofErr w:type="spellEnd"/>
      <w:r>
        <w:t xml:space="preserve"> &lt;- aggregate (Z, </w:t>
      </w:r>
      <w:proofErr w:type="spellStart"/>
      <w:r>
        <w:t>tagliolist</w:t>
      </w:r>
      <w:proofErr w:type="spellEnd"/>
      <w:r>
        <w:t xml:space="preserve">, </w:t>
      </w:r>
      <w:proofErr w:type="spellStart"/>
      <w:proofErr w:type="gramStart"/>
      <w:r>
        <w:t>var</w:t>
      </w:r>
      <w:proofErr w:type="spellEnd"/>
      <w:r>
        <w:t>)[</w:t>
      </w:r>
      <w:proofErr w:type="gramEnd"/>
      <w:r>
        <w:t>, -1]</w:t>
      </w:r>
    </w:p>
    <w:p w14:paraId="68581964" w14:textId="5BF1FFF8" w:rsidR="0040557D" w:rsidRDefault="0040557D" w:rsidP="0040557D">
      <w:pPr>
        <w:pStyle w:val="Nessunaspaziatura"/>
      </w:pPr>
      <w:r>
        <w:t>trH1&lt;-(</w:t>
      </w:r>
      <w:proofErr w:type="spellStart"/>
      <w:proofErr w:type="gramStart"/>
      <w:r>
        <w:t>num</w:t>
      </w:r>
      <w:proofErr w:type="spellEnd"/>
      <w:r>
        <w:t>[</w:t>
      </w:r>
      <w:proofErr w:type="gramEnd"/>
      <w:r>
        <w:t>[1]]-1)*sum(</w:t>
      </w:r>
      <w:proofErr w:type="spellStart"/>
      <w:r>
        <w:t>agvar</w:t>
      </w:r>
      <w:proofErr w:type="spellEnd"/>
      <w:r>
        <w:t xml:space="preserve"> [1, ])</w:t>
      </w:r>
      <w:r w:rsidR="0061565F" w:rsidRPr="0061565F">
        <w:t xml:space="preserve"> </w:t>
      </w:r>
      <w:r w:rsidR="0061565F">
        <w:t xml:space="preserve">#misura di non </w:t>
      </w:r>
      <w:proofErr w:type="spellStart"/>
      <w:r w:rsidR="0061565F">
        <w:t>omogenità</w:t>
      </w:r>
      <w:proofErr w:type="spellEnd"/>
      <w:r w:rsidR="0061565F">
        <w:t xml:space="preserve"> del primo gruppo</w:t>
      </w:r>
    </w:p>
    <w:p w14:paraId="16D2FCB4" w14:textId="12307EF2" w:rsidR="0040557D" w:rsidRDefault="0040557D" w:rsidP="0040557D">
      <w:pPr>
        <w:pStyle w:val="Nessunaspaziatura"/>
      </w:pPr>
      <w:r>
        <w:t>trH2&lt;-(</w:t>
      </w:r>
      <w:proofErr w:type="spellStart"/>
      <w:proofErr w:type="gramStart"/>
      <w:r>
        <w:t>num</w:t>
      </w:r>
      <w:proofErr w:type="spellEnd"/>
      <w:r>
        <w:t>[</w:t>
      </w:r>
      <w:proofErr w:type="gramEnd"/>
      <w:r>
        <w:t>[2]]-1)*sum(</w:t>
      </w:r>
      <w:proofErr w:type="spellStart"/>
      <w:r>
        <w:t>agvar</w:t>
      </w:r>
      <w:proofErr w:type="spellEnd"/>
      <w:r>
        <w:t xml:space="preserve"> [2, ])</w:t>
      </w:r>
      <w:r w:rsidR="0061565F">
        <w:t xml:space="preserve"> #misura di non </w:t>
      </w:r>
      <w:proofErr w:type="spellStart"/>
      <w:r w:rsidR="0061565F">
        <w:t>omogenità</w:t>
      </w:r>
      <w:proofErr w:type="spellEnd"/>
      <w:r w:rsidR="0061565F">
        <w:t xml:space="preserve"> del secondo gruppo</w:t>
      </w:r>
    </w:p>
    <w:p w14:paraId="37354408" w14:textId="4E45E46B" w:rsidR="0040557D" w:rsidRDefault="0040557D" w:rsidP="0040557D">
      <w:pPr>
        <w:pStyle w:val="Nessunaspaziatura"/>
      </w:pPr>
      <w:proofErr w:type="spellStart"/>
      <w:r>
        <w:t>trB</w:t>
      </w:r>
      <w:proofErr w:type="spellEnd"/>
      <w:r>
        <w:t>&lt;-tr</w:t>
      </w:r>
      <w:r w:rsidR="0061565F">
        <w:t>T</w:t>
      </w:r>
      <w:r>
        <w:t xml:space="preserve">-trH1-trH2 </w:t>
      </w:r>
      <w:r w:rsidR="0061565F">
        <w:t xml:space="preserve">#misura di non </w:t>
      </w:r>
      <w:proofErr w:type="spellStart"/>
      <w:r w:rsidR="0061565F">
        <w:t>omogenità</w:t>
      </w:r>
      <w:proofErr w:type="spellEnd"/>
      <w:r w:rsidR="0061565F">
        <w:t xml:space="preserve"> tra i cluster</w:t>
      </w:r>
    </w:p>
    <w:p w14:paraId="33201F14" w14:textId="35E8B697" w:rsidR="0040557D" w:rsidRDefault="0040557D" w:rsidP="0040557D">
      <w:pPr>
        <w:pStyle w:val="Nessunaspaziatura"/>
      </w:pPr>
      <w:proofErr w:type="spellStart"/>
      <w:r>
        <w:t>rapportoLegameSingolo</w:t>
      </w:r>
      <w:proofErr w:type="spellEnd"/>
      <w:r>
        <w:t>&lt;-</w:t>
      </w:r>
      <w:proofErr w:type="spellStart"/>
      <w:r>
        <w:t>trB</w:t>
      </w:r>
      <w:proofErr w:type="spellEnd"/>
      <w:r>
        <w:t>/</w:t>
      </w:r>
      <w:proofErr w:type="spellStart"/>
      <w:r>
        <w:t>trH</w:t>
      </w:r>
      <w:proofErr w:type="spellEnd"/>
    </w:p>
    <w:p w14:paraId="37D07376" w14:textId="52EA36D4" w:rsidR="0040557D" w:rsidRDefault="0040557D" w:rsidP="0040557D">
      <w:pPr>
        <w:pStyle w:val="Nessunaspaziatura"/>
      </w:pPr>
    </w:p>
    <w:p w14:paraId="35910CB3" w14:textId="52E02202" w:rsidR="004D2686" w:rsidRDefault="004D2686" w:rsidP="0024002B">
      <w:r>
        <w:lastRenderedPageBreak/>
        <w:t>P</w:t>
      </w:r>
      <w:r w:rsidR="002C4402">
        <w:t xml:space="preserve">rima di tutto viene calcolata la misura di non </w:t>
      </w:r>
      <w:proofErr w:type="spellStart"/>
      <w:r w:rsidR="002C4402">
        <w:t>omogenità</w:t>
      </w:r>
      <w:proofErr w:type="spellEnd"/>
      <w:r w:rsidR="002C4402">
        <w:t xml:space="preserve"> totale all’interno del </w:t>
      </w:r>
      <w:proofErr w:type="spellStart"/>
      <w:r w:rsidR="002C4402">
        <w:t>dataframe</w:t>
      </w:r>
      <w:proofErr w:type="spellEnd"/>
      <w:r w:rsidR="002C4402">
        <w:t xml:space="preserve"> Z</w:t>
      </w:r>
      <w:r>
        <w:t xml:space="preserve"> utilizza</w:t>
      </w:r>
      <w:r w:rsidR="002C4402">
        <w:t xml:space="preserve">ndo </w:t>
      </w:r>
      <w:r>
        <w:t xml:space="preserve">la seguente istruzione: </w:t>
      </w:r>
      <w:proofErr w:type="spellStart"/>
      <w:r w:rsidRPr="002C4402">
        <w:rPr>
          <w:rFonts w:ascii="Consolas" w:hAnsi="Consolas"/>
        </w:rPr>
        <w:t>trT</w:t>
      </w:r>
      <w:proofErr w:type="spellEnd"/>
      <w:r w:rsidRPr="002C4402">
        <w:rPr>
          <w:rFonts w:ascii="Consolas" w:hAnsi="Consolas"/>
        </w:rPr>
        <w:t>&lt;-(n-</w:t>
      </w:r>
      <w:proofErr w:type="gramStart"/>
      <w:r w:rsidRPr="002C4402">
        <w:rPr>
          <w:rFonts w:ascii="Consolas" w:hAnsi="Consolas"/>
        </w:rPr>
        <w:t>1)*</w:t>
      </w:r>
      <w:proofErr w:type="gramEnd"/>
      <w:r w:rsidRPr="002C4402">
        <w:rPr>
          <w:rFonts w:ascii="Consolas" w:hAnsi="Consolas"/>
        </w:rPr>
        <w:t>sum(</w:t>
      </w:r>
      <w:proofErr w:type="spellStart"/>
      <w:r w:rsidRPr="002C4402">
        <w:rPr>
          <w:rFonts w:ascii="Consolas" w:hAnsi="Consolas"/>
        </w:rPr>
        <w:t>apply</w:t>
      </w:r>
      <w:proofErr w:type="spellEnd"/>
      <w:r w:rsidRPr="002C4402">
        <w:rPr>
          <w:rFonts w:ascii="Consolas" w:hAnsi="Consolas"/>
        </w:rPr>
        <w:t>(Z,2,var))</w:t>
      </w:r>
      <w:r>
        <w:t xml:space="preserve">. La funzione </w:t>
      </w:r>
      <w:proofErr w:type="spellStart"/>
      <w:r w:rsidRPr="002C4402">
        <w:rPr>
          <w:rFonts w:ascii="Consolas" w:hAnsi="Consolas"/>
        </w:rPr>
        <w:t>apply</w:t>
      </w:r>
      <w:proofErr w:type="spellEnd"/>
      <w:r w:rsidRPr="002C4402">
        <w:rPr>
          <w:rFonts w:ascii="Consolas" w:hAnsi="Consolas"/>
        </w:rPr>
        <w:t xml:space="preserve"> </w:t>
      </w:r>
      <w:r>
        <w:t xml:space="preserve">permette di applicare la funzione varianza alle colonne del </w:t>
      </w:r>
      <w:proofErr w:type="spellStart"/>
      <w:r>
        <w:t>dataframe</w:t>
      </w:r>
      <w:proofErr w:type="spellEnd"/>
      <w:r>
        <w:t xml:space="preserve"> Z. Per calcolare la misura di non omogeneità </w:t>
      </w:r>
      <w:r w:rsidR="002C4402">
        <w:t>i valori delle varianze delle singole colonne</w:t>
      </w:r>
      <w:r>
        <w:t xml:space="preserve"> vengono sommati e si moltiplica il tutto per il numero di individui nel </w:t>
      </w:r>
      <w:proofErr w:type="spellStart"/>
      <w:r>
        <w:t>dataframe</w:t>
      </w:r>
      <w:proofErr w:type="spellEnd"/>
      <w:r>
        <w:t xml:space="preserve"> </w:t>
      </w:r>
      <w:r w:rsidR="002C4402">
        <w:t>(a cui si sottrae 1)</w:t>
      </w:r>
      <w:r>
        <w:t xml:space="preserve">. </w:t>
      </w:r>
      <w:r w:rsidR="002C4402">
        <w:t xml:space="preserve">Pertanto, la misura di non omogeneità totale: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proofErr w:type="spellStart"/>
      <w:r w:rsidRPr="002C4402">
        <w:rPr>
          <w:rFonts w:ascii="Consolas" w:hAnsi="Consolas"/>
        </w:rPr>
        <w:t>cuttree</w:t>
      </w:r>
      <w:proofErr w:type="spellEnd"/>
      <w:r>
        <w:t xml:space="preserve"> si ottiene un vettore contenente numeri interi positivi per indicare i cluster a cui sono stati associati gli individui. Successivamente si ricava il numero di elementi associati a ciascun cluster con l’istruzione </w:t>
      </w:r>
      <w:proofErr w:type="spellStart"/>
      <w:r w:rsidR="004D2686" w:rsidRPr="002C4402">
        <w:rPr>
          <w:rFonts w:ascii="Consolas" w:hAnsi="Consolas"/>
        </w:rPr>
        <w:t>num</w:t>
      </w:r>
      <w:proofErr w:type="spellEnd"/>
      <w:r w:rsidR="004D2686" w:rsidRPr="002C4402">
        <w:rPr>
          <w:rFonts w:ascii="Consolas" w:hAnsi="Consolas"/>
        </w:rPr>
        <w:t>&lt;-</w:t>
      </w:r>
      <w:proofErr w:type="spellStart"/>
      <w:r w:rsidRPr="002C4402">
        <w:rPr>
          <w:rFonts w:ascii="Consolas" w:hAnsi="Consolas"/>
        </w:rPr>
        <w:t>table</w:t>
      </w:r>
      <w:proofErr w:type="spellEnd"/>
      <w:r w:rsidRPr="002C4402">
        <w:rPr>
          <w:rFonts w:ascii="Consolas" w:hAnsi="Consolas"/>
        </w:rPr>
        <w:t>(taglio).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proofErr w:type="spellStart"/>
      <w:r w:rsidR="002C4402" w:rsidRPr="002C4402">
        <w:rPr>
          <w:rFonts w:ascii="Consolas" w:hAnsi="Consolas"/>
        </w:rPr>
        <w:t>cuttree</w:t>
      </w:r>
      <w:proofErr w:type="spellEnd"/>
      <w:r>
        <w:t xml:space="preserve"> in una lista di indici per i vari gruppi. La funzione </w:t>
      </w:r>
      <w:proofErr w:type="spellStart"/>
      <w:r w:rsidR="004D2686" w:rsidRPr="002C4402">
        <w:rPr>
          <w:rFonts w:ascii="Consolas" w:hAnsi="Consolas"/>
        </w:rPr>
        <w:t>agv</w:t>
      </w:r>
      <w:r w:rsidR="002C4402" w:rsidRPr="002C4402">
        <w:rPr>
          <w:rFonts w:ascii="Consolas" w:hAnsi="Consolas"/>
        </w:rPr>
        <w:t>a</w:t>
      </w:r>
      <w:r w:rsidR="004D2686" w:rsidRPr="002C4402">
        <w:rPr>
          <w:rFonts w:ascii="Consolas" w:hAnsi="Consolas"/>
        </w:rPr>
        <w:t>r</w:t>
      </w:r>
      <w:proofErr w:type="spellEnd"/>
      <w:r w:rsidR="004D2686" w:rsidRPr="002C4402">
        <w:rPr>
          <w:rFonts w:ascii="Consolas" w:hAnsi="Consolas"/>
        </w:rPr>
        <w:t>&lt;-</w:t>
      </w:r>
      <w:proofErr w:type="gramStart"/>
      <w:r w:rsidRPr="002C4402">
        <w:rPr>
          <w:rFonts w:ascii="Consolas" w:hAnsi="Consolas"/>
        </w:rPr>
        <w:t>aggregate(</w:t>
      </w:r>
      <w:proofErr w:type="gramEnd"/>
      <w:r w:rsidRPr="002C4402">
        <w:rPr>
          <w:rFonts w:ascii="Consolas" w:hAnsi="Consolas"/>
        </w:rPr>
        <w:t xml:space="preserv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 xml:space="preserve">) </w:t>
      </w:r>
      <w:r>
        <w:t xml:space="preserve">permette di aggregare le colonne del </w:t>
      </w:r>
      <w:proofErr w:type="spellStart"/>
      <w:r>
        <w:t>dataframe</w:t>
      </w:r>
      <w:proofErr w:type="spellEnd"/>
      <w:r>
        <w:t xml:space="preserv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w:t>
      </w:r>
      <w:proofErr w:type="gramStart"/>
      <w:r>
        <w:t>[,-</w:t>
      </w:r>
      <w:proofErr w:type="gramEnd"/>
      <w:r>
        <w:t xml:space="preserve">1] dopo </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w:t>
      </w:r>
      <w:proofErr w:type="spellStart"/>
      <w:proofErr w:type="gramStart"/>
      <w:r w:rsidR="004D2686" w:rsidRPr="002C4402">
        <w:rPr>
          <w:rFonts w:ascii="Consolas" w:hAnsi="Consolas"/>
        </w:rPr>
        <w:t>num</w:t>
      </w:r>
      <w:proofErr w:type="spellEnd"/>
      <w:r w:rsidR="004D2686" w:rsidRPr="002C4402">
        <w:rPr>
          <w:rFonts w:ascii="Consolas" w:hAnsi="Consolas"/>
        </w:rPr>
        <w:t>[</w:t>
      </w:r>
      <w:proofErr w:type="gramEnd"/>
      <w:r w:rsidR="004D2686" w:rsidRPr="002C4402">
        <w:rPr>
          <w:rFonts w:ascii="Consolas" w:hAnsi="Consolas"/>
        </w:rPr>
        <w:t>[1]]-1)*sum(</w:t>
      </w:r>
      <w:proofErr w:type="spellStart"/>
      <w:r w:rsidR="004D2686" w:rsidRPr="002C4402">
        <w:rPr>
          <w:rFonts w:ascii="Consolas" w:hAnsi="Consolas"/>
        </w:rPr>
        <w:t>agvar</w:t>
      </w:r>
      <w:proofErr w:type="spellEnd"/>
      <w:r w:rsidR="004D2686" w:rsidRPr="002C4402">
        <w:rPr>
          <w:rFonts w:ascii="Consolas" w:hAnsi="Consolas"/>
        </w:rPr>
        <w:t xml:space="preserve"> [1, ]) </w:t>
      </w:r>
      <w:r w:rsidR="002C4402" w:rsidRPr="002C4402">
        <w:t xml:space="preserve">che consente di </w:t>
      </w:r>
      <w:r w:rsidR="004D2686" w:rsidRPr="002C4402">
        <w:t>somma</w:t>
      </w:r>
      <w:r w:rsidR="002C4402" w:rsidRPr="002C4402">
        <w:t>re</w:t>
      </w:r>
      <w:r w:rsidR="004D2686">
        <w:t xml:space="preserve"> le colonne della prima riga della matrice </w:t>
      </w:r>
      <w:proofErr w:type="spellStart"/>
      <w:r w:rsidR="004D2686">
        <w:t>agvar</w:t>
      </w:r>
      <w:proofErr w:type="spellEnd"/>
      <w:r w:rsidR="004D2686">
        <w:t xml:space="preserve">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bookmarkStart w:id="13" w:name="_Toc59105953"/>
      <w:r>
        <w:lastRenderedPageBreak/>
        <w:t>metodi non gerarchici</w:t>
      </w:r>
      <w:bookmarkEnd w:id="13"/>
    </w:p>
    <w:p w14:paraId="6D843D4E" w14:textId="69408E0C" w:rsidR="00B41242" w:rsidRDefault="00B41242" w:rsidP="00B41242">
      <w:r>
        <w:t>Tra i metodi non gerarchici, il metodo usato nel progetto è stato “</w:t>
      </w:r>
      <w:r w:rsidRPr="009163E1">
        <w:rPr>
          <w:b/>
          <w:bCs/>
        </w:rPr>
        <w:t>k-</w:t>
      </w:r>
      <w:proofErr w:type="spellStart"/>
      <w:r w:rsidRPr="009163E1">
        <w:rPr>
          <w:b/>
          <w:bCs/>
        </w:rPr>
        <w:t>means</w:t>
      </w:r>
      <w:proofErr w:type="spellEnd"/>
      <w:r>
        <w:t>”, l’algoritmo funziona in diversi step:</w:t>
      </w:r>
    </w:p>
    <w:p w14:paraId="0530CB4E" w14:textId="77777777" w:rsidR="00B41242" w:rsidRDefault="00B41242" w:rsidP="00B41242">
      <w:pPr>
        <w:pStyle w:val="Paragrafoelenco"/>
        <w:numPr>
          <w:ilvl w:val="0"/>
          <w:numId w:val="39"/>
        </w:numPr>
      </w:pPr>
      <w:r>
        <w:t>Si fissano a priori il numero dei cluster scegliendo però elementi che hanno determinate caratteristiche</w:t>
      </w:r>
    </w:p>
    <w:p w14:paraId="3BF42D74" w14:textId="77777777" w:rsidR="00B41242" w:rsidRDefault="00B41242" w:rsidP="00B41242">
      <w:pPr>
        <w:pStyle w:val="Paragrafoelenco"/>
        <w:numPr>
          <w:ilvl w:val="0"/>
          <w:numId w:val="39"/>
        </w:numPr>
      </w:pPr>
      <w:r>
        <w:t>Si considerano tutti gli elementi e si attribuisce ad ognuno un cluster basandosi sulla distanza minore dal punto di riferimento scelto per ogni cluster</w:t>
      </w:r>
    </w:p>
    <w:p w14:paraId="218084DF" w14:textId="77777777" w:rsidR="00B41242" w:rsidRDefault="00B41242" w:rsidP="00B41242">
      <w:pPr>
        <w:pStyle w:val="Paragrafoelenco"/>
        <w:numPr>
          <w:ilvl w:val="0"/>
          <w:numId w:val="39"/>
        </w:numPr>
      </w:pPr>
      <w:r>
        <w:t xml:space="preserve">Si ricalcolano i </w:t>
      </w:r>
      <w:proofErr w:type="spellStart"/>
      <w:r>
        <w:t>centroidi</w:t>
      </w:r>
      <w:proofErr w:type="spellEnd"/>
      <w:r>
        <w:t xml:space="preserve"> dei k gruppi costituendo il nuovo punto di riferimento per i cluster così ottenuti</w:t>
      </w:r>
    </w:p>
    <w:p w14:paraId="5A762EA9" w14:textId="77777777" w:rsidR="00B41242" w:rsidRDefault="00B41242" w:rsidP="00B41242">
      <w:pPr>
        <w:pStyle w:val="Paragrafoelenco"/>
        <w:numPr>
          <w:ilvl w:val="0"/>
          <w:numId w:val="39"/>
        </w:numPr>
      </w:pPr>
      <w:r>
        <w:t xml:space="preserve">Si rivalutano le distanze per ogni unità rispetto ai </w:t>
      </w:r>
      <w:proofErr w:type="spellStart"/>
      <w:r>
        <w:t>centroidi</w:t>
      </w:r>
      <w:proofErr w:type="spellEnd"/>
      <w:r>
        <w:t xml:space="preserve"> dei vari cluster. Se un elemento x ha una distanza minore ad un altro </w:t>
      </w:r>
      <w:proofErr w:type="spellStart"/>
      <w:r>
        <w:t>centroide</w:t>
      </w:r>
      <w:proofErr w:type="spellEnd"/>
      <w:r>
        <w:t xml:space="preserve"> rispetto a quello del proprio cluster, si riposiziona l’elemento.</w:t>
      </w:r>
    </w:p>
    <w:p w14:paraId="02E8E676" w14:textId="603D7205" w:rsidR="00B41242" w:rsidRDefault="00B41242" w:rsidP="00B41242">
      <w:pPr>
        <w:pStyle w:val="Paragrafoelenco"/>
        <w:numPr>
          <w:ilvl w:val="0"/>
          <w:numId w:val="39"/>
        </w:numPr>
      </w:pPr>
      <w:r>
        <w:t xml:space="preserve">Si ricalcolano i </w:t>
      </w:r>
      <w:proofErr w:type="spellStart"/>
      <w:r>
        <w:t>centroidi</w:t>
      </w:r>
      <w:proofErr w:type="spellEnd"/>
      <w:r>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w:t>
      </w:r>
      <w:proofErr w:type="spellStart"/>
      <w:r>
        <w:t>means</w:t>
      </w:r>
      <w:proofErr w:type="spellEnd"/>
      <w:r>
        <w:t xml:space="preserve">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w:t>
      </w:r>
      <w:proofErr w:type="spellStart"/>
      <w:r>
        <w:t>kmeans</w:t>
      </w:r>
      <w:proofErr w:type="spellEnd"/>
      <w:r>
        <w:t xml:space="preserve"> (Z, centers=2, </w:t>
      </w:r>
      <w:proofErr w:type="spellStart"/>
      <w:r>
        <w:t>iter.max</w:t>
      </w:r>
      <w:proofErr w:type="spellEnd"/>
      <w:r>
        <w:t xml:space="preserve"> =10, </w:t>
      </w:r>
      <w:proofErr w:type="spellStart"/>
      <w:r>
        <w:t>nstart</w:t>
      </w:r>
      <w:proofErr w:type="spellEnd"/>
      <w:r>
        <w:t xml:space="preserve"> =1)</w:t>
      </w:r>
    </w:p>
    <w:p w14:paraId="14E073A4" w14:textId="7B97D2D5" w:rsidR="0040557D" w:rsidRDefault="0040557D" w:rsidP="0040557D">
      <w:pPr>
        <w:pStyle w:val="Nessunaspaziatura"/>
      </w:pPr>
      <w:proofErr w:type="spellStart"/>
      <w:r>
        <w:t>rapportoKMeans</w:t>
      </w:r>
      <w:proofErr w:type="spellEnd"/>
      <w:r>
        <w:t>&lt;-</w:t>
      </w:r>
      <w:proofErr w:type="spellStart"/>
      <w:r>
        <w:t>km$betweenss</w:t>
      </w:r>
      <w:proofErr w:type="spellEnd"/>
      <w:r>
        <w:t>/</w:t>
      </w:r>
      <w:proofErr w:type="spellStart"/>
      <w:r>
        <w:t>km$totss</w:t>
      </w:r>
      <w:proofErr w:type="spellEnd"/>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w:t>
      </w:r>
      <w:proofErr w:type="spellStart"/>
      <w:r>
        <w:t>means</w:t>
      </w:r>
      <w:proofErr w:type="spellEnd"/>
      <w:r>
        <w:t xml:space="preserve">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bookmarkStart w:id="14" w:name="_Toc59105954"/>
      <w:r>
        <w:lastRenderedPageBreak/>
        <w:t>Suddivisione con 3 cluster</w:t>
      </w:r>
      <w:bookmarkEnd w:id="14"/>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w:t>
      </w:r>
      <w:proofErr w:type="gramStart"/>
      <w:r>
        <w:t>3</w:t>
      </w:r>
      <w:proofErr w:type="gramEnd"/>
      <w:r>
        <w:t xml:space="preserve"> cluster si è ottenuto, sia con i metodi gerarchici che con quelli non gerarchici, il seguente partizionamento: </w:t>
      </w:r>
    </w:p>
    <w:p w14:paraId="574D859D" w14:textId="06CB299C" w:rsidR="00B520F2" w:rsidRDefault="00B520F2" w:rsidP="00B520F2">
      <w:r>
        <w:t>Primo cluster: 3 individui</w:t>
      </w:r>
    </w:p>
    <w:p w14:paraId="540BC0B6" w14:textId="622DE7EC" w:rsidR="00B520F2" w:rsidRDefault="00B520F2" w:rsidP="00B520F2">
      <w:r>
        <w:t>Secondo cluster: 13 in</w:t>
      </w:r>
      <w:r w:rsidR="00CC03B8">
        <w:t>divid</w:t>
      </w:r>
      <w:r>
        <w:t>ui</w:t>
      </w:r>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58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58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 xml:space="preserve">Rapporto con </w:t>
            </w:r>
            <w:proofErr w:type="gramStart"/>
            <w:r>
              <w:t>2</w:t>
            </w:r>
            <w:proofErr w:type="gramEnd"/>
            <w:r>
              <w:t xml:space="preserve">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 xml:space="preserve">Rapporto con </w:t>
            </w:r>
            <w:proofErr w:type="gramStart"/>
            <w:r>
              <w:t>3</w:t>
            </w:r>
            <w:proofErr w:type="gramEnd"/>
            <w:r>
              <w:t xml:space="preserve">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 xml:space="preserve">Medio del </w:t>
            </w:r>
            <w:proofErr w:type="spellStart"/>
            <w:r>
              <w:t>centroide</w:t>
            </w:r>
            <w:proofErr w:type="spellEnd"/>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w:t>
            </w:r>
            <w:proofErr w:type="spellStart"/>
            <w:r>
              <w:t>means</w:t>
            </w:r>
            <w:proofErr w:type="spellEnd"/>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 xml:space="preserve">Se si volesse suddividere l’insieme degli individui in </w:t>
      </w:r>
      <w:proofErr w:type="gramStart"/>
      <w:r>
        <w:t>2</w:t>
      </w:r>
      <w:proofErr w:type="gramEnd"/>
      <w:r>
        <w:t xml:space="preserve"> cluster, la suddivisione ottenuta con il metodo non gerarchico k-</w:t>
      </w:r>
      <w:proofErr w:type="spellStart"/>
      <w:r>
        <w:t>means</w:t>
      </w:r>
      <w:proofErr w:type="spellEnd"/>
      <w:r>
        <w:t xml:space="preserve">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52803B2" w14:textId="26AF69A1" w:rsidR="00B520F2" w:rsidRDefault="00B520F2" w:rsidP="00B520F2">
      <w:pPr>
        <w:spacing w:line="259" w:lineRule="auto"/>
      </w:pPr>
      <w:r>
        <w:br w:type="page"/>
      </w:r>
    </w:p>
    <w:bookmarkStart w:id="15" w:name="_Toc59105955"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5"/>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5756E"/>
    <w:rsid w:val="00266069"/>
    <w:rsid w:val="002743EC"/>
    <w:rsid w:val="00294B2B"/>
    <w:rsid w:val="002A1EC9"/>
    <w:rsid w:val="002A7471"/>
    <w:rsid w:val="002B10F4"/>
    <w:rsid w:val="002C0471"/>
    <w:rsid w:val="002C4402"/>
    <w:rsid w:val="002F41A9"/>
    <w:rsid w:val="002F461B"/>
    <w:rsid w:val="00300F73"/>
    <w:rsid w:val="00302799"/>
    <w:rsid w:val="00302D7A"/>
    <w:rsid w:val="003153D2"/>
    <w:rsid w:val="003155FD"/>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87469"/>
    <w:rsid w:val="005A2225"/>
    <w:rsid w:val="005B6F9E"/>
    <w:rsid w:val="005C0FC8"/>
    <w:rsid w:val="005C5453"/>
    <w:rsid w:val="005F50C6"/>
    <w:rsid w:val="005F58B0"/>
    <w:rsid w:val="00606389"/>
    <w:rsid w:val="0061565F"/>
    <w:rsid w:val="00624257"/>
    <w:rsid w:val="006444A8"/>
    <w:rsid w:val="00645362"/>
    <w:rsid w:val="006506A8"/>
    <w:rsid w:val="00662206"/>
    <w:rsid w:val="00663161"/>
    <w:rsid w:val="00670E6E"/>
    <w:rsid w:val="00681520"/>
    <w:rsid w:val="00695EC9"/>
    <w:rsid w:val="006B5437"/>
    <w:rsid w:val="006C675A"/>
    <w:rsid w:val="006D0B7F"/>
    <w:rsid w:val="006F5863"/>
    <w:rsid w:val="00717292"/>
    <w:rsid w:val="00721023"/>
    <w:rsid w:val="00724F44"/>
    <w:rsid w:val="00732790"/>
    <w:rsid w:val="007369D6"/>
    <w:rsid w:val="00746534"/>
    <w:rsid w:val="007627BA"/>
    <w:rsid w:val="00775A59"/>
    <w:rsid w:val="007763E4"/>
    <w:rsid w:val="007834AB"/>
    <w:rsid w:val="00783CEC"/>
    <w:rsid w:val="00786D0C"/>
    <w:rsid w:val="00790A1E"/>
    <w:rsid w:val="007913A1"/>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083"/>
    <w:rsid w:val="0091398E"/>
    <w:rsid w:val="00913D15"/>
    <w:rsid w:val="009163E1"/>
    <w:rsid w:val="00923E26"/>
    <w:rsid w:val="009404BA"/>
    <w:rsid w:val="009519C9"/>
    <w:rsid w:val="00953EE4"/>
    <w:rsid w:val="00964DD7"/>
    <w:rsid w:val="00965305"/>
    <w:rsid w:val="00972BB1"/>
    <w:rsid w:val="00974571"/>
    <w:rsid w:val="00976668"/>
    <w:rsid w:val="0098355E"/>
    <w:rsid w:val="0099350A"/>
    <w:rsid w:val="009A0FE8"/>
    <w:rsid w:val="009A576E"/>
    <w:rsid w:val="009B03A0"/>
    <w:rsid w:val="009C4EC1"/>
    <w:rsid w:val="009C656E"/>
    <w:rsid w:val="009D2E59"/>
    <w:rsid w:val="009D64E8"/>
    <w:rsid w:val="009D7511"/>
    <w:rsid w:val="009F409E"/>
    <w:rsid w:val="009F559C"/>
    <w:rsid w:val="009F65FB"/>
    <w:rsid w:val="009F7E4B"/>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E18B8"/>
    <w:rsid w:val="00BF4B9E"/>
    <w:rsid w:val="00C064C4"/>
    <w:rsid w:val="00C10E77"/>
    <w:rsid w:val="00C33276"/>
    <w:rsid w:val="00C634CC"/>
    <w:rsid w:val="00C658F8"/>
    <w:rsid w:val="00C65A1D"/>
    <w:rsid w:val="00C84977"/>
    <w:rsid w:val="00C87C0F"/>
    <w:rsid w:val="00C91A29"/>
    <w:rsid w:val="00CA0D7B"/>
    <w:rsid w:val="00CA2BFB"/>
    <w:rsid w:val="00CA6478"/>
    <w:rsid w:val="00CC03B8"/>
    <w:rsid w:val="00CC2926"/>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2C26"/>
    <w:rsid w:val="00E840D8"/>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360EE"/>
    <w:rsid w:val="00257D6B"/>
    <w:rsid w:val="00387E49"/>
    <w:rsid w:val="00393F15"/>
    <w:rsid w:val="004E2C46"/>
    <w:rsid w:val="00516D30"/>
    <w:rsid w:val="005E6DC6"/>
    <w:rsid w:val="005F50C6"/>
    <w:rsid w:val="00746B52"/>
    <w:rsid w:val="007957EE"/>
    <w:rsid w:val="007C294B"/>
    <w:rsid w:val="00A17EF8"/>
    <w:rsid w:val="00AC5574"/>
    <w:rsid w:val="00B54A13"/>
    <w:rsid w:val="00C90927"/>
    <w:rsid w:val="00CC231A"/>
    <w:rsid w:val="00CC3D57"/>
    <w:rsid w:val="00D055B3"/>
    <w:rsid w:val="00DA7E5E"/>
    <w:rsid w:val="00DD715D"/>
    <w:rsid w:val="00DF379E"/>
    <w:rsid w:val="00E16071"/>
    <w:rsid w:val="00E779C7"/>
    <w:rsid w:val="00EA3FF7"/>
    <w:rsid w:val="00EC0872"/>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3.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47</Pages>
  <Words>7951</Words>
  <Characters>45326</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180</cp:revision>
  <cp:lastPrinted>2020-12-17T09:29:00Z</cp:lastPrinted>
  <dcterms:created xsi:type="dcterms:W3CDTF">2020-10-20T00:27:00Z</dcterms:created>
  <dcterms:modified xsi:type="dcterms:W3CDTF">2020-12-17T13:51:00Z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