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37C03422" w:rsidR="00302D7A" w:rsidRPr="00302D7A" w:rsidRDefault="00302D7A" w:rsidP="00724F44">
            <w:pPr>
              <w:jc w:val="right"/>
            </w:pPr>
            <w:r w:rsidRPr="00302D7A">
              <w:t xml:space="preserve">              Gaetano Casillo, </w:t>
            </w:r>
            <w:proofErr w:type="gramStart"/>
            <w:r w:rsidRPr="00302D7A">
              <w:t>matricola</w:t>
            </w:r>
            <w:r>
              <w:t>:</w:t>
            </w:r>
            <w:r w:rsidR="5E9E3609">
              <w:t>?????????</w:t>
            </w:r>
            <w:proofErr w:type="gramEnd"/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7F45F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7F45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7F45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7F45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7F45F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7F45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7F45F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7F45F5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187B12B8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 xml:space="preserve"> di una particella radioattiva prima decadere oppure la durata della richiesta di un servizio.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7F45F5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7F45F5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</w:t>
      </w:r>
      <w:proofErr w:type="gramStart"/>
      <w:r>
        <w:t xml:space="preserve">( </w:t>
      </w:r>
      <w:proofErr w:type="spellStart"/>
      <w:r>
        <w:t>dexp</w:t>
      </w:r>
      <w:proofErr w:type="spellEnd"/>
      <w:proofErr w:type="gram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r>
        <w:t xml:space="preserve">lines (x,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</w:t>
      </w:r>
      <w:proofErr w:type="gramStart"/>
      <w:r>
        <w:t>5 ,</w:t>
      </w:r>
      <w:proofErr w:type="gramEnd"/>
      <w:r>
        <w:t xml:space="preserve">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7F45F5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proofErr w:type="gram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</w:t>
      </w:r>
      <w:proofErr w:type="gramEnd"/>
      <w:r w:rsidR="00BB48C4">
        <w:rPr>
          <w:rFonts w:eastAsia="CMMI10"/>
        </w:rPr>
        <w:t>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7F45F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7F45F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7F45F5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7F45F5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7F45F5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7F45F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7F45F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7F45F5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7F45F5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7F45F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proofErr w:type="gramStart"/>
      <w:r w:rsidRPr="003D2BB9">
        <w:rPr>
          <w:rFonts w:ascii="Consolas" w:hAnsi="Consolas"/>
        </w:rPr>
        <w:t>qnorm(</w:t>
      </w:r>
      <w:proofErr w:type="gramEnd"/>
      <w:r w:rsidRPr="003D2BB9">
        <w:rPr>
          <w:rFonts w:ascii="Consolas" w:hAnsi="Consolas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7F45F5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7F45F5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7F45F5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7F45F5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7F45F5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7F45F5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7F45F5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r>
        <w:t xml:space="preserve">ca&lt;-media1-media2+qnorm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C0F60B4" w14:textId="2E246F6D" w:rsidR="00384D56" w:rsidRDefault="00384D56" w:rsidP="00384D56">
      <w:r>
        <w:t xml:space="preserve"> introduzione su ipotesi nulle ecc.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4DD4FB82" w14:textId="77777777" w:rsidR="00384D56" w:rsidRDefault="00384D56" w:rsidP="00384D56"/>
    <w:p w14:paraId="3362038D" w14:textId="042FF18D" w:rsidR="00384D56" w:rsidRDefault="00384D56" w:rsidP="00384D56">
      <w:r>
        <w:t xml:space="preserve">Esempi sui </w:t>
      </w:r>
      <w:proofErr w:type="gramStart"/>
      <w:r>
        <w:t>3</w:t>
      </w:r>
      <w:proofErr w:type="gramEnd"/>
      <w:r>
        <w:t xml:space="preserve">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Se in 50 osservazioni si riscontra che i tempi medi di gestione della richiesta in minuti sono di 5.330421, è stato mostrato che una stima </w:t>
      </w:r>
      <w:r w:rsidR="00384D56">
        <w:lastRenderedPageBreak/>
        <w:t>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58C2CBD5" w:rsidR="00384D56" w:rsidRDefault="00384D56" w:rsidP="00384D56">
      <w:pPr>
        <w:rPr>
          <w:rFonts w:cs="Times New Roman"/>
        </w:rPr>
      </w:pPr>
      <w:r>
        <w:rPr>
          <w:rFonts w:cs="Times New Roman"/>
        </w:rPr>
        <w:t>Teoria</w:t>
      </w:r>
    </w:p>
    <w:p w14:paraId="77BF7125" w14:textId="4412936E" w:rsidR="00384D56" w:rsidRDefault="00384D56" w:rsidP="00384D56">
      <w:pPr>
        <w:rPr>
          <w:rFonts w:cs="Times New Roman"/>
        </w:rPr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F5559F" w:rsidRDefault="007F45F5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2"/>
  </w:num>
  <w:num w:numId="23">
    <w:abstractNumId w:val="4"/>
  </w:num>
  <w:num w:numId="24">
    <w:abstractNumId w:val="16"/>
  </w:num>
  <w:num w:numId="25">
    <w:abstractNumId w:val="11"/>
  </w:num>
  <w:num w:numId="26">
    <w:abstractNumId w:val="5"/>
  </w:num>
  <w:num w:numId="27">
    <w:abstractNumId w:val="0"/>
  </w:num>
  <w:num w:numId="28">
    <w:abstractNumId w:val="9"/>
  </w:num>
  <w:num w:numId="29">
    <w:abstractNumId w:val="8"/>
  </w:num>
  <w:num w:numId="30">
    <w:abstractNumId w:val="14"/>
  </w:num>
  <w:num w:numId="31">
    <w:abstractNumId w:val="13"/>
  </w:num>
  <w:num w:numId="32">
    <w:abstractNumId w:val="10"/>
  </w:num>
  <w:num w:numId="33">
    <w:abstractNumId w:val="7"/>
  </w:num>
  <w:num w:numId="34">
    <w:abstractNumId w:val="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82F"/>
    <w:rsid w:val="000443B4"/>
    <w:rsid w:val="00050DE2"/>
    <w:rsid w:val="00063C02"/>
    <w:rsid w:val="00086FE2"/>
    <w:rsid w:val="00094F7E"/>
    <w:rsid w:val="000A369D"/>
    <w:rsid w:val="000C1C44"/>
    <w:rsid w:val="000C7A1E"/>
    <w:rsid w:val="000D469A"/>
    <w:rsid w:val="000D5D69"/>
    <w:rsid w:val="000E249F"/>
    <w:rsid w:val="000E4FAD"/>
    <w:rsid w:val="000F3B73"/>
    <w:rsid w:val="00105E64"/>
    <w:rsid w:val="0011064B"/>
    <w:rsid w:val="00111D86"/>
    <w:rsid w:val="001215E7"/>
    <w:rsid w:val="00125D7E"/>
    <w:rsid w:val="00142706"/>
    <w:rsid w:val="00146C79"/>
    <w:rsid w:val="00173AD9"/>
    <w:rsid w:val="00197AF5"/>
    <w:rsid w:val="001A6052"/>
    <w:rsid w:val="001ACE51"/>
    <w:rsid w:val="001B0730"/>
    <w:rsid w:val="001C16FA"/>
    <w:rsid w:val="001D66C3"/>
    <w:rsid w:val="001F37C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6069"/>
    <w:rsid w:val="002743EC"/>
    <w:rsid w:val="00294B2B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355A3"/>
    <w:rsid w:val="00345DD7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A49FD"/>
    <w:rsid w:val="004A51A8"/>
    <w:rsid w:val="004B3E3C"/>
    <w:rsid w:val="004D3FF9"/>
    <w:rsid w:val="004D48A1"/>
    <w:rsid w:val="004E5582"/>
    <w:rsid w:val="004F17EB"/>
    <w:rsid w:val="004F5E1A"/>
    <w:rsid w:val="0050242C"/>
    <w:rsid w:val="00502C91"/>
    <w:rsid w:val="00506236"/>
    <w:rsid w:val="0052139E"/>
    <w:rsid w:val="00522E7B"/>
    <w:rsid w:val="005270B6"/>
    <w:rsid w:val="00531E55"/>
    <w:rsid w:val="005410B4"/>
    <w:rsid w:val="00555101"/>
    <w:rsid w:val="00572AD8"/>
    <w:rsid w:val="00577E05"/>
    <w:rsid w:val="005872CC"/>
    <w:rsid w:val="005A2225"/>
    <w:rsid w:val="005B6F9E"/>
    <w:rsid w:val="005C0FC8"/>
    <w:rsid w:val="005C5453"/>
    <w:rsid w:val="005F50C6"/>
    <w:rsid w:val="005F58B0"/>
    <w:rsid w:val="00606389"/>
    <w:rsid w:val="00624257"/>
    <w:rsid w:val="006444A8"/>
    <w:rsid w:val="00645362"/>
    <w:rsid w:val="006506A8"/>
    <w:rsid w:val="00662206"/>
    <w:rsid w:val="00663161"/>
    <w:rsid w:val="00670E6E"/>
    <w:rsid w:val="00695EC9"/>
    <w:rsid w:val="006C675A"/>
    <w:rsid w:val="006D0B7F"/>
    <w:rsid w:val="006F5863"/>
    <w:rsid w:val="00717292"/>
    <w:rsid w:val="00721023"/>
    <w:rsid w:val="00724F44"/>
    <w:rsid w:val="00732790"/>
    <w:rsid w:val="007350CB"/>
    <w:rsid w:val="00746534"/>
    <w:rsid w:val="007627BA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45F5"/>
    <w:rsid w:val="007F7BF2"/>
    <w:rsid w:val="00801B6F"/>
    <w:rsid w:val="00802A1C"/>
    <w:rsid w:val="008039E6"/>
    <w:rsid w:val="00806904"/>
    <w:rsid w:val="00822073"/>
    <w:rsid w:val="00825AC7"/>
    <w:rsid w:val="008425A0"/>
    <w:rsid w:val="00872E3F"/>
    <w:rsid w:val="00877116"/>
    <w:rsid w:val="00881928"/>
    <w:rsid w:val="008848AA"/>
    <w:rsid w:val="00892EB0"/>
    <w:rsid w:val="008A0435"/>
    <w:rsid w:val="008A5D6B"/>
    <w:rsid w:val="008B3B48"/>
    <w:rsid w:val="008B45DD"/>
    <w:rsid w:val="008C55FD"/>
    <w:rsid w:val="008D19BC"/>
    <w:rsid w:val="008D6F64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B03A0"/>
    <w:rsid w:val="009C4EC1"/>
    <w:rsid w:val="009D2E59"/>
    <w:rsid w:val="009D64E8"/>
    <w:rsid w:val="009D7511"/>
    <w:rsid w:val="009F559C"/>
    <w:rsid w:val="009F65FB"/>
    <w:rsid w:val="009F7E4B"/>
    <w:rsid w:val="00A12960"/>
    <w:rsid w:val="00A63AA1"/>
    <w:rsid w:val="00A87A2B"/>
    <w:rsid w:val="00A90A0D"/>
    <w:rsid w:val="00A92A89"/>
    <w:rsid w:val="00AA1BD9"/>
    <w:rsid w:val="00AB2C95"/>
    <w:rsid w:val="00AB4E59"/>
    <w:rsid w:val="00AC02BA"/>
    <w:rsid w:val="00AC0630"/>
    <w:rsid w:val="00AC2122"/>
    <w:rsid w:val="00AC6573"/>
    <w:rsid w:val="00AE5AE9"/>
    <w:rsid w:val="00B05DA5"/>
    <w:rsid w:val="00B34054"/>
    <w:rsid w:val="00B441A7"/>
    <w:rsid w:val="00B45C51"/>
    <w:rsid w:val="00B55560"/>
    <w:rsid w:val="00B646CD"/>
    <w:rsid w:val="00B70007"/>
    <w:rsid w:val="00B81D05"/>
    <w:rsid w:val="00B85305"/>
    <w:rsid w:val="00B925E0"/>
    <w:rsid w:val="00B94A8E"/>
    <w:rsid w:val="00BB48C4"/>
    <w:rsid w:val="00BB6BD8"/>
    <w:rsid w:val="00BC170F"/>
    <w:rsid w:val="00BC18AB"/>
    <w:rsid w:val="00BC4D77"/>
    <w:rsid w:val="00BC5118"/>
    <w:rsid w:val="00BD59E6"/>
    <w:rsid w:val="00BF4B9E"/>
    <w:rsid w:val="00C064C4"/>
    <w:rsid w:val="00C10E77"/>
    <w:rsid w:val="00C33276"/>
    <w:rsid w:val="00C634CC"/>
    <w:rsid w:val="00C658F8"/>
    <w:rsid w:val="00C87C0F"/>
    <w:rsid w:val="00C91A29"/>
    <w:rsid w:val="00CA0D7B"/>
    <w:rsid w:val="00CA2BFB"/>
    <w:rsid w:val="00CA6478"/>
    <w:rsid w:val="00CC2926"/>
    <w:rsid w:val="00CC6DCC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7112A"/>
    <w:rsid w:val="00D90843"/>
    <w:rsid w:val="00D95637"/>
    <w:rsid w:val="00DC1E08"/>
    <w:rsid w:val="00DC3F65"/>
    <w:rsid w:val="00DD4140"/>
    <w:rsid w:val="00DF6480"/>
    <w:rsid w:val="00E03F85"/>
    <w:rsid w:val="00E04055"/>
    <w:rsid w:val="00E063F9"/>
    <w:rsid w:val="00E0798D"/>
    <w:rsid w:val="00E1194C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840D8"/>
    <w:rsid w:val="00EB6DCD"/>
    <w:rsid w:val="00EC41FA"/>
    <w:rsid w:val="00ED0D49"/>
    <w:rsid w:val="00ED2ED1"/>
    <w:rsid w:val="00ED62CE"/>
    <w:rsid w:val="00EF5C1E"/>
    <w:rsid w:val="00EF629B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2693427D-1038-46D9-85B2-FAE2DD3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6F1F9-0400-4BAF-8646-C649317A9E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17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167</cp:revision>
  <dcterms:created xsi:type="dcterms:W3CDTF">2020-10-20T00:27:00Z</dcterms:created>
  <dcterms:modified xsi:type="dcterms:W3CDTF">2020-12-17T10:38:00Z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