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1.png" ContentType="image/png"/>
  <Override PartName="/word/media/rId45.png" ContentType="image/png"/>
  <Override PartName="/word/media/rId49.png" ContentType="image/png"/>
  <Override PartName="/word/media/rId52.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7.png" ContentType="image/png"/>
  <Override PartName="/word/media/rId110.png" ContentType="image/png"/>
  <Override PartName="/word/media/rId137.png" ContentType="image/png"/>
  <Override PartName="/word/media/rId140.png" ContentType="image/png"/>
  <Override PartName="/word/media/rId143.png" ContentType="image/png"/>
  <Override PartName="/word/media/rId146.png" ContentType="image/png"/>
  <Override PartName="/word/media/rId113.png" ContentType="image/png"/>
  <Override PartName="/word/media/rId116.png" ContentType="image/png"/>
  <Override PartName="/word/media/rId119.png" ContentType="image/png"/>
  <Override PartName="/word/media/rId122.png" ContentType="image/png"/>
  <Override PartName="/word/media/rId125.png" ContentType="image/png"/>
  <Override PartName="/word/media/rId128.png" ContentType="image/png"/>
  <Override PartName="/word/media/rId131.png" ContentType="image/png"/>
  <Override PartName="/word/media/rId1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2021/2022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acknowledgements"/>
    <w:p>
      <w:pPr>
        <w:pStyle w:val="Heading2"/>
      </w:pPr>
      <w:r>
        <w:t xml:space="preserve">1 Acknowledgements</w:t>
      </w:r>
    </w:p>
    <w:p>
      <w:pPr>
        <w:pStyle w:val="FirstParagraph"/>
      </w:pPr>
      <w:r>
        <w:t xml:space="preserve">Friends, Romans, countrymen, lend me your ears; I come to bury Caesar, not to praise him. The evil that men do lives after them; The good is oft interred with their bones; So let it be with Caesar. The noble Brutus Hath told you Caesar was ambitious: If it were so, it was a grievous fault, And grievously hath Caesar answer’d it. Here, under leave of Brutus and the rest– For Brutus is an honourable man; So are they all, all honourable men– Come I to speak in Caesar’s funeral. He was my friend, faithful and just to me: But Brutus says he was ambitious; And Brutus is an honourable man. He hath brought many captives home to Rome Whose ransoms did the general coffers fill: Did this in Caesar seem ambitious?</w:t>
      </w:r>
    </w:p>
    <w:bookmarkEnd w:id="20"/>
    <w:bookmarkStart w:id="21" w:name="executive-summary"/>
    <w:p>
      <w:pPr>
        <w:pStyle w:val="Heading2"/>
      </w:pPr>
      <w:r>
        <w:t xml:space="preserve">2 Executive Summary</w:t>
      </w:r>
    </w:p>
    <w:p>
      <w:pPr>
        <w:pStyle w:val="FirstParagraph"/>
      </w:pPr>
      <w:r>
        <w:t xml:space="preserve">Friends, Romans, countrymen, lend me your ears; I come to bury Caesar, not to praise him. The evil that men do lives after them; The good is oft interred with their bones; So let it be with Caesar. The noble Brutus Hath told you Caesar was ambitious: If it were so, it was a grievous fault, And grievously hath Caesar answer’d it. Here, under leave of Brutus and the rest– For Brutus is an honourable man; So are they all, all honourable men– Come I to speak in Caesar’s funeral. He was my friend, faithful and just to me: But Brutus says he was ambitious; And Brutus is an honourable man. He hath brought many captives home to Rome Whose ransoms did the general coffers fill: Did this in Caesar seem ambitious?</w:t>
      </w:r>
    </w:p>
    <w:bookmarkEnd w:id="21"/>
    <w:bookmarkStart w:id="22" w:name="background"/>
    <w:p>
      <w:pPr>
        <w:pStyle w:val="Heading2"/>
      </w:pPr>
      <w:r>
        <w:t xml:space="preserve">3 Background</w:t>
      </w:r>
    </w:p>
    <w:p>
      <w:pPr>
        <w:pStyle w:val="FirstParagraph"/>
      </w:pPr>
      <w:r>
        <w:t xml:space="preserve">Friends, Romans, countrymen, lend me your ears; I come to bury Caesar, not to praise him. The evil that men do lives after them; The good is oft interred with their bones; So let it be with Caesar. The noble Brutus Hath told you Caesar was ambitious: If it were so, it was a grievous fault, And grievously hath Caesar answer’d it. Here, under leave of Brutus and the rest– For Brutus is an honourable man; So are they all, all honourable men– Come I to speak in Caesar’s funeral. He was my friend, faithful and just to me: But Brutus says he was ambitious; And Brutus is an honourable man. He hath brought many captives home to Rome Whose ransoms did the general coffers fill: Did this in Caesar seem ambitious?## Aim</w:t>
      </w:r>
    </w:p>
    <w:bookmarkEnd w:id="22"/>
    <w:bookmarkStart w:id="30" w:name="methodology"/>
    <w:p>
      <w:pPr>
        <w:pStyle w:val="Heading2"/>
      </w:pPr>
      <w:r>
        <w:t xml:space="preserve">4 Methodology</w:t>
      </w:r>
    </w:p>
    <w:p>
      <w:pPr>
        <w:pStyle w:val="FirstParagraph"/>
      </w:pPr>
      <w:r>
        <w:t xml:space="preserve">Quant: Compare results from all schools – 2021 and 2022</w:t>
      </w:r>
    </w:p>
    <w:p>
      <w:pPr>
        <w:pStyle w:val="BodyText"/>
      </w:pPr>
      <w:r>
        <w:t xml:space="preserve">Demographics of schools participating in the self-assessment tool (SAT): 2021 &amp; 2022</w:t>
      </w:r>
    </w:p>
    <w:p>
      <w:pPr>
        <w:pStyle w:val="BodyText"/>
      </w:pPr>
      <w:r>
        <w:t xml:space="preserve">Pie charts side-by-side: 2021 and 2022. Sector, Type, SES, ADII, Metro/non-metro; 2022 only: Engagement A (Low, High) and Engagement B (Low, Medium, High)</w:t>
      </w:r>
    </w:p>
    <w:bookmarkStart w:id="23" w:name="participants-by-sector"/>
    <w:p>
      <w:pPr>
        <w:pStyle w:val="Heading3"/>
      </w:pPr>
      <w:r>
        <w:t xml:space="preserve">4.1 2021: Participants by sector</w:t>
      </w:r>
    </w:p>
    <w:bookmarkEnd w:id="23"/>
    <w:bookmarkStart w:id="24" w:name="by-sector-2022"/>
    <w:p>
      <w:pPr>
        <w:pStyle w:val="Heading3"/>
      </w:pPr>
      <w:r>
        <w:t xml:space="preserve">4.2 by Sector 2022</w:t>
      </w:r>
    </w:p>
    <w:bookmarkEnd w:id="24"/>
    <w:bookmarkStart w:id="25" w:name="participants-by-school-type."/>
    <w:p>
      <w:pPr>
        <w:pStyle w:val="Heading3"/>
      </w:pPr>
      <w:r>
        <w:t xml:space="preserve">4.3 2021 Participants by school type.</w:t>
      </w:r>
    </w:p>
    <w:bookmarkEnd w:id="25"/>
    <w:bookmarkStart w:id="26" w:name="participants-by-school-type.-1"/>
    <w:p>
      <w:pPr>
        <w:pStyle w:val="Heading3"/>
      </w:pPr>
      <w:r>
        <w:t xml:space="preserve">4.4 2022 Participants by school type.</w:t>
      </w:r>
    </w:p>
    <w:bookmarkEnd w:id="26"/>
    <w:bookmarkStart w:id="27" w:name="figure-3.-2021-participants-by-ses"/>
    <w:p>
      <w:pPr>
        <w:pStyle w:val="Heading3"/>
      </w:pPr>
      <w:r>
        <w:t xml:space="preserve">4.5 Figure 3. 2021 Participants by SES</w:t>
      </w:r>
    </w:p>
    <w:bookmarkEnd w:id="27"/>
    <w:bookmarkStart w:id="28" w:name="participants-by-ses"/>
    <w:p>
      <w:pPr>
        <w:pStyle w:val="Heading3"/>
      </w:pPr>
      <w:r>
        <w:t xml:space="preserve">4.6 2022 Participants by SES</w:t>
      </w:r>
    </w:p>
    <w:bookmarkEnd w:id="28"/>
    <w:bookmarkStart w:id="29" w:name="figure-4.-2021-participants-by-adii"/>
    <w:p>
      <w:pPr>
        <w:pStyle w:val="Heading3"/>
      </w:pPr>
      <w:r>
        <w:t xml:space="preserve">4.7 Figure 4. 2021 Participants by ADII</w:t>
      </w:r>
    </w:p>
    <w:bookmarkEnd w:id="29"/>
    <w:bookmarkEnd w:id="30"/>
    <w:bookmarkStart w:id="81" w:name="figure-4.-2022-participants-by-adii"/>
    <w:p>
      <w:pPr>
        <w:pStyle w:val="Heading2"/>
      </w:pPr>
      <w:r>
        <w:t xml:space="preserve">5 Figure 4. 2022 Participants by ADII</w:t>
      </w:r>
    </w:p>
    <w:bookmarkStart w:id="31" w:name="X06837324b6dad62aa6af1ae655d6cc3449b08aa"/>
    <w:p>
      <w:pPr>
        <w:pStyle w:val="Heading3"/>
      </w:pPr>
      <w:r>
        <w:t xml:space="preserve">5.1 Figure 5. 2021 Participants by location: metro / non-metro</w:t>
      </w:r>
    </w:p>
    <w:bookmarkEnd w:id="31"/>
    <w:bookmarkStart w:id="40" w:name="Xc969619cad58223c5544c896ebd552cf368fd3b"/>
    <w:p>
      <w:pPr>
        <w:pStyle w:val="Heading3"/>
      </w:pPr>
      <w:r>
        <w:t xml:space="preserve">5.2 Figure 5. 2022 Participants by location: metro / non-metro</w:t>
      </w:r>
    </w:p>
    <w:p>
      <w:pPr>
        <w:pStyle w:val="FirstParagraph"/>
      </w:pPr>
      <w:r>
        <w:t xml:space="preserve">Figure 6. Participants by DET region N/A Figure 7. Participants by eSmart status N/A</w:t>
      </w:r>
    </w:p>
    <w:p>
      <w:pPr>
        <w:pStyle w:val="BodyText"/>
      </w:pPr>
      <w:r>
        <w:t xml:space="preserve">Figure 8. Part A: average (median) number of eSmart action items completed by sector (out of 23)</w:t>
      </w:r>
    </w:p>
    <w:bookmarkStart w:id="35" w:name="X3facb6ead52925e25c06769249d5e97ad570784"/>
    <w:p>
      <w:pPr>
        <w:pStyle w:val="Heading4"/>
      </w:pPr>
      <w:r>
        <w:t xml:space="preserve">5.2.1 Figure 8. 2021: average (median) number of eSmart action items completed by sector (out of 23)</w:t>
      </w:r>
    </w:p>
    <w:p>
      <w:pPr>
        <w:pStyle w:val="FirstParagraph"/>
      </w:pPr>
      <w:r>
        <w:drawing>
          <wp:inline>
            <wp:extent cx="5334000" cy="4267200"/>
            <wp:effectExtent b="0" l="0" r="0" t="0"/>
            <wp:docPr descr="" title="" id="33" name="Picture"/>
            <a:graphic>
              <a:graphicData uri="http://schemas.openxmlformats.org/drawingml/2006/picture">
                <pic:pic>
                  <pic:nvPicPr>
                    <pic:cNvPr descr="report-up_files/figure-docx/unnamed-chunk-1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X65229795071e011beee251d187ceeca102a15a9"/>
    <w:p>
      <w:pPr>
        <w:pStyle w:val="Heading4"/>
      </w:pPr>
      <w:r>
        <w:t xml:space="preserve">5.2.2 Figure 8. 2022: average (median) number of eSmart action items completed by sector (out of 23)</w:t>
      </w:r>
    </w:p>
    <w:p>
      <w:pPr>
        <w:pStyle w:val="FirstParagraph"/>
      </w:pPr>
      <w:r>
        <w:drawing>
          <wp:inline>
            <wp:extent cx="5334000" cy="4267200"/>
            <wp:effectExtent b="0" l="0" r="0" t="0"/>
            <wp:docPr descr="" title="" id="37" name="Picture"/>
            <a:graphic>
              <a:graphicData uri="http://schemas.openxmlformats.org/drawingml/2006/picture">
                <pic:pic>
                  <pic:nvPicPr>
                    <pic:cNvPr descr="report-up_files/figure-docx/unnamed-chunk-1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9. Part A: number of eSmart action items achieved (out of 23) by sector</w:t>
      </w:r>
    </w:p>
    <w:p>
      <w:pPr>
        <w:pStyle w:val="BodyText"/>
      </w:pPr>
      <w:r>
        <w:rPr>
          <w:bCs/>
          <w:b/>
        </w:rPr>
        <w:t xml:space="preserve">NOTE</w:t>
      </w:r>
      <w:r>
        <w:t xml:space="preserve"> </w:t>
      </w:r>
      <w:r>
        <w:t xml:space="preserve">combining two years makes this chart really messy, especially with 6 different colour/patterns combinations and scales in the original report</w:t>
      </w:r>
    </w:p>
    <w:bookmarkEnd w:id="39"/>
    <w:bookmarkEnd w:id="40"/>
    <w:bookmarkStart w:id="44" w:name="Xac191eb046d3e1548a1b179aeef9da820bdd287"/>
    <w:p>
      <w:pPr>
        <w:pStyle w:val="Heading3"/>
      </w:pPr>
      <w:r>
        <w:t xml:space="preserve">5.3 Figure 9. 2021 Part A: number of eSmart action items achieved (out of 23) by sector</w:t>
      </w:r>
    </w:p>
    <w:p>
      <w:pPr>
        <w:pStyle w:val="FirstParagraph"/>
      </w:pPr>
      <w:r>
        <w:drawing>
          <wp:inline>
            <wp:extent cx="5334000" cy="4267200"/>
            <wp:effectExtent b="0" l="0" r="0" t="0"/>
            <wp:docPr descr="" title="" id="42" name="Picture"/>
            <a:graphic>
              <a:graphicData uri="http://schemas.openxmlformats.org/drawingml/2006/picture">
                <pic:pic>
                  <pic:nvPicPr>
                    <pic:cNvPr descr="report-up_files/figure-docx/unnamed-chunk-16-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8" w:name="Xd5a5aa1a1c029196ffe71ae3f6aeeb473ae8c9b"/>
    <w:p>
      <w:pPr>
        <w:pStyle w:val="Heading3"/>
      </w:pPr>
      <w:r>
        <w:t xml:space="preserve">5.4 Figure 9. 2022 Part A: number of eSmart action items achieved (out of 23) by sector</w:t>
      </w:r>
    </w:p>
    <w:p>
      <w:pPr>
        <w:pStyle w:val="FirstParagraph"/>
      </w:pPr>
      <w:r>
        <w:drawing>
          <wp:inline>
            <wp:extent cx="5334000" cy="4267200"/>
            <wp:effectExtent b="0" l="0" r="0" t="0"/>
            <wp:docPr descr="" title="" id="46" name="Picture"/>
            <a:graphic>
              <a:graphicData uri="http://schemas.openxmlformats.org/drawingml/2006/picture">
                <pic:pic>
                  <pic:nvPicPr>
                    <pic:cNvPr descr="report-up_files/figure-docx/unnamed-chunk-17-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10. Part A: average (mean) completion of eSmart action items - all schools by Domain</w:t>
      </w:r>
    </w:p>
    <w:p>
      <w:pPr>
        <w:pStyle w:val="SourceCode"/>
      </w:pPr>
      <w:r>
        <w:rPr>
          <w:rStyle w:val="VerbatimChar"/>
        </w:rPr>
        <w:t xml:space="preserve"># A tibble: 2 × 10</w:t>
      </w:r>
      <w:r>
        <w:br/>
      </w:r>
      <w:r>
        <w:rPr>
          <w:rStyle w:val="VerbatimChar"/>
        </w:rPr>
        <w:t xml:space="preserve">   DATA GATEWA…¹ REPOR…² RESPO…³ SCHOO…⁴ PRE-S…⁵ PRE-S…⁶ POST-…⁷ POST-…⁸ TOTAL…⁹</w:t>
      </w:r>
      <w:r>
        <w:br/>
      </w:r>
      <w:r>
        <w:rPr>
          <w:rStyle w:val="VerbatimChar"/>
        </w:rPr>
        <w:t xml:space="preserve">  &lt;dbl&gt;    &lt;dbl&gt;   &lt;dbl&gt;   &lt;dbl&gt;   &lt;dbl&gt;   &lt;dbl&gt;   &lt;dbl&gt;   &lt;dbl&gt;   &lt;dbl&gt;   &lt;dbl&gt;</w:t>
      </w:r>
      <w:r>
        <w:br/>
      </w:r>
      <w:r>
        <w:rPr>
          <w:rStyle w:val="VerbatimChar"/>
        </w:rPr>
        <w:t xml:space="preserve">1    51       45      40      54      63       5       5       6       6     254</w:t>
      </w:r>
      <w:r>
        <w:br/>
      </w:r>
      <w:r>
        <w:rPr>
          <w:rStyle w:val="VerbatimChar"/>
        </w:rPr>
        <w:t xml:space="preserve">2    33       45      43      51      60       7       7       7       7     233</w:t>
      </w:r>
      <w:r>
        <w:br/>
      </w:r>
      <w:r>
        <w:rPr>
          <w:rStyle w:val="VerbatimChar"/>
        </w:rPr>
        <w:t xml:space="preserve"># … with abbreviated variable names ¹​`GATEWAY BEHAVIOURS`, ²​REPORTING,</w:t>
      </w:r>
      <w:r>
        <w:br/>
      </w:r>
      <w:r>
        <w:rPr>
          <w:rStyle w:val="VerbatimChar"/>
        </w:rPr>
        <w:t xml:space="preserve">#   ³​RESPONSE, ⁴​`SCHOOL CLIMATE`, ⁵​`PRE-SURVEY1`, ⁶​`PRE-SURVEY2`,</w:t>
      </w:r>
      <w:r>
        <w:br/>
      </w:r>
      <w:r>
        <w:rPr>
          <w:rStyle w:val="VerbatimChar"/>
        </w:rPr>
        <w:t xml:space="preserve">#   ⁷​`POST-SURVEY1`, ⁸​`POST-SURVEY2`, ⁹​`TOTAL: Domains`</w:t>
      </w:r>
    </w:p>
    <w:bookmarkEnd w:id="48"/>
    <w:bookmarkStart w:id="55" w:name="Xbae911bdfb894d85eb1a036b1ef901f92f755c1"/>
    <w:p>
      <w:pPr>
        <w:pStyle w:val="Heading3"/>
      </w:pPr>
      <w:r>
        <w:t xml:space="preserve">5.5 2021/2022 - Figure 10. Part A: average (mean) completion of eSmart action items - all schools by Domain</w:t>
      </w:r>
    </w:p>
    <w:p>
      <w:pPr>
        <w:pStyle w:val="FirstParagraph"/>
      </w:pPr>
      <w:r>
        <w:drawing>
          <wp:inline>
            <wp:extent cx="5334000" cy="4267200"/>
            <wp:effectExtent b="0" l="0" r="0" t="0"/>
            <wp:docPr descr="" title="" id="50" name="Picture"/>
            <a:graphic>
              <a:graphicData uri="http://schemas.openxmlformats.org/drawingml/2006/picture">
                <pic:pic>
                  <pic:nvPicPr>
                    <pic:cNvPr descr="report-up_files/figure-docx/unnamed-chunk-20-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11. Part A: average (mean) completion of eSmart action items by Domain by sector</w:t>
      </w:r>
    </w:p>
    <w:p>
      <w:pPr>
        <w:pStyle w:val="SourceCode"/>
      </w:pPr>
      <w:r>
        <w:rPr>
          <w:rStyle w:val="VerbatimChar"/>
        </w:rPr>
        <w:t xml:space="preserve"># A tibble: 6 × 2</w:t>
      </w:r>
      <w:r>
        <w:br/>
      </w:r>
      <w:r>
        <w:rPr>
          <w:rStyle w:val="VerbatimChar"/>
        </w:rPr>
        <w:t xml:space="preserve">  Categories                                 n</w:t>
      </w:r>
      <w:r>
        <w:br/>
      </w:r>
      <w:r>
        <w:rPr>
          <w:rStyle w:val="VerbatimChar"/>
        </w:rPr>
        <w:t xml:space="preserve">  &lt;chr&gt;                                  &lt;int&gt;</w:t>
      </w:r>
      <w:r>
        <w:br/>
      </w:r>
      <w:r>
        <w:rPr>
          <w:rStyle w:val="VerbatimChar"/>
        </w:rPr>
        <w:t xml:space="preserve">1 Community partnerships                     6</w:t>
      </w:r>
      <w:r>
        <w:br/>
      </w:r>
      <w:r>
        <w:rPr>
          <w:rStyle w:val="VerbatimChar"/>
        </w:rPr>
        <w:t xml:space="preserve">2 Effective school organisation              6</w:t>
      </w:r>
      <w:r>
        <w:br/>
      </w:r>
      <w:r>
        <w:rPr>
          <w:rStyle w:val="VerbatimChar"/>
        </w:rPr>
        <w:t xml:space="preserve">3 Effective teacher practices                6</w:t>
      </w:r>
      <w:r>
        <w:br/>
      </w:r>
      <w:r>
        <w:rPr>
          <w:rStyle w:val="VerbatimChar"/>
        </w:rPr>
        <w:t xml:space="preserve">4 eSmart curriculum                          6</w:t>
      </w:r>
      <w:r>
        <w:br/>
      </w:r>
      <w:r>
        <w:rPr>
          <w:rStyle w:val="VerbatimChar"/>
        </w:rPr>
        <w:t xml:space="preserve">5 Respectful and caring school               6</w:t>
      </w:r>
      <w:r>
        <w:br/>
      </w:r>
      <w:r>
        <w:rPr>
          <w:rStyle w:val="VerbatimChar"/>
        </w:rPr>
        <w:t xml:space="preserve">6 School plans, policies, and procedures     6</w:t>
      </w:r>
    </w:p>
    <w:p>
      <w:pPr>
        <w:pStyle w:val="FirstParagraph"/>
      </w:pPr>
      <w:r>
        <w:drawing>
          <wp:inline>
            <wp:extent cx="5334000" cy="4267200"/>
            <wp:effectExtent b="0" l="0" r="0" t="0"/>
            <wp:docPr descr="" title="" id="53" name="Picture"/>
            <a:graphic>
              <a:graphicData uri="http://schemas.openxmlformats.org/drawingml/2006/picture">
                <pic:pic>
                  <pic:nvPicPr>
                    <pic:cNvPr descr="report-up_files/figure-docx/unnamed-chunk-21-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9" w:name="Xe97dcde8feecc77a18dc0e2a6d8e899369d770a"/>
    <w:p>
      <w:pPr>
        <w:pStyle w:val="Heading3"/>
      </w:pPr>
      <w:r>
        <w:t xml:space="preserve">5.6 Figure 12. Part A: Average (mean) completion by Domain by SES.</w:t>
      </w:r>
    </w:p>
    <w:p>
      <w:pPr>
        <w:pStyle w:val="FirstParagraph"/>
      </w:pPr>
      <w:r>
        <w:rPr>
          <w:bCs/>
          <w:b/>
        </w:rPr>
        <w:t xml:space="preserve">NOTE</w:t>
      </w:r>
      <w:r>
        <w:t xml:space="preserve"> </w:t>
      </w:r>
      <w:r>
        <w:t xml:space="preserve">I have to turn it as otherwise the text is too small or the chart is too messy</w:t>
      </w:r>
    </w:p>
    <w:p>
      <w:pPr>
        <w:pStyle w:val="BodyText"/>
      </w:pPr>
      <w:r>
        <w:drawing>
          <wp:inline>
            <wp:extent cx="5334000" cy="4267200"/>
            <wp:effectExtent b="0" l="0" r="0" t="0"/>
            <wp:docPr descr="" title="" id="57" name="Picture"/>
            <a:graphic>
              <a:graphicData uri="http://schemas.openxmlformats.org/drawingml/2006/picture">
                <pic:pic>
                  <pic:nvPicPr>
                    <pic:cNvPr descr="report-up_files/figure-docx/unnamed-chunk-22-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72" w:name="X33d83404932ac7dd34dd750531504072183aa34"/>
    <w:p>
      <w:pPr>
        <w:pStyle w:val="Heading3"/>
      </w:pPr>
      <w:r>
        <w:t xml:space="preserve">5.7 Figure 13. Part B: results by Focus Area - all schools</w:t>
      </w:r>
    </w:p>
    <w:p>
      <w:pPr>
        <w:pStyle w:val="FirstParagraph"/>
      </w:pPr>
      <w:r>
        <w:drawing>
          <wp:inline>
            <wp:extent cx="5334000" cy="4267200"/>
            <wp:effectExtent b="0" l="0" r="0" t="0"/>
            <wp:docPr descr="" title="" id="61" name="Picture"/>
            <a:graphic>
              <a:graphicData uri="http://schemas.openxmlformats.org/drawingml/2006/picture">
                <pic:pic>
                  <pic:nvPicPr>
                    <pic:cNvPr descr="report-up_files/figure-docx/unnamed-chunk-2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4" name="Picture"/>
            <a:graphic>
              <a:graphicData uri="http://schemas.openxmlformats.org/drawingml/2006/picture">
                <pic:pic>
                  <pic:nvPicPr>
                    <pic:cNvPr descr="report-up_files/figure-docx/unnamed-chunk-23-2.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7" name="Picture"/>
            <a:graphic>
              <a:graphicData uri="http://schemas.openxmlformats.org/drawingml/2006/picture">
                <pic:pic>
                  <pic:nvPicPr>
                    <pic:cNvPr descr="report-up_files/figure-docx/unnamed-chunk-24-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0" name="Picture"/>
            <a:graphic>
              <a:graphicData uri="http://schemas.openxmlformats.org/drawingml/2006/picture">
                <pic:pic>
                  <pic:nvPicPr>
                    <pic:cNvPr descr="report-up_files/figure-docx/unnamed-chunk-25-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bookmarkEnd w:id="72"/>
    <w:bookmarkStart w:id="76" w:name="Xc583fc742ffccea0d3105780a35459a0bf66cad"/>
    <w:p>
      <w:pPr>
        <w:pStyle w:val="Heading3"/>
      </w:pPr>
      <w:r>
        <w:t xml:space="preserve">5.8 Figure 16. Part B: results by Focus Area by school type</w:t>
      </w:r>
    </w:p>
    <w:p>
      <w:pPr>
        <w:pStyle w:val="FirstParagraph"/>
      </w:pPr>
      <w:r>
        <w:drawing>
          <wp:inline>
            <wp:extent cx="5334000" cy="4267200"/>
            <wp:effectExtent b="0" l="0" r="0" t="0"/>
            <wp:docPr descr="" title="" id="74" name="Picture"/>
            <a:graphic>
              <a:graphicData uri="http://schemas.openxmlformats.org/drawingml/2006/picture">
                <pic:pic>
                  <pic:nvPicPr>
                    <pic:cNvPr descr="report-up_files/figure-docx/unnamed-chunk-26-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bookmarkEnd w:id="76"/>
    <w:bookmarkStart w:id="80" w:name="Xfe725c218eab8f435893dadaa6f4db5167c7db3"/>
    <w:p>
      <w:pPr>
        <w:pStyle w:val="Heading3"/>
      </w:pPr>
      <w:r>
        <w:t xml:space="preserve">5.9 Figure 17. Part B: progress in eSmart journey - all schools</w:t>
      </w:r>
    </w:p>
    <w:p>
      <w:pPr>
        <w:pStyle w:val="FirstParagraph"/>
      </w:pPr>
      <w:r>
        <w:t xml:space="preserve">2021 and 2022</w:t>
      </w:r>
    </w:p>
    <w:p>
      <w:pPr>
        <w:pStyle w:val="BodyText"/>
      </w:pPr>
      <w:r>
        <w:drawing>
          <wp:inline>
            <wp:extent cx="5334000" cy="4267200"/>
            <wp:effectExtent b="0" l="0" r="0" t="0"/>
            <wp:docPr descr="" title="" id="78" name="Picture"/>
            <a:graphic>
              <a:graphicData uri="http://schemas.openxmlformats.org/drawingml/2006/picture">
                <pic:pic>
                  <pic:nvPicPr>
                    <pic:cNvPr descr="report-up_files/figure-docx/unnamed-chunk-27-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bookmarkEnd w:id="80"/>
    <w:bookmarkEnd w:id="81"/>
    <w:bookmarkStart w:id="87" w:name="engagement---2022-data-only"/>
    <w:p>
      <w:pPr>
        <w:pStyle w:val="Heading2"/>
      </w:pPr>
      <w:r>
        <w:t xml:space="preserve">6 Engagement - 2022 data only</w:t>
      </w:r>
    </w:p>
    <w:bookmarkStart w:id="82" w:name="engagement-a-low---type-2022"/>
    <w:p>
      <w:pPr>
        <w:pStyle w:val="Heading3"/>
      </w:pPr>
      <w:r>
        <w:t xml:space="preserve">6.1 Engagement A (Low) - Type: 2022”</w:t>
      </w:r>
    </w:p>
    <w:bookmarkEnd w:id="82"/>
    <w:bookmarkStart w:id="83" w:name="engagement-a-low---sector-2022"/>
    <w:p>
      <w:pPr>
        <w:pStyle w:val="Heading3"/>
      </w:pPr>
      <w:r>
        <w:t xml:space="preserve">6.2 Engagement A (Low) - Sector: 2022”</w:t>
      </w:r>
    </w:p>
    <w:bookmarkEnd w:id="83"/>
    <w:bookmarkStart w:id="84" w:name="engagement-a-low---ses-2022"/>
    <w:p>
      <w:pPr>
        <w:pStyle w:val="Heading3"/>
      </w:pPr>
      <w:r>
        <w:t xml:space="preserve">6.3 Engagement A (Low) - SES: 2022”</w:t>
      </w:r>
    </w:p>
    <w:bookmarkEnd w:id="84"/>
    <w:bookmarkStart w:id="85" w:name="engagement-a-low---adii-2022"/>
    <w:p>
      <w:pPr>
        <w:pStyle w:val="Heading3"/>
      </w:pPr>
      <w:r>
        <w:t xml:space="preserve">6.4 Engagement A (Low) - ADII: 2022”</w:t>
      </w:r>
    </w:p>
    <w:bookmarkEnd w:id="85"/>
    <w:bookmarkStart w:id="86" w:name="engagement-a-low---metro-2022"/>
    <w:p>
      <w:pPr>
        <w:pStyle w:val="Heading3"/>
      </w:pPr>
      <w:r>
        <w:t xml:space="preserve">6.5 Engagement A (Low) - Metro: 2022”</w:t>
      </w:r>
    </w:p>
    <w:bookmarkEnd w:id="86"/>
    <w:bookmarkEnd w:id="87"/>
    <w:bookmarkStart w:id="93" w:name="engagement-a-high"/>
    <w:p>
      <w:pPr>
        <w:pStyle w:val="Heading2"/>
      </w:pPr>
      <w:r>
        <w:t xml:space="preserve">7 Engagement A (High)</w:t>
      </w:r>
    </w:p>
    <w:bookmarkStart w:id="88" w:name="engagement-a-high---type-2022"/>
    <w:p>
      <w:pPr>
        <w:pStyle w:val="Heading3"/>
      </w:pPr>
      <w:r>
        <w:t xml:space="preserve">7.1 Engagement A (High) - Type: 2022”</w:t>
      </w:r>
    </w:p>
    <w:bookmarkEnd w:id="88"/>
    <w:bookmarkStart w:id="89" w:name="engagement-a-high---sector-2022"/>
    <w:p>
      <w:pPr>
        <w:pStyle w:val="Heading3"/>
      </w:pPr>
      <w:r>
        <w:t xml:space="preserve">7.2 Engagement A (High) - Sector: 2022”</w:t>
      </w:r>
    </w:p>
    <w:bookmarkEnd w:id="89"/>
    <w:bookmarkStart w:id="90" w:name="engagement-a-high---ses-2022"/>
    <w:p>
      <w:pPr>
        <w:pStyle w:val="Heading3"/>
      </w:pPr>
      <w:r>
        <w:t xml:space="preserve">7.3 Engagement A (High) - SES: 2022”</w:t>
      </w:r>
    </w:p>
    <w:bookmarkEnd w:id="90"/>
    <w:bookmarkStart w:id="91" w:name="engagement-a-high---adii-2022"/>
    <w:p>
      <w:pPr>
        <w:pStyle w:val="Heading3"/>
      </w:pPr>
      <w:r>
        <w:t xml:space="preserve">7.4 Engagement A (High) - ADII: 2022”</w:t>
      </w:r>
    </w:p>
    <w:bookmarkEnd w:id="91"/>
    <w:bookmarkStart w:id="92" w:name="engagement-a-high---metro-2022"/>
    <w:p>
      <w:pPr>
        <w:pStyle w:val="Heading3"/>
      </w:pPr>
      <w:r>
        <w:t xml:space="preserve">7.5 Engagement A (High) - Metro: 2022”</w:t>
      </w:r>
    </w:p>
    <w:bookmarkEnd w:id="92"/>
    <w:bookmarkEnd w:id="93"/>
    <w:bookmarkStart w:id="98" w:name="engagement-b"/>
    <w:p>
      <w:pPr>
        <w:pStyle w:val="Heading2"/>
      </w:pPr>
      <w:r>
        <w:t xml:space="preserve">8 Engagement B</w:t>
      </w:r>
    </w:p>
    <w:bookmarkStart w:id="94" w:name="engagement-b-low---type-2022"/>
    <w:p>
      <w:pPr>
        <w:pStyle w:val="Heading3"/>
      </w:pPr>
      <w:r>
        <w:t xml:space="preserve">8.1 Engagement B (Low) - Type: 2022”</w:t>
      </w:r>
    </w:p>
    <w:bookmarkEnd w:id="94"/>
    <w:bookmarkStart w:id="95" w:name="engagement-b-low---sector-2022"/>
    <w:p>
      <w:pPr>
        <w:pStyle w:val="Heading3"/>
      </w:pPr>
      <w:r>
        <w:t xml:space="preserve">8.2 Engagement B (Low) - Sector: 2022”</w:t>
      </w:r>
    </w:p>
    <w:bookmarkEnd w:id="95"/>
    <w:bookmarkStart w:id="96" w:name="engagement-b-low---ses-2022"/>
    <w:p>
      <w:pPr>
        <w:pStyle w:val="Heading3"/>
      </w:pPr>
      <w:r>
        <w:t xml:space="preserve">8.3 Engagement B (Low) - SES: 2022”</w:t>
      </w:r>
    </w:p>
    <w:bookmarkEnd w:id="96"/>
    <w:bookmarkStart w:id="97" w:name="engagement-b-low---adii-2022"/>
    <w:p>
      <w:pPr>
        <w:pStyle w:val="Heading3"/>
      </w:pPr>
      <w:r>
        <w:t xml:space="preserve">8.4 Engagement B (Low) - ADII: 2022”</w:t>
      </w:r>
    </w:p>
    <w:bookmarkEnd w:id="97"/>
    <w:bookmarkEnd w:id="98"/>
    <w:bookmarkStart w:id="99" w:name="engagement-b-low---metro-2022"/>
    <w:p>
      <w:pPr>
        <w:pStyle w:val="Heading2"/>
      </w:pPr>
      <w:r>
        <w:t xml:space="preserve">9 Engagement B (Low) - Metro: 2022”</w:t>
      </w:r>
    </w:p>
    <w:bookmarkEnd w:id="99"/>
    <w:bookmarkStart w:id="105" w:name="engagement-b-high"/>
    <w:p>
      <w:pPr>
        <w:pStyle w:val="Heading2"/>
      </w:pPr>
      <w:r>
        <w:t xml:space="preserve">10 Engagement B (High)</w:t>
      </w:r>
    </w:p>
    <w:bookmarkStart w:id="100" w:name="engagement-b-high---type-2022"/>
    <w:p>
      <w:pPr>
        <w:pStyle w:val="Heading3"/>
      </w:pPr>
      <w:r>
        <w:t xml:space="preserve">10.1 Engagement B (High) - Type: 2022”</w:t>
      </w:r>
    </w:p>
    <w:bookmarkEnd w:id="100"/>
    <w:bookmarkStart w:id="101" w:name="engagement-b-high---sector-2022"/>
    <w:p>
      <w:pPr>
        <w:pStyle w:val="Heading3"/>
      </w:pPr>
      <w:r>
        <w:t xml:space="preserve">10.2 Engagement B (High) - Sector: 2022”</w:t>
      </w:r>
    </w:p>
    <w:bookmarkEnd w:id="101"/>
    <w:bookmarkStart w:id="102" w:name="engagement-b-high---ses-2022"/>
    <w:p>
      <w:pPr>
        <w:pStyle w:val="Heading3"/>
      </w:pPr>
      <w:r>
        <w:t xml:space="preserve">10.3 Engagement B (High) - SES: 2022”</w:t>
      </w:r>
    </w:p>
    <w:bookmarkEnd w:id="102"/>
    <w:bookmarkStart w:id="103" w:name="engagement-b-high---adii-2022"/>
    <w:p>
      <w:pPr>
        <w:pStyle w:val="Heading3"/>
      </w:pPr>
      <w:r>
        <w:t xml:space="preserve">10.4 Engagement B (High) - ADII: 2022”</w:t>
      </w:r>
    </w:p>
    <w:bookmarkEnd w:id="103"/>
    <w:bookmarkStart w:id="104" w:name="engagement-b-high---metro-2022"/>
    <w:p>
      <w:pPr>
        <w:pStyle w:val="Heading3"/>
      </w:pPr>
      <w:r>
        <w:t xml:space="preserve">10.5 Engagement B (High) - Metro: 2022”</w:t>
      </w:r>
    </w:p>
    <w:bookmarkEnd w:id="104"/>
    <w:bookmarkEnd w:id="105"/>
    <w:bookmarkStart w:id="158" w:name="engagement-b-med"/>
    <w:p>
      <w:pPr>
        <w:pStyle w:val="Heading2"/>
      </w:pPr>
      <w:r>
        <w:t xml:space="preserve">11 Engagement B (Med)</w:t>
      </w:r>
    </w:p>
    <w:bookmarkStart w:id="106" w:name="engagement-b-medium---type-2022"/>
    <w:p>
      <w:pPr>
        <w:pStyle w:val="Heading3"/>
      </w:pPr>
      <w:r>
        <w:t xml:space="preserve">11.1 Engagement B (Medium) - Type: 2022”</w:t>
      </w:r>
    </w:p>
    <w:bookmarkEnd w:id="106"/>
    <w:bookmarkStart w:id="107" w:name="engagement-b-medium---sector-2022"/>
    <w:p>
      <w:pPr>
        <w:pStyle w:val="Heading3"/>
      </w:pPr>
      <w:r>
        <w:t xml:space="preserve">11.2 Engagement B (Medium) - Sector: 2022”</w:t>
      </w:r>
    </w:p>
    <w:bookmarkEnd w:id="107"/>
    <w:bookmarkStart w:id="108" w:name="engagement-b-medium---ses-2022"/>
    <w:p>
      <w:pPr>
        <w:pStyle w:val="Heading3"/>
      </w:pPr>
      <w:r>
        <w:t xml:space="preserve">11.3 Engagement B (Medium) - SES: 2022”</w:t>
      </w:r>
    </w:p>
    <w:bookmarkEnd w:id="108"/>
    <w:bookmarkStart w:id="109" w:name="engagement-b-medium---adii-2022"/>
    <w:p>
      <w:pPr>
        <w:pStyle w:val="Heading3"/>
      </w:pPr>
      <w:r>
        <w:t xml:space="preserve">11.4 Engagement B (Medium) - ADII: 2022”</w:t>
      </w:r>
    </w:p>
    <w:bookmarkEnd w:id="109"/>
    <w:bookmarkStart w:id="149" w:name="engagement-b-medium---metro-2022"/>
    <w:p>
      <w:pPr>
        <w:pStyle w:val="Heading3"/>
      </w:pPr>
      <w:r>
        <w:t xml:space="preserve">11.5 Engagement B (Medium) - Metro: 2022”</w:t>
      </w:r>
    </w:p>
    <w:p>
      <w:pPr>
        <w:pStyle w:val="FirstParagraph"/>
      </w:pPr>
      <w:r>
        <w:t xml:space="preserve">end of pie charts for Engagement</w:t>
      </w:r>
    </w:p>
    <w:p>
      <w:pPr>
        <w:pStyle w:val="BodyText"/>
      </w:pPr>
      <w:r>
        <w:drawing>
          <wp:inline>
            <wp:extent cx="5334000" cy="4267200"/>
            <wp:effectExtent b="0" l="0" r="0" t="0"/>
            <wp:docPr descr="" title="" id="111" name="Picture"/>
            <a:graphic>
              <a:graphicData uri="http://schemas.openxmlformats.org/drawingml/2006/picture">
                <pic:pic>
                  <pic:nvPicPr>
                    <pic:cNvPr descr="report-up_files/figure-docx/unnamed-chunk-58-1.png" id="112" name="Picture"/>
                    <pic:cNvPicPr>
                      <a:picLocks noChangeArrowheads="1" noChangeAspect="1"/>
                    </pic:cNvPicPr>
                  </pic:nvPicPr>
                  <pic:blipFill>
                    <a:blip r:embed="rId11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14" name="Picture"/>
            <a:graphic>
              <a:graphicData uri="http://schemas.openxmlformats.org/drawingml/2006/picture">
                <pic:pic>
                  <pic:nvPicPr>
                    <pic:cNvPr descr="report-up_files/figure-docx/unnamed-chunk-58-2.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17" name="Picture"/>
            <a:graphic>
              <a:graphicData uri="http://schemas.openxmlformats.org/drawingml/2006/picture">
                <pic:pic>
                  <pic:nvPicPr>
                    <pic:cNvPr descr="report-up_files/figure-docx/unnamed-chunk-58-3.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0" name="Picture"/>
            <a:graphic>
              <a:graphicData uri="http://schemas.openxmlformats.org/drawingml/2006/picture">
                <pic:pic>
                  <pic:nvPicPr>
                    <pic:cNvPr descr="report-up_files/figure-docx/unnamed-chunk-58-4.png" id="121" name="Picture"/>
                    <pic:cNvPicPr>
                      <a:picLocks noChangeArrowheads="1" noChangeAspect="1"/>
                    </pic:cNvPicPr>
                  </pic:nvPicPr>
                  <pic:blipFill>
                    <a:blip r:embed="rId11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3" name="Picture"/>
            <a:graphic>
              <a:graphicData uri="http://schemas.openxmlformats.org/drawingml/2006/picture">
                <pic:pic>
                  <pic:nvPicPr>
                    <pic:cNvPr descr="report-up_files/figure-docx/unnamed-chunk-58-5.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6" name="Picture"/>
            <a:graphic>
              <a:graphicData uri="http://schemas.openxmlformats.org/drawingml/2006/picture">
                <pic:pic>
                  <pic:nvPicPr>
                    <pic:cNvPr descr="report-up_files/figure-docx/unnamed-chunk-58-6.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29" name="Picture"/>
            <a:graphic>
              <a:graphicData uri="http://schemas.openxmlformats.org/drawingml/2006/picture">
                <pic:pic>
                  <pic:nvPicPr>
                    <pic:cNvPr descr="report-up_files/figure-docx/unnamed-chunk-58-7.png" id="13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32" name="Picture"/>
            <a:graphic>
              <a:graphicData uri="http://schemas.openxmlformats.org/drawingml/2006/picture">
                <pic:pic>
                  <pic:nvPicPr>
                    <pic:cNvPr descr="report-up_files/figure-docx/unnamed-chunk-58-8.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35" name="Picture"/>
            <a:graphic>
              <a:graphicData uri="http://schemas.openxmlformats.org/drawingml/2006/picture">
                <pic:pic>
                  <pic:nvPicPr>
                    <pic:cNvPr descr="report-up_files/figure-docx/unnamed-chunk-58-9.png" id="136" name="Picture"/>
                    <pic:cNvPicPr>
                      <a:picLocks noChangeArrowheads="1" noChangeAspect="1"/>
                    </pic:cNvPicPr>
                  </pic:nvPicPr>
                  <pic:blipFill>
                    <a:blip r:embed="rId1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38" name="Picture"/>
            <a:graphic>
              <a:graphicData uri="http://schemas.openxmlformats.org/drawingml/2006/picture">
                <pic:pic>
                  <pic:nvPicPr>
                    <pic:cNvPr descr="report-up_files/figure-docx/unnamed-chunk-58-10.png" id="139" name="Picture"/>
                    <pic:cNvPicPr>
                      <a:picLocks noChangeArrowheads="1" noChangeAspect="1"/>
                    </pic:cNvPicPr>
                  </pic:nvPicPr>
                  <pic:blipFill>
                    <a:blip r:embed="rId1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1" name="Picture"/>
            <a:graphic>
              <a:graphicData uri="http://schemas.openxmlformats.org/drawingml/2006/picture">
                <pic:pic>
                  <pic:nvPicPr>
                    <pic:cNvPr descr="report-up_files/figure-docx/unnamed-chunk-58-11.png" id="142" name="Picture"/>
                    <pic:cNvPicPr>
                      <a:picLocks noChangeArrowheads="1" noChangeAspect="1"/>
                    </pic:cNvPicPr>
                  </pic:nvPicPr>
                  <pic:blipFill>
                    <a:blip r:embed="rId1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4" name="Picture"/>
            <a:graphic>
              <a:graphicData uri="http://schemas.openxmlformats.org/drawingml/2006/picture">
                <pic:pic>
                  <pic:nvPicPr>
                    <pic:cNvPr descr="report-up_files/figure-docx/unnamed-chunk-58-12.png" id="145"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7" name="Picture"/>
            <a:graphic>
              <a:graphicData uri="http://schemas.openxmlformats.org/drawingml/2006/picture">
                <pic:pic>
                  <pic:nvPicPr>
                    <pic:cNvPr descr="report-up_files/figure-docx/unnamed-chunk-58-13.png" id="148" name="Picture"/>
                    <pic:cNvPicPr>
                      <a:picLocks noChangeArrowheads="1" noChangeAspect="1"/>
                    </pic:cNvPicPr>
                  </pic:nvPicPr>
                  <pic:blipFill>
                    <a:blip r:embed="rId146"/>
                    <a:stretch>
                      <a:fillRect/>
                    </a:stretch>
                  </pic:blipFill>
                  <pic:spPr bwMode="auto">
                    <a:xfrm>
                      <a:off x="0" y="0"/>
                      <a:ext cx="5334000" cy="4267200"/>
                    </a:xfrm>
                    <a:prstGeom prst="rect">
                      <a:avLst/>
                    </a:prstGeom>
                    <a:noFill/>
                    <a:ln w="9525">
                      <a:noFill/>
                      <a:headEnd/>
                      <a:tailEnd/>
                    </a:ln>
                  </pic:spPr>
                </pic:pic>
              </a:graphicData>
            </a:graphic>
          </wp:inline>
        </w:drawing>
      </w:r>
    </w:p>
    <w:bookmarkEnd w:id="149"/>
    <w:bookmarkStart w:id="150" w:name="X6f4c693d8cdf32df94427875ce6367f8f6ee176"/>
    <w:p>
      <w:pPr>
        <w:pStyle w:val="Heading3"/>
      </w:pPr>
      <w:r>
        <w:t xml:space="preserve">11.6 Figure 18. 2021: How well-placed schools believe they are to prevent a situation: pre- vs. post-Part B: self-assessment</w:t>
      </w:r>
    </w:p>
    <w:bookmarkEnd w:id="150"/>
    <w:bookmarkStart w:id="151" w:name="Xd5393fc7a24525361c575ff681cfe337a5e8a4d"/>
    <w:p>
      <w:pPr>
        <w:pStyle w:val="Heading3"/>
      </w:pPr>
      <w:r>
        <w:t xml:space="preserve">11.7 Figure 19. 2021: How well-placed schools believe they are to respond to a situation: pre- vs. post-Part B: self-assessment</w:t>
      </w:r>
    </w:p>
    <w:p>
      <w:r>
        <w:pict>
          <v:rect style="width:0;height:1.5pt" o:hralign="center" o:hrstd="t" o:hr="t"/>
        </w:pict>
      </w:r>
    </w:p>
    <w:bookmarkEnd w:id="151"/>
    <w:bookmarkStart w:id="152" w:name="X0dc7c12c03c30fc3252a0bb823ce76b4b65f66f"/>
    <w:p>
      <w:pPr>
        <w:pStyle w:val="Heading3"/>
      </w:pPr>
      <w:r>
        <w:t xml:space="preserve">11.8 Figure 18. 2022: How well-placed schools believe they are to prevent a situation: pre- vs. post-Part B: self-assessment</w:t>
      </w:r>
    </w:p>
    <w:bookmarkEnd w:id="152"/>
    <w:bookmarkStart w:id="153" w:name="X7c8491b0716e7bbaf27d2434d20baf3a02ba4df"/>
    <w:p>
      <w:pPr>
        <w:pStyle w:val="Heading3"/>
      </w:pPr>
      <w:r>
        <w:t xml:space="preserve">11.9 Figure 19. 2022: How well-placed schools believe they are to respond to a situation: pre- vs. post-Part B: self-assessment</w:t>
      </w:r>
    </w:p>
    <w:p>
      <w:r>
        <w:pict>
          <v:rect style="width:0;height:1.5pt" o:hralign="center" o:hrstd="t" o:hr="t"/>
        </w:pict>
      </w:r>
    </w:p>
    <w:bookmarkEnd w:id="153"/>
    <w:bookmarkStart w:id="154" w:name="Xa59e32f0e6bc2939ade717ce82feb43062e3d48"/>
    <w:p>
      <w:pPr>
        <w:pStyle w:val="Heading3"/>
      </w:pPr>
      <w:r>
        <w:t xml:space="preserve">11.10 2021: How well-placed schools believe they are to prevent a situation: pre- vs. post-Part B: self-assessment</w:t>
      </w:r>
    </w:p>
    <w:bookmarkEnd w:id="154"/>
    <w:bookmarkStart w:id="155" w:name="X1266db45c6f84d83df206af5ce71e8ad436602e"/>
    <w:p>
      <w:pPr>
        <w:pStyle w:val="Heading3"/>
      </w:pPr>
      <w:r>
        <w:t xml:space="preserve">11.11 2022: How well-placed schools believe they are to respond to a situation: pre- vs. post-Part B: self-assessment</w:t>
      </w:r>
    </w:p>
    <w:p>
      <w:pPr>
        <w:pStyle w:val="FirstParagraph"/>
      </w:pPr>
      <w:r>
        <w:t xml:space="preserve">Figure 20. Comparison of Part A and Part B scores - all schools</w:t>
      </w:r>
    </w:p>
    <w:p>
      <w:pPr>
        <w:pStyle w:val="BodyText"/>
      </w:pPr>
      <w:r>
        <w:t xml:space="preserve">Figure 21. two bar charts that include the 2021 vs. 2022 results for the six schools that completed the instrument both years – by Domain and total for Part A, and by Focus Area and total for Part B. ## Results</w:t>
      </w:r>
    </w:p>
    <w:p>
      <w:pPr>
        <w:pStyle w:val="BodyText"/>
      </w:pPr>
      <w:r>
        <w:t xml:space="preserve">[Repeat charts from 2021 report, but with comparison to 2022 data. So, for example, bar charts would show both 2021 data (striped) next to 2022 data (solid). If charts get too crowded/too hard to read, can present side-by-side or vertically. Test for any statistically significant differences and indicate in chart.]</w:t>
      </w:r>
    </w:p>
    <w:bookmarkEnd w:id="155"/>
    <w:bookmarkStart w:id="156" w:name="part-a-results"/>
    <w:p>
      <w:pPr>
        <w:pStyle w:val="Heading3"/>
      </w:pPr>
      <w:r>
        <w:t xml:space="preserve">11.12 Part A Results</w:t>
      </w:r>
    </w:p>
    <w:bookmarkEnd w:id="156"/>
    <w:bookmarkStart w:id="157" w:name="part-b-results"/>
    <w:p>
      <w:pPr>
        <w:pStyle w:val="Heading3"/>
      </w:pPr>
      <w:r>
        <w:t xml:space="preserve">11.13 Part B Results</w:t>
      </w:r>
    </w:p>
    <w:bookmarkEnd w:id="157"/>
    <w:bookmarkEnd w:id="158"/>
    <w:bookmarkStart w:id="159" w:name="summary-quantitative-results"/>
    <w:p>
      <w:pPr>
        <w:pStyle w:val="Heading2"/>
      </w:pPr>
      <w:r>
        <w:t xml:space="preserve">12 Summary – quantitative results</w:t>
      </w:r>
    </w:p>
    <w:p>
      <w:pPr>
        <w:pStyle w:val="FirstParagraph"/>
      </w:pPr>
      <w:r>
        <w:t xml:space="preserve">  ## Discussion [Integration of quant and qual results] ## Conclusion ## References ## Appendices</w:t>
      </w:r>
    </w:p>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110" Target="media/rId110.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4" Target="media/rId1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2021/2022</dc:title>
  <dc:creator/>
  <cp:keywords/>
  <dcterms:created xsi:type="dcterms:W3CDTF">2022-08-11T00:43:37Z</dcterms:created>
  <dcterms:modified xsi:type="dcterms:W3CDTF">2022-08-11T00:43:37Z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