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Times New Roman" w:cs="Times New Roman" w:eastAsia="Times New Roman" w:hAnsi="Times New Roman"/>
          <w:b/>
          <w:bCs/>
          <w:sz w:val="24"/>
          <w:szCs w:val="24"/>
        </w:rPr>
        <w:t xml:space="preserve">Problem Statement:</w:t>
      </w:r>
    </w:p>
    <w:p>
      <w:pPr>
        <w:spacing w:after="200"/>
      </w:pPr>
      <w:r>
        <w:rPr>
          <w:rFonts w:ascii="Times New Roman" w:cs="Times New Roman" w:eastAsia="Times New Roman" w:hAnsi="Times New Roman"/>
          <w:sz w:val="24"/>
          <w:szCs w:val="24"/>
        </w:rPr>
        <w:t xml:space="preserve">The goal of this project is to classify medical transcriptions into their corresponding medical specialties using natural language processing and machine learning.</w:t>
      </w:r>
    </w:p>
    <w:p>
      <w:pPr>
        <w:pStyle w:val="Heading2"/>
        <w:spacing w:after="100" w:before="200"/>
      </w:pPr>
      <w:r>
        <w:rPr>
          <w:rFonts w:ascii="Times New Roman" w:cs="Times New Roman" w:eastAsia="Times New Roman" w:hAnsi="Times New Roman"/>
          <w:b/>
          <w:bCs/>
          <w:sz w:val="28"/>
          <w:szCs w:val="28"/>
        </w:rPr>
        <w:t xml:space="preserve">Dataset:</w:t>
      </w:r>
    </w:p>
    <w:p>
      <w:pPr>
        <w:spacing w:after="200"/>
      </w:pPr>
      <w:r>
        <w:rPr>
          <w:rFonts w:ascii="Times New Roman" w:cs="Times New Roman" w:eastAsia="Times New Roman" w:hAnsi="Times New Roman"/>
          <w:sz w:val="24"/>
          <w:szCs w:val="24"/>
        </w:rPr>
        <w:t xml:space="preserve">The MTSamples dataset is used. It contains 40 medical specialty categories with 4999 total samples and 5 columns:</w:t>
      </w:r>
    </w:p>
    <w:p>
      <w:pPr>
        <w:pStyle w:val="ListParagraph"/>
        <w:numPr>
          <w:ilvl w:val="0"/>
          <w:numId w:val="1"/>
        </w:numPr>
        <w:spacing w:after="80"/>
      </w:pPr>
      <w:r>
        <w:rPr>
          <w:rFonts w:ascii="Times New Roman" w:cs="Times New Roman" w:eastAsia="Times New Roman" w:hAnsi="Times New Roman"/>
          <w:sz w:val="24"/>
          <w:szCs w:val="24"/>
        </w:rPr>
        <w:t xml:space="preserve">Description: A brief summary of the medical procedure or visit</w:t>
      </w:r>
    </w:p>
    <w:p>
      <w:pPr>
        <w:pStyle w:val="ListParagraph"/>
        <w:numPr>
          <w:ilvl w:val="0"/>
          <w:numId w:val="1"/>
        </w:numPr>
        <w:spacing w:after="80"/>
      </w:pPr>
      <w:r>
        <w:rPr>
          <w:rFonts w:ascii="Times New Roman" w:cs="Times New Roman" w:eastAsia="Times New Roman" w:hAnsi="Times New Roman"/>
          <w:sz w:val="24"/>
          <w:szCs w:val="24"/>
        </w:rPr>
        <w:t xml:space="preserve">Medical specialty: The target label — the specialty category the transcription belongs to</w:t>
      </w:r>
    </w:p>
    <w:p>
      <w:pPr>
        <w:pStyle w:val="ListParagraph"/>
        <w:numPr>
          <w:ilvl w:val="0"/>
          <w:numId w:val="1"/>
        </w:numPr>
        <w:spacing w:after="80"/>
      </w:pPr>
      <w:r>
        <w:rPr>
          <w:rFonts w:ascii="Times New Roman" w:cs="Times New Roman" w:eastAsia="Times New Roman" w:hAnsi="Times New Roman"/>
          <w:sz w:val="24"/>
          <w:szCs w:val="24"/>
        </w:rPr>
        <w:t xml:space="preserve">Sample name: Title or name given to the transcription</w:t>
      </w:r>
    </w:p>
    <w:p>
      <w:pPr>
        <w:pStyle w:val="ListParagraph"/>
        <w:numPr>
          <w:ilvl w:val="0"/>
          <w:numId w:val="1"/>
        </w:numPr>
        <w:spacing w:after="80"/>
      </w:pPr>
      <w:r>
        <w:rPr>
          <w:rFonts w:ascii="Times New Roman" w:cs="Times New Roman" w:eastAsia="Times New Roman" w:hAnsi="Times New Roman"/>
          <w:sz w:val="24"/>
          <w:szCs w:val="24"/>
        </w:rPr>
        <w:t xml:space="preserve">Transcription: The full clinical note written by the clinician</w:t>
      </w:r>
    </w:p>
    <w:p>
      <w:pPr>
        <w:pStyle w:val="ListParagraph"/>
        <w:numPr>
          <w:ilvl w:val="0"/>
          <w:numId w:val="1"/>
        </w:numPr>
        <w:spacing w:after="80"/>
      </w:pPr>
      <w:r>
        <w:rPr>
          <w:rFonts w:ascii="Times New Roman" w:cs="Times New Roman" w:eastAsia="Times New Roman" w:hAnsi="Times New Roman"/>
          <w:sz w:val="24"/>
          <w:szCs w:val="24"/>
        </w:rPr>
        <w:t xml:space="preserve">Keywords: Key medical terms extracted from the transcription (has many missing values)</w:t>
      </w:r>
    </w:p>
    <w:p>
      <w:pPr>
        <w:spacing w:after="200"/>
      </w:pPr>
      <w:r>
        <w:rPr>
          <w:rFonts w:ascii="Times New Roman" w:cs="Times New Roman" w:eastAsia="Times New Roman" w:hAnsi="Times New Roman"/>
          <w:sz w:val="24"/>
          <w:szCs w:val="24"/>
        </w:rPr>
        <w:t xml:space="preserve">The dataset is severely imbalanced — some classes have more than 1000 samples while others have as few as 6. This dataset is valuable for building models that can automatically classify clinical transcriptions into their corresponding medical specialties.</w:t>
      </w:r>
    </w:p>
    <w:p>
      <w:pPr>
        <w:pStyle w:val="Heading2"/>
        <w:spacing w:after="100" w:before="200"/>
      </w:pPr>
      <w:r>
        <w:rPr>
          <w:rFonts w:ascii="Times New Roman" w:cs="Times New Roman" w:eastAsia="Times New Roman" w:hAnsi="Times New Roman"/>
          <w:b/>
          <w:bCs/>
          <w:sz w:val="28"/>
          <w:szCs w:val="28"/>
        </w:rPr>
        <w:t xml:space="preserve">Input and Output:</w:t>
      </w:r>
    </w:p>
    <w:p>
      <w:pPr>
        <w:spacing w:after="200"/>
      </w:pPr>
      <w:r>
        <w:rPr>
          <w:rFonts w:ascii="Times New Roman" w:cs="Times New Roman" w:eastAsia="Times New Roman" w:hAnsi="Times New Roman"/>
          <w:sz w:val="24"/>
          <w:szCs w:val="24"/>
        </w:rPr>
        <w:t xml:space="preserve">The input to the model is the cleaned text from the </w:t>
      </w:r>
      <w:r>
        <w:rPr>
          <w:rFonts w:ascii="Times New Roman" w:cs="Times New Roman" w:eastAsia="Times New Roman" w:hAnsi="Times New Roman"/>
          <w:b/>
          <w:bCs/>
          <w:sz w:val="24"/>
          <w:szCs w:val="24"/>
        </w:rPr>
        <w:t xml:space="preserve">transcription</w:t>
      </w:r>
      <w:r>
        <w:rPr>
          <w:rFonts w:ascii="Times New Roman" w:cs="Times New Roman" w:eastAsia="Times New Roman" w:hAnsi="Times New Roman"/>
          <w:sz w:val="24"/>
          <w:szCs w:val="24"/>
        </w:rPr>
        <w:t xml:space="preserve"> column, which contains the full clinical note written by the clinician. The output is the predicted </w:t>
      </w:r>
      <w:r>
        <w:rPr>
          <w:rFonts w:ascii="Times New Roman" w:cs="Times New Roman" w:eastAsia="Times New Roman" w:hAnsi="Times New Roman"/>
          <w:b/>
          <w:bCs/>
          <w:sz w:val="24"/>
          <w:szCs w:val="24"/>
        </w:rPr>
        <w:t xml:space="preserve">medical_specialty</w:t>
      </w:r>
      <w:r>
        <w:rPr>
          <w:rFonts w:ascii="Times New Roman" w:cs="Times New Roman" w:eastAsia="Times New Roman" w:hAnsi="Times New Roman"/>
          <w:sz w:val="24"/>
          <w:szCs w:val="24"/>
        </w:rPr>
        <w:t xml:space="preserve"> label, representing which medical specialty the transcription belongs to.</w:t>
      </w:r>
    </w:p>
    <w:p>
      <w:pPr>
        <w:pStyle w:val="Heading2"/>
        <w:spacing w:after="100" w:before="200"/>
      </w:pPr>
      <w:r>
        <w:rPr>
          <w:rFonts w:ascii="Times New Roman" w:cs="Times New Roman" w:eastAsia="Times New Roman" w:hAnsi="Times New Roman"/>
          <w:b/>
          <w:bCs/>
          <w:sz w:val="28"/>
          <w:szCs w:val="28"/>
        </w:rPr>
        <w:t xml:space="preserve">Class Selection:</w:t>
      </w:r>
    </w:p>
    <w:p>
      <w:pPr>
        <w:spacing w:after="200"/>
      </w:pPr>
      <w:r>
        <w:rPr>
          <w:rFonts w:ascii="Times New Roman" w:cs="Times New Roman" w:eastAsia="Times New Roman" w:hAnsi="Times New Roman"/>
          <w:sz w:val="24"/>
          <w:szCs w:val="24"/>
        </w:rPr>
        <w:t xml:space="preserve">A minimum threshold of 70 samples per class was applied for class selection. With an 80/20 train-test split, this ensures at least 14 test samples per class, providing sufficient data for reliable per-class evaluation of precision, recall, and F1 score. Classes below this threshold were excluded as their test sets would be too small to produce statistically meaningful results.</w:t>
      </w:r>
    </w:p>
    <w:p>
      <w:pPr>
        <w:pStyle w:val="Heading2"/>
        <w:spacing w:after="100" w:before="200"/>
      </w:pPr>
      <w:r>
        <w:rPr>
          <w:rFonts w:ascii="Times New Roman" w:cs="Times New Roman" w:eastAsia="Times New Roman" w:hAnsi="Times New Roman"/>
          <w:b/>
          <w:bCs/>
          <w:sz w:val="28"/>
          <w:szCs w:val="28"/>
        </w:rPr>
        <w:t xml:space="preserve">Preprocessing:</w:t>
      </w:r>
    </w:p>
    <w:p>
      <w:pPr>
        <w:spacing w:after="200"/>
      </w:pPr>
      <w:r>
        <w:rPr>
          <w:rFonts w:ascii="Times New Roman" w:cs="Times New Roman" w:eastAsia="Times New Roman" w:hAnsi="Times New Roman"/>
          <w:sz w:val="24"/>
          <w:szCs w:val="24"/>
        </w:rPr>
        <w:t xml:space="preserve">The following preprocessing steps were applied to clean the raw transcription text, following standard NLP techniques:</w:t>
      </w:r>
    </w:p>
    <w:p>
      <w:pPr>
        <w:pStyle w:val="ListParagraph"/>
        <w:numPr>
          <w:ilvl w:val="0"/>
          <w:numId w:val="1"/>
        </w:numPr>
        <w:spacing w:after="80"/>
      </w:pPr>
      <w:r>
        <w:rPr>
          <w:rFonts w:ascii="Times New Roman" w:cs="Times New Roman" w:eastAsia="Times New Roman" w:hAnsi="Times New Roman"/>
          <w:sz w:val="24"/>
          <w:szCs w:val="24"/>
        </w:rPr>
        <w:t xml:space="preserve">Converted all text to lowercase</w:t>
      </w:r>
    </w:p>
    <w:p>
      <w:pPr>
        <w:pStyle w:val="ListParagraph"/>
        <w:numPr>
          <w:ilvl w:val="0"/>
          <w:numId w:val="1"/>
        </w:numPr>
        <w:spacing w:after="80"/>
      </w:pPr>
      <w:r>
        <w:rPr>
          <w:rFonts w:ascii="Times New Roman" w:cs="Times New Roman" w:eastAsia="Times New Roman" w:hAnsi="Times New Roman"/>
          <w:sz w:val="24"/>
          <w:szCs w:val="24"/>
        </w:rPr>
        <w:t xml:space="preserve">Removed medical section headers (e.g. SUBJECTIVE:, OBJECTIVE:, ASSESSMENT:, PLAN:) using regex, as these are structural artifacts rather than clinical content</w:t>
      </w:r>
    </w:p>
    <w:p>
      <w:pPr>
        <w:pStyle w:val="ListParagraph"/>
        <w:numPr>
          <w:ilvl w:val="0"/>
          <w:numId w:val="1"/>
        </w:numPr>
        <w:spacing w:after="80"/>
      </w:pPr>
      <w:r>
        <w:rPr>
          <w:rFonts w:ascii="Times New Roman" w:cs="Times New Roman" w:eastAsia="Times New Roman" w:hAnsi="Times New Roman"/>
          <w:sz w:val="24"/>
          <w:szCs w:val="24"/>
        </w:rPr>
        <w:t xml:space="preserve">Removed punctuation and special characters using regex, while retaining numbers as they carry clinical significance (e.g. 'type 2 diabetes', 'b12')</w:t>
      </w:r>
    </w:p>
    <w:p>
      <w:pPr>
        <w:pStyle w:val="ListParagraph"/>
        <w:numPr>
          <w:ilvl w:val="0"/>
          <w:numId w:val="1"/>
        </w:numPr>
        <w:spacing w:after="80"/>
      </w:pPr>
      <w:r>
        <w:rPr>
          <w:rFonts w:ascii="Times New Roman" w:cs="Times New Roman" w:eastAsia="Times New Roman" w:hAnsi="Times New Roman"/>
          <w:sz w:val="24"/>
          <w:szCs w:val="24"/>
        </w:rPr>
        <w:t xml:space="preserve">Applied word tokenization using NLTK's word_tokenize() instead of simple splitting, which handles punctuation more accurately</w:t>
      </w:r>
    </w:p>
    <w:p>
      <w:pPr>
        <w:pStyle w:val="ListParagraph"/>
        <w:numPr>
          <w:ilvl w:val="0"/>
          <w:numId w:val="1"/>
        </w:numPr>
        <w:spacing w:after="80"/>
      </w:pPr>
      <w:r>
        <w:rPr>
          <w:rFonts w:ascii="Times New Roman" w:cs="Times New Roman" w:eastAsia="Times New Roman" w:hAnsi="Times New Roman"/>
          <w:sz w:val="24"/>
          <w:szCs w:val="24"/>
        </w:rPr>
        <w:t xml:space="preserve">Applied Part-of-Speech (POS) tagging before lemmatization, allowing context-aware root word extraction</w:t>
      </w:r>
    </w:p>
    <w:p>
      <w:pPr>
        <w:pStyle w:val="ListParagraph"/>
        <w:numPr>
          <w:ilvl w:val="0"/>
          <w:numId w:val="1"/>
        </w:numPr>
        <w:spacing w:after="80"/>
      </w:pPr>
      <w:r>
        <w:rPr>
          <w:rFonts w:ascii="Times New Roman" w:cs="Times New Roman" w:eastAsia="Times New Roman" w:hAnsi="Times New Roman"/>
          <w:sz w:val="24"/>
          <w:szCs w:val="24"/>
        </w:rPr>
        <w:t xml:space="preserve">Removed stopwords (common words like 'the', 'and', 'is' that carry no domain meaning)</w:t>
      </w:r>
    </w:p>
    <w:p>
      <w:pPr>
        <w:pStyle w:val="ListParagraph"/>
        <w:numPr>
          <w:ilvl w:val="0"/>
          <w:numId w:val="1"/>
        </w:numPr>
        <w:spacing w:after="80"/>
      </w:pPr>
      <w:r>
        <w:rPr>
          <w:rFonts w:ascii="Times New Roman" w:cs="Times New Roman" w:eastAsia="Times New Roman" w:hAnsi="Times New Roman"/>
          <w:sz w:val="24"/>
          <w:szCs w:val="24"/>
        </w:rPr>
        <w:t xml:space="preserve">Applied lemmatization with POS context to reduce words to their root form (e.g. 'diagnosed', 'diagnosis' → 'diagnose')</w:t>
      </w:r>
    </w:p>
    <w:p>
      <w:pPr>
        <w:pStyle w:val="ListParagraph"/>
        <w:numPr>
          <w:ilvl w:val="0"/>
          <w:numId w:val="1"/>
        </w:numPr>
        <w:spacing w:after="80"/>
      </w:pPr>
      <w:r>
        <w:rPr>
          <w:rFonts w:ascii="Times New Roman" w:cs="Times New Roman" w:eastAsia="Times New Roman" w:hAnsi="Times New Roman"/>
          <w:sz w:val="24"/>
          <w:szCs w:val="24"/>
        </w:rPr>
        <w:t xml:space="preserve">Filtered out tokens shorter than 3 characters and single-digit numbers to reduce noise</w:t>
      </w:r>
    </w:p>
    <w:p>
      <w:pPr>
        <w:spacing w:after="100"/>
      </w:pPr>
    </w:p>
    <w:p>
      <w:pPr>
        <w:pStyle w:val="Heading2"/>
        <w:spacing w:after="100" w:before="200"/>
      </w:pPr>
      <w:r>
        <w:rPr>
          <w:rFonts w:ascii="Times New Roman" w:cs="Times New Roman" w:eastAsia="Times New Roman" w:hAnsi="Times New Roman"/>
          <w:b/>
          <w:bCs/>
          <w:sz w:val="28"/>
          <w:szCs w:val="28"/>
        </w:rPr>
        <w:t xml:space="preserve">Feature Extraction:</w:t>
      </w:r>
    </w:p>
    <w:p>
      <w:pPr>
        <w:spacing w:after="200"/>
      </w:pPr>
      <w:r>
        <w:rPr>
          <w:rFonts w:ascii="Times New Roman" w:cs="Times New Roman" w:eastAsia="Times New Roman" w:hAnsi="Times New Roman"/>
          <w:sz w:val="24"/>
          <w:szCs w:val="24"/>
        </w:rPr>
        <w:t xml:space="preserve">TF-IDF (Term Frequency-Inverse Document Frequency) was used to convert cleaned text into numerical features. TF-IDF assigns higher scores to words that appear frequently in a specific document but rarely across all documents, making it effective for identifying distinctive vocabulary per specialty. A vocabulary size of 1000 features was used with unigrams only (ngram_range=(1,1)) and a minimum document frequency of 5 (min_df=5) to reduce noise from rare terms. The dataset was split into 80% training and 20% test sets using stratified sampling to maintain class proportions across both splits.</w:t>
      </w:r>
    </w:p>
    <w:p>
      <w:pPr>
        <w:pStyle w:val="Heading2"/>
        <w:spacing w:after="100" w:before="200"/>
      </w:pPr>
      <w:r>
        <w:rPr>
          <w:rFonts w:ascii="Times New Roman" w:cs="Times New Roman" w:eastAsia="Times New Roman" w:hAnsi="Times New Roman"/>
          <w:b/>
          <w:bCs/>
          <w:sz w:val="28"/>
          <w:szCs w:val="28"/>
        </w:rPr>
        <w:t xml:space="preserve">Models:</w:t>
      </w:r>
    </w:p>
    <w:p>
      <w:pPr>
        <w:spacing w:after="200"/>
      </w:pPr>
      <w:r>
        <w:rPr>
          <w:rFonts w:ascii="Times New Roman" w:cs="Times New Roman" w:eastAsia="Times New Roman" w:hAnsi="Times New Roman"/>
          <w:sz w:val="24"/>
          <w:szCs w:val="24"/>
        </w:rPr>
        <w:t xml:space="preserve">The following models were trained and evaluated:</w:t>
      </w:r>
    </w:p>
    <w:p>
      <w:pPr>
        <w:spacing w:after="200"/>
      </w:pPr>
      <w:r>
        <w:rPr>
          <w:rFonts w:ascii="Times New Roman" w:cs="Times New Roman" w:eastAsia="Times New Roman" w:hAnsi="Times New Roman"/>
          <w:b/>
          <w:bCs/>
          <w:sz w:val="24"/>
          <w:szCs w:val="24"/>
        </w:rPr>
        <w:t xml:space="preserve">Logistic Regression:</w:t>
      </w:r>
      <w:r>
        <w:rPr>
          <w:rFonts w:ascii="Times New Roman" w:cs="Times New Roman" w:eastAsia="Times New Roman" w:hAnsi="Times New Roman"/>
          <w:sz w:val="24"/>
          <w:szCs w:val="24"/>
        </w:rPr>
        <w:t xml:space="preserve"> A linear model that learns a decision boundary to separate classes. Used with class_weight='balanced' to handle class imbalance. Hyperparameters tuned using GridSearchCV. Best parameters: C=0.1, penalty=l2, solver=liblinear, max_iter=100.</w:t>
      </w:r>
    </w:p>
    <w:p>
      <w:pPr>
        <w:spacing w:after="200"/>
      </w:pPr>
      <w:r>
        <w:rPr>
          <w:rFonts w:ascii="Times New Roman" w:cs="Times New Roman" w:eastAsia="Times New Roman" w:hAnsi="Times New Roman"/>
          <w:b/>
          <w:bCs/>
          <w:sz w:val="24"/>
          <w:szCs w:val="24"/>
        </w:rPr>
        <w:t xml:space="preserve">Naive Bayes Classifier:</w:t>
      </w:r>
      <w:r>
        <w:rPr>
          <w:rFonts w:ascii="Times New Roman" w:cs="Times New Roman" w:eastAsia="Times New Roman" w:hAnsi="Times New Roman"/>
          <w:sz w:val="24"/>
          <w:szCs w:val="24"/>
        </w:rPr>
        <w:t xml:space="preserve"> A probabilistic classifier that assumes all words are independent and calculates class probabilities from word frequencies. Works well on sparse text data.</w:t>
      </w:r>
    </w:p>
    <w:p>
      <w:pPr>
        <w:spacing w:after="200"/>
      </w:pPr>
      <w:r>
        <w:rPr>
          <w:rFonts w:ascii="Times New Roman" w:cs="Times New Roman" w:eastAsia="Times New Roman" w:hAnsi="Times New Roman"/>
          <w:b/>
          <w:bCs/>
          <w:sz w:val="24"/>
          <w:szCs w:val="24"/>
        </w:rPr>
        <w:t xml:space="preserve">Linear SVM:</w:t>
      </w:r>
      <w:r>
        <w:rPr>
          <w:rFonts w:ascii="Times New Roman" w:cs="Times New Roman" w:eastAsia="Times New Roman" w:hAnsi="Times New Roman"/>
          <w:sz w:val="24"/>
          <w:szCs w:val="24"/>
        </w:rPr>
        <w:t xml:space="preserve"> A support vector machine that finds the optimal hyperplane separating classes in high-dimensional feature space. Best parameters: C=0.01, loss=squared_hinge, max_iter=500.</w:t>
      </w:r>
    </w:p>
    <w:p>
      <w:pPr>
        <w:spacing w:after="200"/>
      </w:pPr>
      <w:r>
        <w:rPr>
          <w:rFonts w:ascii="Times New Roman" w:cs="Times New Roman" w:eastAsia="Times New Roman" w:hAnsi="Times New Roman"/>
          <w:b/>
          <w:bCs/>
          <w:sz w:val="24"/>
          <w:szCs w:val="24"/>
        </w:rPr>
        <w:t xml:space="preserve">Passive Aggressive Classifier:</w:t>
      </w:r>
      <w:r>
        <w:rPr>
          <w:rFonts w:ascii="Times New Roman" w:cs="Times New Roman" w:eastAsia="Times New Roman" w:hAnsi="Times New Roman"/>
          <w:sz w:val="24"/>
          <w:szCs w:val="24"/>
        </w:rPr>
        <w:t xml:space="preserve"> An online learning algorithm that makes no update when a prediction is correct (passive) but aggressively updates the model when a prediction is wrong (aggressive).</w:t>
      </w:r>
    </w:p>
    <w:p>
      <w:pPr>
        <w:spacing w:after="200"/>
      </w:pPr>
      <w:r>
        <w:rPr>
          <w:rFonts w:ascii="Times New Roman" w:cs="Times New Roman" w:eastAsia="Times New Roman" w:hAnsi="Times New Roman"/>
          <w:b/>
          <w:bCs/>
          <w:sz w:val="24"/>
          <w:szCs w:val="24"/>
        </w:rPr>
        <w:t xml:space="preserve">Random Forest Classifier:</w:t>
      </w:r>
      <w:r>
        <w:rPr>
          <w:rFonts w:ascii="Times New Roman" w:cs="Times New Roman" w:eastAsia="Times New Roman" w:hAnsi="Times New Roman"/>
          <w:sz w:val="24"/>
          <w:szCs w:val="24"/>
        </w:rPr>
        <w:t xml:space="preserve"> An ensemble of decision trees trained on random subsets. Final predictions are made by majority voting across all trees.</w:t>
      </w:r>
    </w:p>
    <w:p>
      <w:pPr>
        <w:spacing w:after="200"/>
      </w:pPr>
      <w:r>
        <w:rPr>
          <w:rFonts w:ascii="Times New Roman" w:cs="Times New Roman" w:eastAsia="Times New Roman" w:hAnsi="Times New Roman"/>
          <w:b/>
          <w:bCs/>
          <w:sz w:val="24"/>
          <w:szCs w:val="24"/>
        </w:rPr>
        <w:t xml:space="preserve">XGBoost Classifier:</w:t>
      </w:r>
      <w:r>
        <w:rPr>
          <w:rFonts w:ascii="Times New Roman" w:cs="Times New Roman" w:eastAsia="Times New Roman" w:hAnsi="Times New Roman"/>
          <w:sz w:val="24"/>
          <w:szCs w:val="24"/>
        </w:rPr>
        <w:t xml:space="preserve"> A boosting ensemble that builds trees sequentially, where each new tree corrects the errors of the previous one.</w:t>
      </w:r>
    </w:p>
    <w:p>
      <w:pPr>
        <w:pStyle w:val="Heading2"/>
        <w:spacing w:after="100" w:before="200"/>
      </w:pPr>
      <w:r>
        <w:rPr>
          <w:rFonts w:ascii="Times New Roman" w:cs="Times New Roman" w:eastAsia="Times New Roman" w:hAnsi="Times New Roman"/>
          <w:b/>
          <w:bCs/>
          <w:sz w:val="28"/>
          <w:szCs w:val="28"/>
        </w:rPr>
        <w:t xml:space="preserve">Results:</w:t>
      </w:r>
    </w:p>
    <w:p>
      <w:pPr>
        <w:spacing w:after="200"/>
      </w:pPr>
      <w:r>
        <w:rPr>
          <w:rFonts w:ascii="Times New Roman" w:cs="Times New Roman" w:eastAsia="Times New Roman" w:hAnsi="Times New Roman"/>
          <w:sz w:val="24"/>
          <w:szCs w:val="24"/>
        </w:rPr>
        <w:t xml:space="preserve">The three linear models outperformed tree-based and online learning models significantly. Logistic Regression achieved the highest test accuracy of 41.47% with a train-test gap of 5.66%, while LinearSVC followed closely with 40.47% test accuracy and a 5.71% gap. Naive Bayes achieved 40.02% test accuracy with the smallest gap of 3.62%, indicating the least overfitting among all models. However, Naive Bayes showed misleading accuracy as it predominantly predicted a few majority classes, resulting in near-zero recall for several minority classes, making its overall accuracy unreliable. Cross-validation confirmed these results were consistent across different data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3360"/>
      </w:tblGrid>
      <w:tr>
        <w:tc>
          <w:tcPr>
            <w:tcW w:type="dxa" w:w="2400"/>
            <w:shd w:fill="D9E1F2" w:val="clear"/>
          </w:tcPr>
          <w:p>
            <w:r>
              <w:rPr>
                <w:rFonts w:ascii="Times New Roman" w:cs="Times New Roman" w:eastAsia="Times New Roman" w:hAnsi="Times New Roman"/>
                <w:b/>
                <w:bCs/>
                <w:sz w:val="24"/>
                <w:szCs w:val="24"/>
              </w:rPr>
              <w:t xml:space="preserve">Model</w:t>
            </w:r>
          </w:p>
        </w:tc>
        <w:tc>
          <w:tcPr>
            <w:tcW w:type="dxa" w:w="1200"/>
            <w:shd w:fill="D9E1F2" w:val="clear"/>
          </w:tcPr>
          <w:p>
            <w:r>
              <w:rPr>
                <w:rFonts w:ascii="Times New Roman" w:cs="Times New Roman" w:eastAsia="Times New Roman" w:hAnsi="Times New Roman"/>
                <w:b/>
                <w:bCs/>
                <w:sz w:val="24"/>
                <w:szCs w:val="24"/>
              </w:rPr>
              <w:t xml:space="preserve">Train</w:t>
            </w:r>
          </w:p>
        </w:tc>
        <w:tc>
          <w:tcPr>
            <w:tcW w:type="dxa" w:w="1200"/>
            <w:shd w:fill="D9E1F2" w:val="clear"/>
          </w:tcPr>
          <w:p>
            <w:r>
              <w:rPr>
                <w:rFonts w:ascii="Times New Roman" w:cs="Times New Roman" w:eastAsia="Times New Roman" w:hAnsi="Times New Roman"/>
                <w:b/>
                <w:bCs/>
                <w:sz w:val="24"/>
                <w:szCs w:val="24"/>
              </w:rPr>
              <w:t xml:space="preserve">Test</w:t>
            </w:r>
          </w:p>
        </w:tc>
        <w:tc>
          <w:tcPr>
            <w:tcW w:type="dxa" w:w="1200"/>
            <w:shd w:fill="D9E1F2" w:val="clear"/>
          </w:tcPr>
          <w:p>
            <w:r>
              <w:rPr>
                <w:rFonts w:ascii="Times New Roman" w:cs="Times New Roman" w:eastAsia="Times New Roman" w:hAnsi="Times New Roman"/>
                <w:b/>
                <w:bCs/>
                <w:sz w:val="24"/>
                <w:szCs w:val="24"/>
              </w:rPr>
              <w:t xml:space="preserve">Gap</w:t>
            </w:r>
          </w:p>
        </w:tc>
        <w:tc>
          <w:tcPr>
            <w:tcW w:type="dxa" w:w="3360"/>
            <w:shd w:fill="D9E1F2" w:val="clear"/>
          </w:tcPr>
          <w:p>
            <w:r>
              <w:rPr>
                <w:rFonts w:ascii="Times New Roman" w:cs="Times New Roman" w:eastAsia="Times New Roman" w:hAnsi="Times New Roman"/>
                <w:b/>
                <w:bCs/>
                <w:sz w:val="24"/>
                <w:szCs w:val="24"/>
              </w:rPr>
              <w:t xml:space="preserve">95% CI</w:t>
            </w:r>
          </w:p>
        </w:tc>
      </w:tr>
      <w:tr>
        <w:tc>
          <w:tcPr>
            <w:tcW w:type="dxa" w:w="2400"/>
          </w:tcPr>
          <w:p>
            <w:r>
              <w:rPr>
                <w:rFonts w:ascii="Times New Roman" w:cs="Times New Roman" w:eastAsia="Times New Roman" w:hAnsi="Times New Roman"/>
                <w:sz w:val="24"/>
                <w:szCs w:val="24"/>
              </w:rPr>
              <w:t xml:space="preserve">Logistic Regression</w:t>
            </w:r>
          </w:p>
        </w:tc>
        <w:tc>
          <w:tcPr>
            <w:tcW w:type="dxa" w:w="1200"/>
          </w:tcPr>
          <w:p>
            <w:r>
              <w:rPr>
                <w:rFonts w:ascii="Times New Roman" w:cs="Times New Roman" w:eastAsia="Times New Roman" w:hAnsi="Times New Roman"/>
                <w:sz w:val="24"/>
                <w:szCs w:val="24"/>
              </w:rPr>
              <w:t xml:space="preserve">0.4713</w:t>
            </w:r>
          </w:p>
        </w:tc>
        <w:tc>
          <w:tcPr>
            <w:tcW w:type="dxa" w:w="1200"/>
          </w:tcPr>
          <w:p>
            <w:r>
              <w:rPr>
                <w:rFonts w:ascii="Times New Roman" w:cs="Times New Roman" w:eastAsia="Times New Roman" w:hAnsi="Times New Roman"/>
                <w:sz w:val="24"/>
                <w:szCs w:val="24"/>
              </w:rPr>
              <w:t xml:space="preserve">0.4147</w:t>
            </w:r>
          </w:p>
        </w:tc>
        <w:tc>
          <w:tcPr>
            <w:tcW w:type="dxa" w:w="1200"/>
          </w:tcPr>
          <w:p>
            <w:r>
              <w:rPr>
                <w:rFonts w:ascii="Times New Roman" w:cs="Times New Roman" w:eastAsia="Times New Roman" w:hAnsi="Times New Roman"/>
                <w:sz w:val="24"/>
                <w:szCs w:val="24"/>
              </w:rPr>
              <w:t xml:space="preserve">0.0566</w:t>
            </w:r>
          </w:p>
        </w:tc>
        <w:tc>
          <w:tcPr>
            <w:tcW w:type="dxa" w:w="3360"/>
          </w:tcPr>
          <w:p>
            <w:r>
              <w:rPr>
                <w:rFonts w:ascii="Times New Roman" w:cs="Times New Roman" w:eastAsia="Times New Roman" w:hAnsi="Times New Roman"/>
                <w:sz w:val="24"/>
                <w:szCs w:val="24"/>
              </w:rPr>
              <w:t xml:space="preserve">(0.3825, 0.4470)</w:t>
            </w:r>
          </w:p>
        </w:tc>
      </w:tr>
      <w:tr>
        <w:tc>
          <w:tcPr>
            <w:tcW w:type="dxa" w:w="2400"/>
          </w:tcPr>
          <w:p>
            <w:r>
              <w:rPr>
                <w:rFonts w:ascii="Times New Roman" w:cs="Times New Roman" w:eastAsia="Times New Roman" w:hAnsi="Times New Roman"/>
                <w:sz w:val="24"/>
                <w:szCs w:val="24"/>
              </w:rPr>
              <w:t xml:space="preserve">LinearSVC</w:t>
            </w:r>
          </w:p>
        </w:tc>
        <w:tc>
          <w:tcPr>
            <w:tcW w:type="dxa" w:w="1200"/>
          </w:tcPr>
          <w:p>
            <w:r>
              <w:rPr>
                <w:rFonts w:ascii="Times New Roman" w:cs="Times New Roman" w:eastAsia="Times New Roman" w:hAnsi="Times New Roman"/>
                <w:sz w:val="24"/>
                <w:szCs w:val="24"/>
              </w:rPr>
              <w:t xml:space="preserve">0.4618</w:t>
            </w:r>
          </w:p>
        </w:tc>
        <w:tc>
          <w:tcPr>
            <w:tcW w:type="dxa" w:w="1200"/>
          </w:tcPr>
          <w:p>
            <w:r>
              <w:rPr>
                <w:rFonts w:ascii="Times New Roman" w:cs="Times New Roman" w:eastAsia="Times New Roman" w:hAnsi="Times New Roman"/>
                <w:sz w:val="24"/>
                <w:szCs w:val="24"/>
              </w:rPr>
              <w:t xml:space="preserve">0.4047</w:t>
            </w:r>
          </w:p>
        </w:tc>
        <w:tc>
          <w:tcPr>
            <w:tcW w:type="dxa" w:w="1200"/>
          </w:tcPr>
          <w:p>
            <w:r>
              <w:rPr>
                <w:rFonts w:ascii="Times New Roman" w:cs="Times New Roman" w:eastAsia="Times New Roman" w:hAnsi="Times New Roman"/>
                <w:sz w:val="24"/>
                <w:szCs w:val="24"/>
              </w:rPr>
              <w:t xml:space="preserve">0.0571</w:t>
            </w:r>
          </w:p>
        </w:tc>
        <w:tc>
          <w:tcPr>
            <w:tcW w:type="dxa" w:w="3360"/>
          </w:tcPr>
          <w:p>
            <w:r>
              <w:rPr>
                <w:rFonts w:ascii="Times New Roman" w:cs="Times New Roman" w:eastAsia="Times New Roman" w:hAnsi="Times New Roman"/>
                <w:sz w:val="24"/>
                <w:szCs w:val="24"/>
              </w:rPr>
              <w:t xml:space="preserve">(0.3726, 0.4368)</w:t>
            </w:r>
          </w:p>
        </w:tc>
      </w:tr>
      <w:tr>
        <w:tc>
          <w:tcPr>
            <w:tcW w:type="dxa" w:w="2400"/>
          </w:tcPr>
          <w:p>
            <w:r>
              <w:rPr>
                <w:rFonts w:ascii="Times New Roman" w:cs="Times New Roman" w:eastAsia="Times New Roman" w:hAnsi="Times New Roman"/>
                <w:sz w:val="24"/>
                <w:szCs w:val="24"/>
              </w:rPr>
              <w:t xml:space="preserve">Naive Bayes</w:t>
            </w:r>
          </w:p>
        </w:tc>
        <w:tc>
          <w:tcPr>
            <w:tcW w:type="dxa" w:w="1200"/>
          </w:tcPr>
          <w:p>
            <w:r>
              <w:rPr>
                <w:rFonts w:ascii="Times New Roman" w:cs="Times New Roman" w:eastAsia="Times New Roman" w:hAnsi="Times New Roman"/>
                <w:sz w:val="24"/>
                <w:szCs w:val="24"/>
              </w:rPr>
              <w:t xml:space="preserve">0.4364</w:t>
            </w:r>
          </w:p>
        </w:tc>
        <w:tc>
          <w:tcPr>
            <w:tcW w:type="dxa" w:w="1200"/>
          </w:tcPr>
          <w:p>
            <w:r>
              <w:rPr>
                <w:rFonts w:ascii="Times New Roman" w:cs="Times New Roman" w:eastAsia="Times New Roman" w:hAnsi="Times New Roman"/>
                <w:sz w:val="24"/>
                <w:szCs w:val="24"/>
              </w:rPr>
              <w:t xml:space="preserve">0.4002</w:t>
            </w:r>
          </w:p>
        </w:tc>
        <w:tc>
          <w:tcPr>
            <w:tcW w:type="dxa" w:w="1200"/>
          </w:tcPr>
          <w:p>
            <w:r>
              <w:rPr>
                <w:rFonts w:ascii="Times New Roman" w:cs="Times New Roman" w:eastAsia="Times New Roman" w:hAnsi="Times New Roman"/>
                <w:sz w:val="24"/>
                <w:szCs w:val="24"/>
              </w:rPr>
              <w:t xml:space="preserve">0.0362</w:t>
            </w:r>
          </w:p>
        </w:tc>
        <w:tc>
          <w:tcPr>
            <w:tcW w:type="dxa" w:w="3360"/>
          </w:tcPr>
          <w:p>
            <w:r>
              <w:rPr>
                <w:rFonts w:ascii="Times New Roman" w:cs="Times New Roman" w:eastAsia="Times New Roman" w:hAnsi="Times New Roman"/>
                <w:sz w:val="24"/>
                <w:szCs w:val="24"/>
              </w:rPr>
              <w:t xml:space="preserve">(0.3682, 0.4323)</w:t>
            </w:r>
          </w:p>
        </w:tc>
      </w:tr>
      <w:tr>
        <w:tc>
          <w:tcPr>
            <w:tcW w:type="dxa" w:w="2400"/>
          </w:tcPr>
          <w:p>
            <w:r>
              <w:rPr>
                <w:rFonts w:ascii="Times New Roman" w:cs="Times New Roman" w:eastAsia="Times New Roman" w:hAnsi="Times New Roman"/>
                <w:sz w:val="24"/>
                <w:szCs w:val="24"/>
              </w:rPr>
              <w:t xml:space="preserve">Passive Aggressive</w:t>
            </w:r>
          </w:p>
        </w:tc>
        <w:tc>
          <w:tcPr>
            <w:tcW w:type="dxa" w:w="1200"/>
          </w:tcPr>
          <w:p>
            <w:r>
              <w:rPr>
                <w:rFonts w:ascii="Times New Roman" w:cs="Times New Roman" w:eastAsia="Times New Roman" w:hAnsi="Times New Roman"/>
                <w:sz w:val="24"/>
                <w:szCs w:val="24"/>
              </w:rPr>
              <w:t xml:space="preserve">0.5809</w:t>
            </w:r>
          </w:p>
        </w:tc>
        <w:tc>
          <w:tcPr>
            <w:tcW w:type="dxa" w:w="1200"/>
          </w:tcPr>
          <w:p>
            <w:r>
              <w:rPr>
                <w:rFonts w:ascii="Times New Roman" w:cs="Times New Roman" w:eastAsia="Times New Roman" w:hAnsi="Times New Roman"/>
                <w:sz w:val="24"/>
                <w:szCs w:val="24"/>
              </w:rPr>
              <w:t xml:space="preserve">0.1483</w:t>
            </w:r>
          </w:p>
        </w:tc>
        <w:tc>
          <w:tcPr>
            <w:tcW w:type="dxa" w:w="1200"/>
          </w:tcPr>
          <w:p>
            <w:r>
              <w:rPr>
                <w:rFonts w:ascii="Times New Roman" w:cs="Times New Roman" w:eastAsia="Times New Roman" w:hAnsi="Times New Roman"/>
                <w:sz w:val="24"/>
                <w:szCs w:val="24"/>
              </w:rPr>
              <w:t xml:space="preserve">0.4326</w:t>
            </w:r>
          </w:p>
        </w:tc>
        <w:tc>
          <w:tcPr>
            <w:tcW w:type="dxa" w:w="3360"/>
          </w:tcPr>
          <w:p>
            <w:r>
              <w:rPr>
                <w:rFonts w:ascii="Times New Roman" w:cs="Times New Roman" w:eastAsia="Times New Roman" w:hAnsi="Times New Roman"/>
                <w:sz w:val="24"/>
                <w:szCs w:val="24"/>
              </w:rPr>
              <w:t xml:space="preserve">(0.1250, 0.1715)</w:t>
            </w:r>
          </w:p>
        </w:tc>
      </w:tr>
      <w:tr>
        <w:tc>
          <w:tcPr>
            <w:tcW w:type="dxa" w:w="2400"/>
          </w:tcPr>
          <w:p>
            <w:r>
              <w:rPr>
                <w:rFonts w:ascii="Times New Roman" w:cs="Times New Roman" w:eastAsia="Times New Roman" w:hAnsi="Times New Roman"/>
                <w:sz w:val="24"/>
                <w:szCs w:val="24"/>
              </w:rPr>
              <w:t xml:space="preserve">Random Forest</w:t>
            </w:r>
          </w:p>
        </w:tc>
        <w:tc>
          <w:tcPr>
            <w:tcW w:type="dxa" w:w="1200"/>
          </w:tcPr>
          <w:p>
            <w:r>
              <w:rPr>
                <w:rFonts w:ascii="Times New Roman" w:cs="Times New Roman" w:eastAsia="Times New Roman" w:hAnsi="Times New Roman"/>
                <w:sz w:val="24"/>
                <w:szCs w:val="24"/>
              </w:rPr>
              <w:t xml:space="preserve">0.5917</w:t>
            </w:r>
          </w:p>
        </w:tc>
        <w:tc>
          <w:tcPr>
            <w:tcW w:type="dxa" w:w="1200"/>
          </w:tcPr>
          <w:p>
            <w:r>
              <w:rPr>
                <w:rFonts w:ascii="Times New Roman" w:cs="Times New Roman" w:eastAsia="Times New Roman" w:hAnsi="Times New Roman"/>
                <w:sz w:val="24"/>
                <w:szCs w:val="24"/>
              </w:rPr>
              <w:t xml:space="preserve">0.1371</w:t>
            </w:r>
          </w:p>
        </w:tc>
        <w:tc>
          <w:tcPr>
            <w:tcW w:type="dxa" w:w="1200"/>
          </w:tcPr>
          <w:p>
            <w:r>
              <w:rPr>
                <w:rFonts w:ascii="Times New Roman" w:cs="Times New Roman" w:eastAsia="Times New Roman" w:hAnsi="Times New Roman"/>
                <w:sz w:val="24"/>
                <w:szCs w:val="24"/>
              </w:rPr>
              <w:t xml:space="preserve">0.4546</w:t>
            </w:r>
          </w:p>
        </w:tc>
        <w:tc>
          <w:tcPr>
            <w:tcW w:type="dxa" w:w="3360"/>
          </w:tcPr>
          <w:p>
            <w:r>
              <w:rPr>
                <w:rFonts w:ascii="Times New Roman" w:cs="Times New Roman" w:eastAsia="Times New Roman" w:hAnsi="Times New Roman"/>
                <w:sz w:val="24"/>
                <w:szCs w:val="24"/>
              </w:rPr>
              <w:t xml:space="preserve">(0.1146, 0.1596)</w:t>
            </w:r>
          </w:p>
        </w:tc>
      </w:tr>
    </w:tbl>
    <w:p>
      <w:pPr>
        <w:spacing w:after="200" w:before="100"/>
      </w:pPr>
      <w:r>
        <w:rPr>
          <w:rFonts w:ascii="Times New Roman" w:cs="Times New Roman" w:eastAsia="Times New Roman" w:hAnsi="Times New Roman"/>
          <w:i/>
          <w:iCs/>
          <w:sz w:val="24"/>
          <w:szCs w:val="24"/>
        </w:rPr>
        <w:t xml:space="preserve">Table 1: Model Comparison with 95% Confidence Intervals</w:t>
      </w:r>
    </w:p>
    <w:p>
      <w:pPr>
        <w:spacing w:after="200"/>
      </w:pPr>
      <w:r>
        <w:rPr>
          <w:rFonts w:ascii="Times New Roman" w:cs="Times New Roman" w:eastAsia="Times New Roman" w:hAnsi="Times New Roman"/>
          <w:sz w:val="24"/>
          <w:szCs w:val="24"/>
        </w:rPr>
        <w:t xml:space="preserve">Passive Aggressive, Random Forest and XGBoost performed poorly, all achieving around 13%-15% test accuracy with gaps exceeding 40%. Tree-based models and online learners struggle with high-dimensional sparse TF-IDF features. GridSearchCV for LinearSVC found C=0.001 and hinge loss as optimal by cross-validation, but manual evaluation showed the original parameters performed better on the test set, highlighting that cross-validation score does not always translate directly to better test performance.</w:t>
      </w:r>
    </w:p>
    <w:p>
      <w:pPr>
        <w:pStyle w:val="Heading2"/>
        <w:spacing w:after="100" w:before="200"/>
      </w:pPr>
      <w:r>
        <w:rPr>
          <w:rFonts w:ascii="Times New Roman" w:cs="Times New Roman" w:eastAsia="Times New Roman" w:hAnsi="Times New Roman"/>
          <w:b/>
          <w:bCs/>
          <w:sz w:val="28"/>
          <w:szCs w:val="28"/>
        </w:rPr>
        <w:t xml:space="preserve">Conclusion:</w:t>
      </w:r>
    </w:p>
    <w:p>
      <w:pPr>
        <w:spacing w:after="200"/>
      </w:pPr>
      <w:r>
        <w:rPr>
          <w:rFonts w:ascii="Times New Roman" w:cs="Times New Roman" w:eastAsia="Times New Roman" w:hAnsi="Times New Roman"/>
          <w:sz w:val="24"/>
          <w:szCs w:val="24"/>
        </w:rPr>
        <w:t xml:space="preserve">Logistic Regression with balanced class weights and tuned hyperparameters proved to be the most effective model for clinical text classification on the MTSamples dataset. The improved preprocessing pipeline — incorporating POS-aware lemmatization, medical header removal, and proper tokenization — provided cleaner input features compared to basic text cleaning. Future improvements could include using domain-specific pre-trained models such as BioBERT or ClinicalBERT. Additionally, combining both the transcription and description columns as input could provide richer context to the model, potentially improving classification performance.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2026-07-11T17:07:21.633Z</dcterms:created>
  <dcterms:modified xsi:type="dcterms:W3CDTF">2026-07-11T17:07:21.651Z</dcterms:modified>
</cp:coreProperties>
</file>

<file path=docProps/custom.xml><?xml version="1.0" encoding="utf-8"?>
<Properties xmlns="http://schemas.openxmlformats.org/officeDocument/2006/custom-properties" xmlns:vt="http://schemas.openxmlformats.org/officeDocument/2006/docPropsVTypes"/>
</file>