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58EDC3" w14:textId="77777777" w:rsidR="002B487A" w:rsidRPr="008E6B91" w:rsidRDefault="002B487A" w:rsidP="00E00F42">
      <w:pPr>
        <w:framePr w:h="1355" w:hRule="exact" w:hSpace="141" w:wrap="auto" w:vAnchor="text" w:hAnchor="text" w:y="6"/>
        <w:jc w:val="both"/>
        <w:rPr>
          <w:rFonts w:ascii="Arial" w:hAnsi="Arial"/>
        </w:rPr>
      </w:pPr>
      <w:r>
        <w:rPr>
          <w:rFonts w:ascii="Arial" w:hAnsi="Arial"/>
          <w:noProof/>
          <w:lang w:val="es-CO" w:eastAsia="Arial"/>
        </w:rPr>
        <w:drawing>
          <wp:inline distT="0" distB="0" distL="0" distR="0" wp14:anchorId="32181B65" wp14:editId="29068D84">
            <wp:extent cx="885570" cy="980258"/>
            <wp:effectExtent l="0" t="0" r="0" b="0"/>
            <wp:docPr id="3" name="Imagen 3" descr="unian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andes"/>
                    <pic:cNvPicPr>
                      <a:picLocks noChangeAspect="1" noChangeArrowheads="1"/>
                    </pic:cNvPicPr>
                  </pic:nvPicPr>
                  <pic:blipFill>
                    <a:blip r:embed="rId11" cstate="print"/>
                    <a:srcRect/>
                    <a:stretch>
                      <a:fillRect/>
                    </a:stretch>
                  </pic:blipFill>
                  <pic:spPr bwMode="auto">
                    <a:xfrm>
                      <a:off x="0" y="0"/>
                      <a:ext cx="887510" cy="982405"/>
                    </a:xfrm>
                    <a:prstGeom prst="rect">
                      <a:avLst/>
                    </a:prstGeom>
                    <a:noFill/>
                    <a:ln w="9525">
                      <a:noFill/>
                      <a:miter lim="800000"/>
                      <a:headEnd/>
                      <a:tailEnd/>
                    </a:ln>
                  </pic:spPr>
                </pic:pic>
              </a:graphicData>
            </a:graphic>
          </wp:inline>
        </w:drawing>
      </w:r>
    </w:p>
    <w:p w14:paraId="37A63B57" w14:textId="67A620B7" w:rsidR="00A65E51" w:rsidRPr="00A65E51" w:rsidRDefault="00A65E51" w:rsidP="00A65E51">
      <w:pPr>
        <w:spacing w:after="0" w:before="0" w:line="240" w:lineRule="auto"/>
        <w:ind w:left="357"/>
        <w:jc w:val="left"/>
        <w:rPr>
          <w:sz w:val="24"/>
          <w:szCs w:val="24"/>
        </w:rPr>
      </w:pPr>
      <w:r>
        <w:rPr>
          <w:rFonts w:ascii="Arial" w:hAnsi="Arial" w:cs="Arial" w:eastAsia="Arial"/>
          <w:b/>
          <w:color w:val="000000"/>
          <w:sz w:val="24"/>
        </w:rPr>
        <w:t>PROYECTO FINAL, ENTREGA 1</w:t>
      </w:r>
    </w:p>
    <w:p w14:paraId="7F3F48DA" w14:textId="40CD9453" w:rsidR="00A65E51" w:rsidRPr="00A65E51" w:rsidRDefault="00A65E51" w:rsidP="00A65E51">
      <w:pPr>
        <w:pStyle w:val="1"/>
        <w:spacing w:before="0"/>
        <w:ind w:left="357"/>
        <w:jc w:val="left"/>
        <w:rPr>
          <w:rFonts w:ascii="Arial" w:hAnsi="Arial"/>
          <w:b/>
          <w:sz w:val="24"/>
          <w:szCs w:val="24"/>
        </w:rPr>
      </w:pPr>
      <w:r>
        <w:rPr>
          <w:rFonts w:ascii="Arial" w:hAnsi="Arial" w:cs="Arial" w:eastAsia="Arial"/>
          <w:b/>
          <w:color w:val="000000"/>
          <w:sz w:val="24"/>
        </w:rPr>
        <w:t>Detección de pagos y proveedores duplicados</w:t>
      </w:r>
    </w:p>
    <w:p w14:paraId="39DAC1A4" w14:textId="3E156F6B" w:rsidR="00A65E51" w:rsidRPr="00A65E51" w:rsidRDefault="006E47B5" w:rsidP="00A65E51">
      <w:pPr>
        <w:pStyle w:val="1"/>
        <w:spacing w:before="0"/>
        <w:ind w:left="1276"/>
        <w:jc w:val="both"/>
        <w:rPr>
          <w:rFonts w:ascii="Arial" w:hAnsi="Arial"/>
          <w:sz w:val="24"/>
          <w:szCs w:val="24"/>
        </w:rPr>
      </w:pPr>
      <w:r>
        <w:rPr>
          <w:rFonts w:ascii="Arial" w:hAnsi="Arial" w:cs="Arial" w:eastAsia="Arial"/>
          <w:b w:val="0"/>
          <w:color w:val="000000"/>
          <w:sz w:val="24"/>
        </w:rPr>
        <w:t>Repositorio: [enlace a GitHub]</w:t>
      </w:r>
    </w:p>
    <w:p w14:paraId="18438088" w14:textId="2C7F86DF" w:rsidR="00A65E51" w:rsidRDefault="006E47B5" w:rsidP="00A65E51">
      <w:pPr>
        <w:pStyle w:val="1"/>
        <w:spacing w:before="0"/>
        <w:ind w:left="1276"/>
        <w:jc w:val="both"/>
        <w:rPr>
          <w:rFonts w:ascii="Arial" w:hAnsi="Arial"/>
          <w:sz w:val="24"/>
          <w:szCs w:val="24"/>
        </w:rPr>
      </w:pPr>
      <w:r>
        <w:rPr>
          <w:rFonts w:ascii="Arial" w:hAnsi="Arial" w:cs="Arial" w:eastAsia="Arial"/>
          <w:b w:val="0"/>
          <w:color w:val="000000"/>
          <w:sz w:val="24"/>
        </w:rPr>
        <w:t>Video: [enlace a YouTube]</w:t>
      </w:r>
    </w:p>
    <w:p w14:paraId="2AC363BA" w14:textId="086BB7F9" w:rsidR="006E47B5" w:rsidRDefault="006E47B5" w:rsidP="006E47B5">
      <w:pPr>
        <w:pStyle w:val="1"/>
        <w:spacing w:before="0"/>
        <w:ind w:left="1276"/>
        <w:jc w:val="both"/>
        <w:rPr>
          <w:rFonts w:ascii="Arial" w:hAnsi="Arial"/>
          <w:sz w:val="24"/>
          <w:szCs w:val="24"/>
        </w:rPr>
      </w:pPr>
      <w:r>
        <w:rPr>
          <w:rFonts w:ascii="Arial" w:hAnsi="Arial" w:cs="Arial" w:eastAsia="Arial"/>
          <w:b w:val="0"/>
          <w:color w:val="000000"/>
          <w:sz w:val="24"/>
        </w:rPr>
        <w:t>Fecha de entrega: 18 de octubre de 2026</w:t>
      </w:r>
    </w:p>
    <w:p w14:paraId="70A68D9C" w14:textId="77777777" w:rsidR="002B487A" w:rsidRPr="00267842" w:rsidRDefault="002B487A" w:rsidP="00E00F42">
      <w:pPr>
        <w:jc w:val="both"/>
        <w:rPr>
          <w:rFonts w:ascii="Arial" w:hAnsi="Arial"/>
          <w:b/>
        </w:rPr>
      </w:pPr>
    </w:p>
    <w:tbl>
      <w:tblPr>
        <w:tblStyle w:val="Tablaconcuadrcula"/>
        <w:tblW w:w="0" w:type="auto"/>
        <w:tblInd w:w="720" w:type="dxa"/>
        <w:tblLook w:val="04A0" w:firstRow="1" w:lastRow="0" w:firstColumn="1" w:lastColumn="0" w:noHBand="0" w:noVBand="1"/>
      </w:tblPr>
      <w:tblGrid>
        <w:gridCol w:w="1895"/>
        <w:gridCol w:w="1884"/>
        <w:gridCol w:w="1721"/>
        <w:gridCol w:w="1522"/>
        <w:gridCol w:w="1834"/>
      </w:tblGrid>
      <w:tr w:rsidR="00923506" w14:paraId="5A3D3AB4" w14:textId="77777777" w:rsidTr="00535486">
        <w:tc>
          <w:tcPr>
            <w:tcW w:w="1895" w:type="dxa"/>
            <w:vAlign w:val="center"/>
          </w:tcPr>
          <w:p w14:paraId="4093A051" w14:textId="77777777" w:rsidR="00923506" w:rsidRPr="002B1DAF" w:rsidRDefault="00923506" w:rsidP="00535486">
            <w:pPr>
              <w:pStyle w:val="Default"/>
              <w:widowControl w:val="0"/>
              <w:spacing w:before="2" w:line="276" w:lineRule="auto"/>
              <w:ind w:right="62"/>
              <w:contextualSpacing/>
              <w:jc w:val="center"/>
              <w:rPr>
                <w:rFonts/>
                <w:b/>
                <w:sz w:val="24"/>
                <w:szCs w:val="24"/>
                <w:lang w:val="es-ES"/>
              </w:rPr>
            </w:pPr>
            <w:r>
              <w:rPr>
                <w:rFonts w:ascii="Arial" w:hAnsi="Arial" w:cs="Arial" w:eastAsia="Arial"/>
                <w:b/>
                <w:color w:val="000000"/>
                <w:sz w:val="24"/>
              </w:rPr>
              <w:t>Apellidos</w:t>
            </w:r>
          </w:p>
        </w:tc>
        <w:tc>
          <w:tcPr>
            <w:tcW w:w="1884" w:type="dxa"/>
            <w:vAlign w:val="center"/>
          </w:tcPr>
          <w:p w14:paraId="7A7A2CFF" w14:textId="77777777" w:rsidR="00923506" w:rsidRPr="002B1DAF" w:rsidRDefault="00923506" w:rsidP="00535486">
            <w:pPr>
              <w:pStyle w:val="Default"/>
              <w:widowControl w:val="0"/>
              <w:spacing w:before="2" w:line="276" w:lineRule="auto"/>
              <w:ind w:right="62"/>
              <w:contextualSpacing/>
              <w:jc w:val="center"/>
              <w:rPr>
                <w:rFonts/>
                <w:b/>
                <w:sz w:val="24"/>
                <w:szCs w:val="24"/>
                <w:lang w:val="es-ES"/>
              </w:rPr>
            </w:pPr>
            <w:r>
              <w:rPr>
                <w:rFonts w:ascii="Arial" w:hAnsi="Arial" w:cs="Arial" w:eastAsia="Arial"/>
                <w:b/>
                <w:color w:val="000000"/>
                <w:sz w:val="24"/>
              </w:rPr>
              <w:t>Nombres</w:t>
            </w:r>
          </w:p>
        </w:tc>
        <w:tc>
          <w:tcPr>
            <w:tcW w:w="1721" w:type="dxa"/>
            <w:vAlign w:val="center"/>
          </w:tcPr>
          <w:p w14:paraId="3C1D3038" w14:textId="77777777" w:rsidR="00923506" w:rsidRPr="002B1DAF" w:rsidRDefault="00923506" w:rsidP="00535486">
            <w:pPr>
              <w:pStyle w:val="Default"/>
              <w:widowControl w:val="0"/>
              <w:spacing w:before="2" w:line="276" w:lineRule="auto"/>
              <w:ind w:right="62"/>
              <w:contextualSpacing/>
              <w:jc w:val="center"/>
              <w:rPr>
                <w:rFonts/>
                <w:b/>
                <w:sz w:val="24"/>
                <w:szCs w:val="24"/>
                <w:lang w:val="es-ES"/>
              </w:rPr>
            </w:pPr>
            <w:r>
              <w:rPr>
                <w:rFonts w:ascii="Arial" w:hAnsi="Arial" w:cs="Arial" w:eastAsia="Arial"/>
                <w:b/>
                <w:color w:val="000000"/>
                <w:sz w:val="24"/>
              </w:rPr>
              <w:t>Código</w:t>
            </w:r>
          </w:p>
        </w:tc>
        <w:tc>
          <w:tcPr>
            <w:tcW w:w="1522" w:type="dxa"/>
            <w:vAlign w:val="center"/>
          </w:tcPr>
          <w:p w14:paraId="46CF984E" w14:textId="77777777" w:rsidR="00923506" w:rsidRPr="002B1DAF" w:rsidRDefault="00923506" w:rsidP="00535486">
            <w:pPr>
              <w:pStyle w:val="Default"/>
              <w:widowControl w:val="0"/>
              <w:spacing w:before="2" w:line="276" w:lineRule="auto"/>
              <w:ind w:right="62"/>
              <w:contextualSpacing/>
              <w:jc w:val="center"/>
              <w:rPr>
                <w:rFonts/>
                <w:b/>
                <w:sz w:val="24"/>
                <w:szCs w:val="24"/>
                <w:lang w:val="es-ES"/>
              </w:rPr>
            </w:pPr>
            <w:r>
              <w:rPr>
                <w:rFonts w:ascii="Arial" w:hAnsi="Arial" w:cs="Arial" w:eastAsia="Arial"/>
                <w:b/>
                <w:color w:val="000000"/>
                <w:sz w:val="24"/>
              </w:rPr>
              <w:t>Login</w:t>
            </w:r>
          </w:p>
        </w:tc>
        <w:tc>
          <w:tcPr>
            <w:tcW w:w="1834" w:type="dxa"/>
            <w:vAlign w:val="center"/>
          </w:tcPr>
          <w:p w14:paraId="38BD8336" w14:textId="77777777" w:rsidR="00923506" w:rsidRDefault="00923506" w:rsidP="00535486">
            <w:pPr>
              <w:pStyle w:val="Default"/>
              <w:widowControl w:val="0"/>
              <w:spacing w:before="2" w:line="276" w:lineRule="auto"/>
              <w:ind w:right="62"/>
              <w:contextualSpacing/>
              <w:jc w:val="center"/>
              <w:rPr>
                <w:rFonts/>
                <w:b/>
                <w:sz w:val="24"/>
                <w:szCs w:val="24"/>
                <w:lang w:val="es-ES"/>
              </w:rPr>
            </w:pPr>
            <w:r>
              <w:rPr>
                <w:rFonts w:ascii="Arial" w:hAnsi="Arial" w:cs="Arial" w:eastAsia="Arial"/>
                <w:b/>
                <w:color w:val="000000"/>
                <w:sz w:val="24"/>
              </w:rPr>
              <w:t>Quién entrega</w:t>
            </w:r>
          </w:p>
          <w:p w14:paraId="2512B883" w14:textId="4722BE3A" w:rsidR="00535486" w:rsidRPr="002B1DAF" w:rsidRDefault="00535486" w:rsidP="00535486">
            <w:pPr>
              <w:pStyle w:val="Default"/>
              <w:widowControl w:val="0"/>
              <w:spacing w:before="2" w:line="276" w:lineRule="auto"/>
              <w:ind w:right="62"/>
              <w:contextualSpacing/>
              <w:jc w:val="center"/>
              <w:rPr>
                <w:rFonts/>
                <w:b/>
                <w:sz w:val="24"/>
                <w:szCs w:val="24"/>
                <w:lang w:val="es-ES"/>
              </w:rPr>
            </w:pPr>
            <w:r>
              <w:rPr>
                <w:rFonts w:ascii="Arial" w:hAnsi="Arial" w:cs="Arial" w:eastAsia="Arial"/>
                <w:b/>
                <w:color w:val="000000"/>
                <w:sz w:val="24"/>
              </w:rPr>
              <w:t>(Bloque Neón)</w:t>
            </w:r>
          </w:p>
        </w:tc>
      </w:tr>
      <w:tr w:rsidR="00923506" w14:paraId="2A4C2B39" w14:textId="77777777" w:rsidTr="00923506">
        <w:tc>
          <w:tcPr>
            <w:tcW w:w="1895" w:type="dxa"/>
          </w:tcPr>
          <w:p w14:paraId="7A01DF4F"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t>Ospina</w:t>
            </w:r>
          </w:p>
        </w:tc>
        <w:tc>
          <w:tcPr>
            <w:tcW w:w="1884" w:type="dxa"/>
          </w:tcPr>
          <w:p w14:paraId="34E0C453"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t>María Paula</w:t>
            </w:r>
          </w:p>
        </w:tc>
        <w:tc>
          <w:tcPr>
            <w:tcW w:w="1721" w:type="dxa"/>
          </w:tcPr>
          <w:p w14:paraId="2DD869E9"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t>202123208</w:t>
            </w:r>
          </w:p>
        </w:tc>
        <w:tc>
          <w:tcPr>
            <w:tcW w:w="1522" w:type="dxa"/>
          </w:tcPr>
          <w:p w14:paraId="6263ED9A"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r>
          </w:p>
        </w:tc>
        <w:tc>
          <w:tcPr>
            <w:tcW w:w="1834" w:type="dxa"/>
          </w:tcPr>
          <w:p w14:paraId="2E9F249B"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r>
          </w:p>
        </w:tc>
      </w:tr>
      <w:tr w:rsidR="00923506" w14:paraId="358B252C" w14:textId="77777777" w:rsidTr="00923506">
        <w:tc>
          <w:tcPr>
            <w:tcW w:w="1895" w:type="dxa"/>
          </w:tcPr>
          <w:p w14:paraId="0115E486"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t>[Apellidos]</w:t>
            </w:r>
          </w:p>
        </w:tc>
        <w:tc>
          <w:tcPr>
            <w:tcW w:w="1884" w:type="dxa"/>
          </w:tcPr>
          <w:p w14:paraId="3FECA1C6"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t>[Nombres]</w:t>
            </w:r>
          </w:p>
        </w:tc>
        <w:tc>
          <w:tcPr>
            <w:tcW w:w="1721" w:type="dxa"/>
          </w:tcPr>
          <w:p w14:paraId="74071281"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t>[Código]</w:t>
            </w:r>
          </w:p>
        </w:tc>
        <w:tc>
          <w:tcPr>
            <w:tcW w:w="1522" w:type="dxa"/>
          </w:tcPr>
          <w:p w14:paraId="4E5DC18B"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r>
          </w:p>
        </w:tc>
        <w:tc>
          <w:tcPr>
            <w:tcW w:w="1834" w:type="dxa"/>
          </w:tcPr>
          <w:p w14:paraId="7DD6D3E0"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r>
          </w:p>
        </w:tc>
      </w:tr>
      <w:tr w:rsidR="00923506" w14:paraId="358B252C" w14:textId="77777777" w:rsidTr="00923506">
        <w:tc>
          <w:tcPr>
            <w:tcW w:w="1895" w:type="dxa"/>
          </w:tcPr>
          <w:p w14:paraId="0115E486"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t>[Apellidos]</w:t>
            </w:r>
          </w:p>
        </w:tc>
        <w:tc>
          <w:tcPr>
            <w:tcW w:w="1884" w:type="dxa"/>
          </w:tcPr>
          <w:p w14:paraId="3FECA1C6"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t>[Nombres]</w:t>
            </w:r>
          </w:p>
        </w:tc>
        <w:tc>
          <w:tcPr>
            <w:tcW w:w="1721" w:type="dxa"/>
          </w:tcPr>
          <w:p w14:paraId="74071281"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t>[Código]</w:t>
            </w:r>
          </w:p>
        </w:tc>
        <w:tc>
          <w:tcPr>
            <w:tcW w:w="1522" w:type="dxa"/>
          </w:tcPr>
          <w:p w14:paraId="4E5DC18B"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r>
          </w:p>
        </w:tc>
        <w:tc>
          <w:tcPr>
            <w:tcW w:w="1834" w:type="dxa"/>
          </w:tcPr>
          <w:p w14:paraId="7DD6D3E0"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r>
          </w:p>
        </w:tc>
      </w:tr>
      <w:tr w:rsidR="00923506" w14:paraId="358B252C" w14:textId="77777777" w:rsidTr="00923506">
        <w:tc>
          <w:tcPr>
            <w:tcW w:w="1895" w:type="dxa"/>
          </w:tcPr>
          <w:p w14:paraId="0115E486"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t>[Apellidos]</w:t>
            </w:r>
          </w:p>
        </w:tc>
        <w:tc>
          <w:tcPr>
            <w:tcW w:w="1884" w:type="dxa"/>
          </w:tcPr>
          <w:p w14:paraId="3FECA1C6"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t>[Nombres]</w:t>
            </w:r>
          </w:p>
        </w:tc>
        <w:tc>
          <w:tcPr>
            <w:tcW w:w="1721" w:type="dxa"/>
          </w:tcPr>
          <w:p w14:paraId="74071281"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t>[Código]</w:t>
            </w:r>
          </w:p>
        </w:tc>
        <w:tc>
          <w:tcPr>
            <w:tcW w:w="1522" w:type="dxa"/>
          </w:tcPr>
          <w:p w14:paraId="4E5DC18B"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r>
          </w:p>
        </w:tc>
        <w:tc>
          <w:tcPr>
            <w:tcW w:w="1834" w:type="dxa"/>
          </w:tcPr>
          <w:p w14:paraId="7DD6D3E0" w14:textId="77777777" w:rsidR="00923506" w:rsidRDefault="00923506" w:rsidP="002B1DAF">
            <w:pPr>
              <w:pStyle w:val="Default"/>
              <w:widowControl w:val="0"/>
              <w:spacing w:before="2" w:line="276" w:lineRule="auto"/>
              <w:ind w:right="62"/>
              <w:contextualSpacing/>
              <w:jc w:val="both"/>
              <w:rPr>
                <w:rFonts/>
                <w:sz w:val="24"/>
                <w:szCs w:val="24"/>
                <w:lang w:val="es-ES"/>
              </w:rPr>
            </w:pPr>
            <w:r>
              <w:rPr>
                <w:rFonts w:ascii="Arial" w:hAnsi="Arial" w:cs="Arial" w:eastAsia="Arial"/>
                <w:color w:val="000000"/>
                <w:sz w:val="24"/>
              </w:rPr>
            </w:r>
          </w:p>
        </w:tc>
      </w:tr>
    </w:tbl>
    <w:p w14:paraId="361DD8EF" w14:textId="77777777" w:rsidR="00B91FBB" w:rsidRPr="002B1DAF" w:rsidRDefault="00B91FBB" w:rsidP="002B1DAF">
      <w:pPr>
        <w:pStyle w:val="Default"/>
        <w:widowControl w:val="0"/>
        <w:spacing w:before="2" w:line="276" w:lineRule="auto"/>
        <w:ind w:left="720" w:right="62"/>
        <w:contextualSpacing/>
        <w:jc w:val="both"/>
        <w:rPr>
          <w:rFonts/>
          <w:sz w:val="24"/>
          <w:szCs w:val="24"/>
          <w:lang w:val="es-ES"/>
        </w:rPr>
      </w:pPr>
    </w:p>
    <w:p>
      <w:pPr>
        <w:keepNext/>
        <w:spacing w:after="80" w:before="200" w:line="240" w:lineRule="auto"/>
        <w:jc w:val="left"/>
      </w:pPr>
      <w:r>
        <w:rPr>
          <w:rFonts w:ascii="Arial" w:hAnsi="Arial" w:cs="Arial" w:eastAsia="Arial"/>
          <w:b/>
          <w:color w:val="000000"/>
          <w:sz w:val="24"/>
          <w:u w:val="single"/>
        </w:rPr>
        <w:t>1. Definición de la problemática y entendimiento del negocio</w:t>
      </w:r>
    </w:p>
    <w:p>
      <w:pPr>
        <w:spacing w:after="120" w:before="0" w:line="240" w:lineRule="auto"/>
        <w:jc w:val="both"/>
      </w:pPr>
      <w:r>
        <w:rPr>
          <w:rFonts w:ascii="Arial" w:hAnsi="Arial" w:cs="Arial" w:eastAsia="Arial"/>
          <w:b w:val="0"/>
          <w:color w:val="000000"/>
          <w:sz w:val="24"/>
        </w:rPr>
        <w:t>Se trabajará con Scotiabank (en adelante, el Banco), un banco multinacional canadiense, en el área de Procurement, Source to Pay and Adoption Support (S2PA), que gestiona desde Bogotá las compras globales del Banco junto con TPRM y AML. Las facturas se registran en SmartBuy, la plataforma de compras del Banco basada en Coupa. El proceso empieza con la requisición, sigue con la orden de compra o el contrato y su aprobación, luego llega la factura por uno de cinco canales (portal de proveedores, cXML, carga por sftp, correo o digitación interna) y termina con la aprobación y el pago.</w:t>
      </w:r>
    </w:p>
    <w:p>
      <w:pPr>
        <w:spacing w:after="120" w:before="0" w:line="240" w:lineRule="auto"/>
        <w:jc w:val="both"/>
      </w:pPr>
      <w:r>
        <w:rPr>
          <w:rFonts w:ascii="Arial" w:hAnsi="Arial" w:cs="Arial" w:eastAsia="Arial"/>
          <w:b w:val="0"/>
          <w:color w:val="000000"/>
          <w:sz w:val="24"/>
        </w:rPr>
        <w:t>Hoy las facturas se revisan de forma manual y después del pago. Entre junio de 2022 y julio de 2026 se aprobaron 11.168,6 millones de CAD en facturas de 10.000 CAD o más. Se trabaja desde ese monto porque, según el área, desde ahí la factura requiere al menos un aprobador, aunque la mitad de las aprobadas no tiene cadena registrada porque se aprobó sobre la orden de compra (punto 6). En el análisis de los datos se encontraron tres problemas concretos. El primero es que el gasto está fragmentado, ya que el 24,4% del gasto aprobado está en nombres de proveedor que aparecen con varias llaves, así que el Banco negocia sin saber todo lo que le compra a cada empresa. El segundo es que hay facturas duplicadas que evaden el control de SmartBuy porque su número cambia solo en un espacio o un guion. El tercero es que no existe un puntaje de riesgo ni una forma de priorizar qué facturas revisar.</w:t>
      </w:r>
    </w:p>
    <w:p>
      <w:pPr>
        <w:spacing w:after="120" w:before="0" w:line="240" w:lineRule="auto"/>
        <w:jc w:val="both"/>
      </w:pPr>
      <w:r>
        <w:rPr>
          <w:rFonts w:ascii="Arial" w:hAnsi="Arial" w:cs="Arial" w:eastAsia="Arial"/>
          <w:b w:val="0"/>
          <w:color w:val="000000"/>
          <w:sz w:val="24"/>
        </w:rPr>
        <w:t>Este problema tiene que ver directamente con la estrategia del Banco. En el año fiscal 2025 sus gastos no financieros ajustados fueron de 20.581 millones de CAD, con un productivity ratio ajustado de 54,5%, y el Banco declara que busca trabajar "better, faster, safer, and at a lower cost" [1]. Además, según el estudio de la ACFE de 2024, que analizó 1.921 casos en 138 países, las organizaciones pierden cerca del 5% de sus ingresos por fraude ocupacional, un caso típico dura 12 meses antes de detectarse y el 43% se descubre por denuncias y no por controles [2]. En lo regulatorio, OSFI exige gestionar el riesgo de terceros con la Guideline B10 [6], y para eso se necesita un maestro de proveedores confiable.</w:t>
      </w:r>
    </w:p>
    <w:p>
      <w:pPr>
        <w:spacing w:after="80" w:before="0" w:line="240" w:lineRule="auto"/>
        <w:jc w:val="both"/>
      </w:pPr>
      <w:r>
        <w:rPr>
          <w:rFonts w:ascii="Arial" w:hAnsi="Arial" w:cs="Arial" w:eastAsia="Arial"/>
          <w:b w:val="0"/>
          <w:color w:val="000000"/>
          <w:sz w:val="24"/>
        </w:rPr>
        <w:t>El objetivo general es darle a S2PA una vista confiable del gasto aprobado y una lista priorizada de posibles pagos y proveedores duplicados. Los objetivos específicos son (1) caracterizar el gasto por proveedor, categoría, transit, canal y tiempo, (2) asignarle a cada factura aprobada un puntaje de probabilidad de pago duplicado, (3) agrupar los proveedores duplicados y recalcular el gasto consolidado, (4) entregar los resultados en un tablero y una API y (5) validar con el Banco una muestra de los casos marcados. Los KPIs propuestos, con líneas base del punto 6, son:</w:t>
      </w:r>
    </w:p>
    <w:tbl>
      <w:tblPr>
        <w:tblStyle w:val="Tablaconcuadrcula"/>
        <w:tblW w:type="dxa" w:w="9355"/>
        <w:tblLayout w:type="fixed"/>
        <w:tblLook w:firstColumn="1" w:firstRow="1" w:lastColumn="0" w:lastRow="0" w:noHBand="0" w:noVBand="1" w:val="04A0"/>
      </w:tblPr>
      <w:tblGrid>
        <w:gridCol w:w="1928"/>
        <w:gridCol w:w="3402"/>
        <w:gridCol w:w="2211"/>
        <w:gridCol w:w="1814"/>
      </w:tblGrid>
      <w:tr>
        <w:trPr>
          <w:cantSplit w:val="true"/>
          <w:tblHeader w:val="true"/>
        </w:trPr>
        <w:tc>
          <w:tcPr>
            <w:tcW w:type="dxa" w:w="1928"/>
          </w:tcPr>
          <w:p>
            <w:pPr>
              <w:spacing w:after="0" w:before="0" w:line="240" w:lineRule="auto"/>
              <w:jc w:val="left"/>
            </w:pPr>
            <w:r>
              <w:rPr>
                <w:rFonts w:ascii="Arial" w:hAnsi="Arial" w:cs="Arial" w:eastAsia="Arial"/>
                <w:b/>
                <w:color w:val="000000"/>
                <w:sz w:val="24"/>
              </w:rPr>
              <w:t>KPI</w:t>
            </w:r>
          </w:p>
        </w:tc>
        <w:tc>
          <w:tcPr>
            <w:tcW w:type="dxa" w:w="3402"/>
          </w:tcPr>
          <w:p>
            <w:pPr>
              <w:spacing w:after="0" w:before="0" w:line="240" w:lineRule="auto"/>
              <w:jc w:val="left"/>
            </w:pPr>
            <w:r>
              <w:rPr>
                <w:rFonts w:ascii="Arial" w:hAnsi="Arial" w:cs="Arial" w:eastAsia="Arial"/>
                <w:b/>
                <w:color w:val="000000"/>
                <w:sz w:val="24"/>
              </w:rPr>
              <w:t>Cómo se mide</w:t>
            </w:r>
          </w:p>
        </w:tc>
        <w:tc>
          <w:tcPr>
            <w:tcW w:type="dxa" w:w="2211"/>
          </w:tcPr>
          <w:p>
            <w:pPr>
              <w:spacing w:after="0" w:before="0" w:line="240" w:lineRule="auto"/>
              <w:jc w:val="left"/>
            </w:pPr>
            <w:r>
              <w:rPr>
                <w:rFonts w:ascii="Arial" w:hAnsi="Arial" w:cs="Arial" w:eastAsia="Arial"/>
                <w:b/>
                <w:color w:val="000000"/>
                <w:sz w:val="24"/>
              </w:rPr>
              <w:t>Línea base</w:t>
            </w:r>
          </w:p>
        </w:tc>
        <w:tc>
          <w:tcPr>
            <w:tcW w:type="dxa" w:w="1814"/>
          </w:tcPr>
          <w:p>
            <w:pPr>
              <w:spacing w:after="0" w:before="0" w:line="240" w:lineRule="auto"/>
              <w:jc w:val="left"/>
            </w:pPr>
            <w:r>
              <w:rPr>
                <w:rFonts w:ascii="Arial" w:hAnsi="Arial" w:cs="Arial" w:eastAsia="Arial"/>
                <w:b/>
                <w:color w:val="000000"/>
                <w:sz w:val="24"/>
              </w:rPr>
              <w:t>Meta</w:t>
            </w:r>
          </w:p>
        </w:tc>
      </w:tr>
      <w:tr>
        <w:trPr>
          <w:cantSplit w:val="true"/>
        </w:trPr>
        <w:tc>
          <w:tcPr>
            <w:tcW w:type="dxa" w:w="1928"/>
          </w:tcPr>
          <w:p>
            <w:pPr>
              <w:spacing w:after="0" w:before="0" w:line="240" w:lineRule="auto"/>
              <w:jc w:val="left"/>
            </w:pPr>
            <w:r>
              <w:rPr>
                <w:rFonts w:ascii="Arial" w:hAnsi="Arial" w:cs="Arial" w:eastAsia="Arial"/>
                <w:b w:val="0"/>
                <w:color w:val="000000"/>
                <w:sz w:val="24"/>
              </w:rPr>
              <w:t>Gasto consolidado</w:t>
            </w:r>
          </w:p>
        </w:tc>
        <w:tc>
          <w:tcPr>
            <w:tcW w:type="dxa" w:w="3402"/>
          </w:tcPr>
          <w:p>
            <w:pPr>
              <w:spacing w:after="0" w:before="0" w:line="240" w:lineRule="auto"/>
              <w:jc w:val="left"/>
            </w:pPr>
            <w:r>
              <w:rPr>
                <w:rFonts w:ascii="Arial" w:hAnsi="Arial" w:cs="Arial" w:eastAsia="Arial"/>
                <w:b w:val="0"/>
                <w:color w:val="000000"/>
                <w:sz w:val="24"/>
              </w:rPr>
              <w:t>Gasto en grupos de proveedores validados sobre el gasto en grupos con varias llaves</w:t>
            </w:r>
          </w:p>
        </w:tc>
        <w:tc>
          <w:tcPr>
            <w:tcW w:type="dxa" w:w="2211"/>
          </w:tcPr>
          <w:p>
            <w:pPr>
              <w:spacing w:after="0" w:before="0" w:line="240" w:lineRule="auto"/>
              <w:jc w:val="left"/>
            </w:pPr>
            <w:r>
              <w:rPr>
                <w:rFonts w:ascii="Arial" w:hAnsi="Arial" w:cs="Arial" w:eastAsia="Arial"/>
                <w:b w:val="0"/>
                <w:color w:val="000000"/>
                <w:sz w:val="24"/>
              </w:rPr>
              <w:t>24,4% del gasto sin consolidar</w:t>
            </w:r>
          </w:p>
        </w:tc>
        <w:tc>
          <w:tcPr>
            <w:tcW w:type="dxa" w:w="1814"/>
          </w:tcPr>
          <w:p>
            <w:pPr>
              <w:spacing w:after="0" w:before="0" w:line="240" w:lineRule="auto"/>
              <w:jc w:val="left"/>
            </w:pPr>
            <w:r>
              <w:rPr>
                <w:rFonts w:ascii="Arial" w:hAnsi="Arial" w:cs="Arial" w:eastAsia="Arial"/>
                <w:b w:val="0"/>
                <w:color w:val="000000"/>
                <w:sz w:val="24"/>
              </w:rPr>
              <w:t>100% revisado</w:t>
            </w:r>
          </w:p>
        </w:tc>
      </w:tr>
      <w:tr>
        <w:trPr>
          <w:cantSplit w:val="true"/>
        </w:trPr>
        <w:tc>
          <w:tcPr>
            <w:tcW w:type="dxa" w:w="1928"/>
          </w:tcPr>
          <w:p>
            <w:pPr>
              <w:spacing w:after="0" w:before="0" w:line="240" w:lineRule="auto"/>
              <w:jc w:val="left"/>
            </w:pPr>
            <w:r>
              <w:rPr>
                <w:rFonts w:ascii="Arial" w:hAnsi="Arial" w:cs="Arial" w:eastAsia="Arial"/>
                <w:b w:val="0"/>
                <w:color w:val="000000"/>
                <w:sz w:val="24"/>
              </w:rPr>
              <w:t>Precisión de la cola</w:t>
            </w:r>
          </w:p>
        </w:tc>
        <w:tc>
          <w:tcPr>
            <w:tcW w:type="dxa" w:w="3402"/>
          </w:tcPr>
          <w:p>
            <w:pPr>
              <w:spacing w:after="0" w:before="0" w:line="240" w:lineRule="auto"/>
              <w:jc w:val="left"/>
            </w:pPr>
            <w:r>
              <w:rPr>
                <w:rFonts w:ascii="Arial" w:hAnsi="Arial" w:cs="Arial" w:eastAsia="Arial"/>
                <w:b w:val="0"/>
                <w:color w:val="000000"/>
                <w:sz w:val="24"/>
              </w:rPr>
              <w:t>Casos confirmados sobre casos revisados en los 50 primeros</w:t>
            </w:r>
          </w:p>
        </w:tc>
        <w:tc>
          <w:tcPr>
            <w:tcW w:type="dxa" w:w="2211"/>
          </w:tcPr>
          <w:p>
            <w:pPr>
              <w:spacing w:after="0" w:before="0" w:line="240" w:lineRule="auto"/>
              <w:jc w:val="left"/>
            </w:pPr>
            <w:r>
              <w:rPr>
                <w:rFonts w:ascii="Arial" w:hAnsi="Arial" w:cs="Arial" w:eastAsia="Arial"/>
                <w:b w:val="0"/>
                <w:color w:val="000000"/>
                <w:sz w:val="24"/>
              </w:rPr>
              <w:t>No existe</w:t>
            </w:r>
          </w:p>
        </w:tc>
        <w:tc>
          <w:tcPr>
            <w:tcW w:type="dxa" w:w="1814"/>
          </w:tcPr>
          <w:p>
            <w:pPr>
              <w:spacing w:after="0" w:before="0" w:line="240" w:lineRule="auto"/>
              <w:jc w:val="left"/>
            </w:pPr>
            <w:r>
              <w:rPr>
                <w:rFonts w:ascii="Arial" w:hAnsi="Arial" w:cs="Arial" w:eastAsia="Arial"/>
                <w:b w:val="0"/>
                <w:color w:val="000000"/>
                <w:sz w:val="24"/>
              </w:rPr>
              <w:t>30% o más</w:t>
            </w:r>
          </w:p>
        </w:tc>
      </w:tr>
      <w:tr>
        <w:trPr>
          <w:cantSplit w:val="true"/>
        </w:trPr>
        <w:tc>
          <w:tcPr>
            <w:tcW w:type="dxa" w:w="1928"/>
          </w:tcPr>
          <w:p>
            <w:pPr>
              <w:spacing w:after="0" w:before="0" w:line="240" w:lineRule="auto"/>
              <w:jc w:val="left"/>
            </w:pPr>
            <w:r>
              <w:rPr>
                <w:rFonts w:ascii="Arial" w:hAnsi="Arial" w:cs="Arial" w:eastAsia="Arial"/>
                <w:b w:val="0"/>
                <w:color w:val="000000"/>
                <w:sz w:val="24"/>
              </w:rPr>
              <w:t>Monto recuperado</w:t>
            </w:r>
          </w:p>
        </w:tc>
        <w:tc>
          <w:tcPr>
            <w:tcW w:type="dxa" w:w="3402"/>
          </w:tcPr>
          <w:p>
            <w:pPr>
              <w:spacing w:after="0" w:before="0" w:line="240" w:lineRule="auto"/>
              <w:jc w:val="left"/>
            </w:pPr>
            <w:r>
              <w:rPr>
                <w:rFonts w:ascii="Arial" w:hAnsi="Arial" w:cs="Arial" w:eastAsia="Arial"/>
                <w:b w:val="0"/>
                <w:color w:val="000000"/>
                <w:sz w:val="24"/>
              </w:rPr>
              <w:t>CAD de duplicados confirmados y recuperados por trimestre</w:t>
            </w:r>
          </w:p>
        </w:tc>
        <w:tc>
          <w:tcPr>
            <w:tcW w:type="dxa" w:w="2211"/>
          </w:tcPr>
          <w:p>
            <w:pPr>
              <w:spacing w:after="0" w:before="0" w:line="240" w:lineRule="auto"/>
              <w:jc w:val="left"/>
            </w:pPr>
            <w:r>
              <w:rPr>
                <w:rFonts w:ascii="Arial" w:hAnsi="Arial" w:cs="Arial" w:eastAsia="Arial"/>
                <w:b w:val="0"/>
                <w:color w:val="000000"/>
                <w:sz w:val="24"/>
              </w:rPr>
              <w:t>120.379 CAD por confirmar</w:t>
            </w:r>
          </w:p>
        </w:tc>
        <w:tc>
          <w:tcPr>
            <w:tcW w:type="dxa" w:w="1814"/>
          </w:tcPr>
          <w:p>
            <w:pPr>
              <w:spacing w:after="0" w:before="0" w:line="240" w:lineRule="auto"/>
              <w:jc w:val="left"/>
            </w:pPr>
            <w:r>
              <w:rPr>
                <w:rFonts w:ascii="Arial" w:hAnsi="Arial" w:cs="Arial" w:eastAsia="Arial"/>
                <w:b w:val="0"/>
                <w:color w:val="000000"/>
                <w:sz w:val="24"/>
              </w:rPr>
              <w:t>90% de lo confirmado</w:t>
            </w:r>
          </w:p>
        </w:tc>
      </w:tr>
      <w:tr>
        <w:trPr>
          <w:cantSplit w:val="true"/>
        </w:trPr>
        <w:tc>
          <w:tcPr>
            <w:tcW w:type="dxa" w:w="1928"/>
          </w:tcPr>
          <w:p>
            <w:pPr>
              <w:spacing w:after="0" w:before="0" w:line="240" w:lineRule="auto"/>
              <w:jc w:val="left"/>
            </w:pPr>
            <w:r>
              <w:rPr>
                <w:rFonts w:ascii="Arial" w:hAnsi="Arial" w:cs="Arial" w:eastAsia="Arial"/>
                <w:b w:val="0"/>
                <w:color w:val="000000"/>
                <w:sz w:val="24"/>
              </w:rPr>
              <w:t>Cobertura y tiempo</w:t>
            </w:r>
          </w:p>
        </w:tc>
        <w:tc>
          <w:tcPr>
            <w:tcW w:type="dxa" w:w="3402"/>
          </w:tcPr>
          <w:p>
            <w:pPr>
              <w:spacing w:after="0" w:before="0" w:line="240" w:lineRule="auto"/>
              <w:jc w:val="left"/>
            </w:pPr>
            <w:r>
              <w:rPr>
                <w:rFonts w:ascii="Arial" w:hAnsi="Arial" w:cs="Arial" w:eastAsia="Arial"/>
                <w:b w:val="0"/>
                <w:color w:val="000000"/>
                <w:sz w:val="24"/>
              </w:rPr>
              <w:t>Facturas con puntaje y días entre la aprobación y la alerta</w:t>
            </w:r>
          </w:p>
        </w:tc>
        <w:tc>
          <w:tcPr>
            <w:tcW w:type="dxa" w:w="2211"/>
          </w:tcPr>
          <w:p>
            <w:pPr>
              <w:spacing w:after="0" w:before="0" w:line="240" w:lineRule="auto"/>
              <w:jc w:val="left"/>
            </w:pPr>
            <w:r>
              <w:rPr>
                <w:rFonts w:ascii="Arial" w:hAnsi="Arial" w:cs="Arial" w:eastAsia="Arial"/>
                <w:b w:val="0"/>
                <w:color w:val="000000"/>
                <w:sz w:val="24"/>
              </w:rPr>
              <w:t>Muestreo manual, después del pago</w:t>
            </w:r>
          </w:p>
        </w:tc>
        <w:tc>
          <w:tcPr>
            <w:tcW w:type="dxa" w:w="1814"/>
          </w:tcPr>
          <w:p>
            <w:pPr>
              <w:spacing w:after="0" w:before="0" w:line="240" w:lineRule="auto"/>
              <w:jc w:val="left"/>
            </w:pPr>
            <w:r>
              <w:rPr>
                <w:rFonts w:ascii="Arial" w:hAnsi="Arial" w:cs="Arial" w:eastAsia="Arial"/>
                <w:b w:val="0"/>
                <w:color w:val="000000"/>
                <w:sz w:val="24"/>
              </w:rPr>
              <w:t>100% semanal y 7 días o menos</w:t>
            </w:r>
          </w:p>
        </w:tc>
      </w:tr>
    </w:tbl>
    <w:p>
      <w:pPr>
        <w:spacing w:after="0" w:line="120" w:lineRule="exact"/>
      </w:pPr>
    </w:p>
    <w:p>
      <w:pPr>
        <w:spacing w:after="120" w:before="0" w:line="240" w:lineRule="auto"/>
        <w:jc w:val="left"/>
      </w:pPr>
      <w:r>
        <w:rPr>
          <w:rFonts w:ascii="Arial" w:hAnsi="Arial" w:cs="Arial" w:eastAsia="Arial"/>
          <w:color w:val="000000"/>
          <w:sz w:val="24"/>
        </w:rPr>
        <w:t>Detalle en el repositorio: docs/01_problema_negocio.md</w:t>
      </w:r>
    </w:p>
    <w:p>
      <w:pPr>
        <w:keepNext/>
        <w:spacing w:after="80" w:before="200" w:line="240" w:lineRule="auto"/>
        <w:jc w:val="left"/>
      </w:pPr>
      <w:r>
        <w:rPr>
          <w:rFonts w:ascii="Arial" w:hAnsi="Arial" w:cs="Arial" w:eastAsia="Arial"/>
          <w:b/>
          <w:color w:val="000000"/>
          <w:sz w:val="24"/>
          <w:u w:val="single"/>
        </w:rPr>
        <w:t>2. Ideación</w:t>
      </w:r>
    </w:p>
    <w:p>
      <w:pPr>
        <w:spacing w:after="120" w:before="0" w:line="240" w:lineRule="auto"/>
        <w:jc w:val="both"/>
      </w:pPr>
      <w:r>
        <w:rPr>
          <w:rFonts w:ascii="Arial" w:hAnsi="Arial" w:cs="Arial" w:eastAsia="Arial"/>
          <w:b w:val="0"/>
          <w:color w:val="000000"/>
          <w:sz w:val="24"/>
        </w:rPr>
        <w:t>Los usuarios principales son los analistas de S2PA, que hoy exportan reportes de SmartBuy a Excel y revisan algunas facturas por muestreo después del pago, sin una vista consolidada por proveedor. También está Procurement Governance, que revisa los posibles pagos dobles solo cuando alguien los reporta y no deja registro de lo que revisó, y la dirección de Procurement, que negocia con los proveedores sin ver todo su gasto porque está repartido entre varias llaves.</w:t>
      </w:r>
    </w:p>
    <w:p>
      <w:pPr>
        <w:spacing w:after="120" w:before="0" w:line="240" w:lineRule="auto"/>
        <w:jc w:val="both"/>
      </w:pPr>
      <w:r>
        <w:rPr>
          <w:rFonts w:ascii="Arial" w:hAnsi="Arial" w:cs="Arial" w:eastAsia="Arial"/>
          <w:b w:val="0"/>
          <w:color w:val="000000"/>
          <w:sz w:val="24"/>
        </w:rPr>
        <w:t>Para estos usuarios se propone un producto de datos con tres componentes. El primero es un modelo de machine learning que compara cada factura aprobada con las anteriores del mismo proveedor y le asigna un puntaje de 0 a 1 junto con los motivos que lo explican. Al principio va a funcionar con reglas de duplicados aproximados y de montos atípicos, las mismas que se usaron en el entendimiento de los datos, y cuando el Banco etiquete casos se va a entrenar un modelo con esas etiquetas; además, va a agrupar los proveedores por similitud de nombre con la distancia de Levenshtein. El segundo componente es una API REST con servicios para el puntaje, los casos y los proveedores. El tercero es un dashboard con el gasto consolidado, la cola priorizada de casos y un registro donde el analista confirma o descarta cada caso, y esa decisión se vuelve una etiqueta para reentrenar el modelo (figura 1).</w:t>
      </w:r>
    </w:p>
    <w:p>
      <w:pPr>
        <w:spacing w:after="120" w:before="0" w:line="240" w:lineRule="auto"/>
        <w:jc w:val="both"/>
      </w:pPr>
      <w:r>
        <w:rPr>
          <w:rFonts w:ascii="Arial" w:hAnsi="Arial" w:cs="Arial" w:eastAsia="Arial"/>
          <w:b w:val="0"/>
          <w:color w:val="000000"/>
          <w:sz w:val="24"/>
        </w:rPr>
        <w:t>Como requerimientos no funcionales, los datos deben estar seudonimizados, el acceso debe ser restringido, la información se actualiza cada semana y cada alerta se puede rastrear hasta la versión del modelo. La arquitectura va de la extracción de SmartBuy a la anonimización, los pares de facturas, el modelo, la API y el dashboard.</w:t>
      </w:r>
    </w:p>
    <w:p>
      <w:pPr>
        <w:keepNext/>
        <w:spacing w:after="0" w:before="0" w:line="240" w:lineRule="auto"/>
        <w:jc w:val="center"/>
      </w:pPr>
      <w:r>
        <w:drawing>
          <wp:inline xmlns:a="http://schemas.openxmlformats.org/drawingml/2006/main" xmlns:pic="http://schemas.openxmlformats.org/drawingml/2006/picture">
            <wp:extent cx="3780000" cy="1937250"/>
            <wp:docPr id="4" name="Picture 4"/>
            <wp:cNvGraphicFramePr>
              <a:graphicFrameLocks noChangeAspect="1"/>
            </wp:cNvGraphicFramePr>
            <a:graphic>
              <a:graphicData uri="http://schemas.openxmlformats.org/drawingml/2006/picture">
                <pic:pic>
                  <pic:nvPicPr>
                    <pic:cNvPr id="0" name="mockup.png"/>
                    <pic:cNvPicPr/>
                  </pic:nvPicPr>
                  <pic:blipFill>
                    <a:blip r:embed="rId14"/>
                    <a:stretch>
                      <a:fillRect/>
                    </a:stretch>
                  </pic:blipFill>
                  <pic:spPr>
                    <a:xfrm>
                      <a:off x="0" y="0"/>
                      <a:ext cx="3780000" cy="1937250"/>
                    </a:xfrm>
                    <a:prstGeom prst="rect"/>
                  </pic:spPr>
                </pic:pic>
              </a:graphicData>
            </a:graphic>
          </wp:inline>
        </w:drawing>
      </w:r>
    </w:p>
    <w:p>
      <w:pPr>
        <w:spacing w:after="120" w:before="0" w:line="240" w:lineRule="auto"/>
        <w:jc w:val="center"/>
      </w:pPr>
      <w:r>
        <w:rPr>
          <w:rFonts w:ascii="Arial" w:hAnsi="Arial" w:cs="Arial" w:eastAsia="Arial"/>
          <w:b w:val="0"/>
          <w:color w:val="000000"/>
          <w:sz w:val="24"/>
        </w:rPr>
        <w:t>Figura 1. Mockup del producto de datos. Los valores de la cola de casos son ilustrativos.</w:t>
      </w:r>
    </w:p>
    <w:p>
      <w:pPr>
        <w:spacing w:after="120" w:before="0" w:line="240" w:lineRule="auto"/>
        <w:jc w:val="left"/>
      </w:pPr>
      <w:r>
        <w:rPr>
          <w:rFonts w:ascii="Arial" w:hAnsi="Arial" w:cs="Arial" w:eastAsia="Arial"/>
          <w:color w:val="000000"/>
          <w:sz w:val="24"/>
        </w:rPr>
        <w:t>Detalle en el repositorio: docs/02_ideacion.md</w:t>
      </w:r>
    </w:p>
    <w:p>
      <w:pPr>
        <w:keepNext/>
        <w:spacing w:after="80" w:before="200" w:line="240" w:lineRule="auto"/>
        <w:jc w:val="left"/>
      </w:pPr>
      <w:r>
        <w:rPr>
          <w:rFonts w:ascii="Arial" w:hAnsi="Arial" w:cs="Arial" w:eastAsia="Arial"/>
          <w:b/>
          <w:color w:val="000000"/>
          <w:sz w:val="24"/>
          <w:u w:val="single"/>
        </w:rPr>
        <w:t>3. Aspectos éticos y legales</w:t>
      </w:r>
    </w:p>
    <w:p>
      <w:pPr>
        <w:spacing w:after="80" w:before="0" w:line="240" w:lineRule="auto"/>
        <w:jc w:val="both"/>
      </w:pPr>
      <w:r>
        <w:rPr>
          <w:rFonts w:ascii="Arial" w:hAnsi="Arial" w:cs="Arial" w:eastAsia="Arial"/>
          <w:b w:val="0"/>
          <w:color w:val="000000"/>
          <w:sz w:val="24"/>
        </w:rPr>
        <w:t>Los dos riesgos principales son exponer información confidencial del Banco y señalar a alguien sin evidencia por un falso positivo. La tabla resume cómo se maneja cada riesgo.</w:t>
      </w:r>
    </w:p>
    <w:tbl>
      <w:tblPr>
        <w:tblStyle w:val="Tablaconcuadrcula"/>
        <w:tblW w:type="dxa" w:w="9355"/>
        <w:tblLayout w:type="fixed"/>
        <w:tblLook w:firstColumn="1" w:firstRow="1" w:lastColumn="0" w:lastRow="0" w:noHBand="0" w:noVBand="1" w:val="04A0"/>
      </w:tblPr>
      <w:tblGrid>
        <w:gridCol w:w="2041"/>
        <w:gridCol w:w="5329"/>
        <w:gridCol w:w="1984"/>
      </w:tblGrid>
      <w:tr>
        <w:trPr>
          <w:cantSplit w:val="true"/>
          <w:tblHeader w:val="true"/>
        </w:trPr>
        <w:tc>
          <w:tcPr>
            <w:tcW w:type="dxa" w:w="2041"/>
          </w:tcPr>
          <w:p>
            <w:pPr>
              <w:spacing w:after="0" w:before="0" w:line="240" w:lineRule="auto"/>
              <w:jc w:val="left"/>
            </w:pPr>
            <w:r>
              <w:rPr>
                <w:rFonts w:ascii="Arial" w:hAnsi="Arial" w:cs="Arial" w:eastAsia="Arial"/>
                <w:b/>
                <w:color w:val="000000"/>
                <w:sz w:val="24"/>
              </w:rPr>
              <w:t>Aspecto</w:t>
            </w:r>
          </w:p>
        </w:tc>
        <w:tc>
          <w:tcPr>
            <w:tcW w:type="dxa" w:w="5329"/>
          </w:tcPr>
          <w:p>
            <w:pPr>
              <w:spacing w:after="0" w:before="0" w:line="240" w:lineRule="auto"/>
              <w:jc w:val="left"/>
            </w:pPr>
            <w:r>
              <w:rPr>
                <w:rFonts w:ascii="Arial" w:hAnsi="Arial" w:cs="Arial" w:eastAsia="Arial"/>
                <w:b/>
                <w:color w:val="000000"/>
                <w:sz w:val="24"/>
              </w:rPr>
              <w:t>Riesgo y medida</w:t>
            </w:r>
          </w:p>
        </w:tc>
        <w:tc>
          <w:tcPr>
            <w:tcW w:type="dxa" w:w="1984"/>
          </w:tcPr>
          <w:p>
            <w:pPr>
              <w:spacing w:after="0" w:before="0" w:line="240" w:lineRule="auto"/>
              <w:jc w:val="left"/>
            </w:pPr>
            <w:r>
              <w:rPr>
                <w:rFonts w:ascii="Arial" w:hAnsi="Arial" w:cs="Arial" w:eastAsia="Arial"/>
                <w:b/>
                <w:color w:val="000000"/>
                <w:sz w:val="24"/>
              </w:rPr>
              <w:t>Fuente</w:t>
            </w:r>
          </w:p>
        </w:tc>
      </w:tr>
      <w:tr>
        <w:trPr>
          <w:cantSplit w:val="true"/>
        </w:trPr>
        <w:tc>
          <w:tcPr>
            <w:tcW w:type="dxa" w:w="2041"/>
          </w:tcPr>
          <w:p>
            <w:pPr>
              <w:spacing w:after="0" w:before="0" w:line="240" w:lineRule="auto"/>
              <w:jc w:val="left"/>
            </w:pPr>
            <w:r>
              <w:rPr>
                <w:rFonts w:ascii="Arial" w:hAnsi="Arial" w:cs="Arial" w:eastAsia="Arial"/>
                <w:b w:val="0"/>
                <w:color w:val="000000"/>
                <w:sz w:val="24"/>
              </w:rPr>
              <w:t>Privacidad</w:t>
            </w:r>
          </w:p>
        </w:tc>
        <w:tc>
          <w:tcPr>
            <w:tcW w:type="dxa" w:w="5329"/>
          </w:tcPr>
          <w:p>
            <w:pPr>
              <w:spacing w:after="0" w:before="0" w:line="240" w:lineRule="auto"/>
              <w:jc w:val="left"/>
            </w:pPr>
            <w:r>
              <w:rPr>
                <w:rFonts w:ascii="Arial" w:hAnsi="Arial" w:cs="Arial" w:eastAsia="Arial"/>
                <w:b w:val="0"/>
                <w:color w:val="000000"/>
                <w:sz w:val="24"/>
              </w:rPr>
              <w:t>Los nombres de los empleados se reemplazan por seudónimos, se eliminan los logins y los IDs y los datos se usan solo con fines académicos.</w:t>
            </w:r>
          </w:p>
        </w:tc>
        <w:tc>
          <w:tcPr>
            <w:tcW w:type="dxa" w:w="1984"/>
          </w:tcPr>
          <w:p>
            <w:pPr>
              <w:spacing w:after="0" w:before="0" w:line="240" w:lineRule="auto"/>
              <w:jc w:val="left"/>
            </w:pPr>
            <w:r>
              <w:rPr>
                <w:rFonts w:ascii="Arial" w:hAnsi="Arial" w:cs="Arial" w:eastAsia="Arial"/>
                <w:b w:val="0"/>
                <w:color w:val="000000"/>
                <w:sz w:val="24"/>
              </w:rPr>
              <w:t>Ley 1581 [3], PIPEDA [4]</w:t>
            </w:r>
          </w:p>
        </w:tc>
      </w:tr>
      <w:tr>
        <w:trPr>
          <w:cantSplit w:val="true"/>
        </w:trPr>
        <w:tc>
          <w:tcPr>
            <w:tcW w:type="dxa" w:w="2041"/>
          </w:tcPr>
          <w:p>
            <w:pPr>
              <w:spacing w:after="0" w:before="0" w:line="240" w:lineRule="auto"/>
              <w:jc w:val="left"/>
            </w:pPr>
            <w:r>
              <w:rPr>
                <w:rFonts w:ascii="Arial" w:hAnsi="Arial" w:cs="Arial" w:eastAsia="Arial"/>
                <w:b w:val="0"/>
                <w:color w:val="000000"/>
                <w:sz w:val="24"/>
              </w:rPr>
              <w:t>Confidencialidad</w:t>
            </w:r>
          </w:p>
        </w:tc>
        <w:tc>
          <w:tcPr>
            <w:tcW w:type="dxa" w:w="5329"/>
          </w:tcPr>
          <w:p>
            <w:pPr>
              <w:spacing w:after="0" w:before="0" w:line="240" w:lineRule="auto"/>
              <w:jc w:val="left"/>
            </w:pPr>
            <w:r>
              <w:rPr>
                <w:rFonts w:ascii="Arial" w:hAnsi="Arial" w:cs="Arial" w:eastAsia="Arial"/>
                <w:b w:val="0"/>
                <w:color w:val="000000"/>
                <w:sz w:val="24"/>
              </w:rPr>
              <w:t>Los proveedores se identifican con seudónimos, después de la primera mención se habla solo de el Banco y la base no se sube al repositorio.</w:t>
            </w:r>
          </w:p>
        </w:tc>
        <w:tc>
          <w:tcPr>
            <w:tcW w:type="dxa" w:w="1984"/>
          </w:tcPr>
          <w:p>
            <w:pPr>
              <w:spacing w:after="0" w:before="0" w:line="240" w:lineRule="auto"/>
              <w:jc w:val="left"/>
            </w:pPr>
            <w:r>
              <w:rPr>
                <w:rFonts w:ascii="Arial" w:hAnsi="Arial" w:cs="Arial" w:eastAsia="Arial"/>
                <w:b w:val="0"/>
                <w:color w:val="000000"/>
                <w:sz w:val="24"/>
              </w:rPr>
              <w:t>Código de Conducta [5]</w:t>
            </w:r>
          </w:p>
        </w:tc>
      </w:tr>
      <w:tr>
        <w:trPr>
          <w:cantSplit w:val="true"/>
        </w:trPr>
        <w:tc>
          <w:tcPr>
            <w:tcW w:type="dxa" w:w="2041"/>
          </w:tcPr>
          <w:p>
            <w:pPr>
              <w:spacing w:after="0" w:before="0" w:line="240" w:lineRule="auto"/>
              <w:jc w:val="left"/>
            </w:pPr>
            <w:r>
              <w:rPr>
                <w:rFonts w:ascii="Arial" w:hAnsi="Arial" w:cs="Arial" w:eastAsia="Arial"/>
                <w:b w:val="0"/>
                <w:color w:val="000000"/>
                <w:sz w:val="24"/>
              </w:rPr>
              <w:t>Reidentificación</w:t>
            </w:r>
          </w:p>
        </w:tc>
        <w:tc>
          <w:tcPr>
            <w:tcW w:type="dxa" w:w="5329"/>
          </w:tcPr>
          <w:p>
            <w:pPr>
              <w:spacing w:after="0" w:before="0" w:line="240" w:lineRule="auto"/>
              <w:jc w:val="left"/>
            </w:pPr>
            <w:r>
              <w:rPr>
                <w:rFonts w:ascii="Arial" w:hAnsi="Arial" w:cs="Arial" w:eastAsia="Arial"/>
                <w:b w:val="0"/>
                <w:color w:val="000000"/>
                <w:sz w:val="24"/>
              </w:rPr>
              <w:t>Un proveedor grande se podría reconocer por su gasto. Como el curso exige un repositorio público, solo se publican resultados con seudónimos y el Banco lo revisa antes de entregarlo.</w:t>
            </w:r>
          </w:p>
        </w:tc>
        <w:tc>
          <w:tcPr>
            <w:tcW w:type="dxa" w:w="1984"/>
          </w:tcPr>
          <w:p>
            <w:pPr>
              <w:spacing w:after="0" w:before="0" w:line="240" w:lineRule="auto"/>
              <w:jc w:val="left"/>
            </w:pPr>
            <w:r>
              <w:rPr>
                <w:rFonts w:ascii="Arial" w:hAnsi="Arial" w:cs="Arial" w:eastAsia="Arial"/>
                <w:b w:val="0"/>
                <w:color w:val="000000"/>
                <w:sz w:val="24"/>
              </w:rPr>
              <w:t>Ley 1581 [3]</w:t>
            </w:r>
          </w:p>
        </w:tc>
      </w:tr>
      <w:tr>
        <w:trPr>
          <w:cantSplit w:val="true"/>
        </w:trPr>
        <w:tc>
          <w:tcPr>
            <w:tcW w:type="dxa" w:w="2041"/>
          </w:tcPr>
          <w:p>
            <w:pPr>
              <w:spacing w:after="0" w:before="0" w:line="240" w:lineRule="auto"/>
              <w:jc w:val="left"/>
            </w:pPr>
            <w:r>
              <w:rPr>
                <w:rFonts w:ascii="Arial" w:hAnsi="Arial" w:cs="Arial" w:eastAsia="Arial"/>
                <w:b w:val="0"/>
                <w:color w:val="000000"/>
                <w:sz w:val="24"/>
              </w:rPr>
              <w:t>Falsos positivos</w:t>
            </w:r>
          </w:p>
        </w:tc>
        <w:tc>
          <w:tcPr>
            <w:tcW w:type="dxa" w:w="5329"/>
          </w:tcPr>
          <w:p>
            <w:pPr>
              <w:spacing w:after="0" w:before="0" w:line="240" w:lineRule="auto"/>
              <w:jc w:val="left"/>
            </w:pPr>
            <w:r>
              <w:rPr>
                <w:rFonts w:ascii="Arial" w:hAnsi="Arial" w:cs="Arial" w:eastAsia="Arial"/>
                <w:b w:val="0"/>
                <w:color w:val="000000"/>
                <w:sz w:val="24"/>
              </w:rPr>
              <w:t>Se habla de posible duplicado, cada alerta muestra sus motivos y siempre pasa por revisión humana.</w:t>
            </w:r>
          </w:p>
        </w:tc>
        <w:tc>
          <w:tcPr>
            <w:tcW w:type="dxa" w:w="1984"/>
          </w:tcPr>
          <w:p>
            <w:pPr>
              <w:spacing w:after="0" w:before="0" w:line="240" w:lineRule="auto"/>
              <w:jc w:val="left"/>
            </w:pPr>
            <w:r>
              <w:rPr>
                <w:rFonts w:ascii="Arial" w:hAnsi="Arial" w:cs="Arial" w:eastAsia="Arial"/>
                <w:b w:val="0"/>
                <w:color w:val="000000"/>
                <w:sz w:val="24"/>
              </w:rPr>
              <w:t>ACFE [2]</w:t>
            </w:r>
          </w:p>
        </w:tc>
      </w:tr>
      <w:tr>
        <w:trPr>
          <w:cantSplit w:val="true"/>
        </w:trPr>
        <w:tc>
          <w:tcPr>
            <w:tcW w:type="dxa" w:w="2041"/>
          </w:tcPr>
          <w:p>
            <w:pPr>
              <w:spacing w:after="0" w:before="0" w:line="240" w:lineRule="auto"/>
              <w:jc w:val="left"/>
            </w:pPr>
            <w:r>
              <w:rPr>
                <w:rFonts w:ascii="Arial" w:hAnsi="Arial" w:cs="Arial" w:eastAsia="Arial"/>
                <w:b w:val="0"/>
                <w:color w:val="000000"/>
                <w:sz w:val="24"/>
              </w:rPr>
              <w:t>Transparencia</w:t>
            </w:r>
          </w:p>
        </w:tc>
        <w:tc>
          <w:tcPr>
            <w:tcW w:type="dxa" w:w="5329"/>
          </w:tcPr>
          <w:p>
            <w:pPr>
              <w:spacing w:after="0" w:before="0" w:line="240" w:lineRule="auto"/>
              <w:jc w:val="left"/>
            </w:pPr>
            <w:r>
              <w:rPr>
                <w:rFonts w:ascii="Arial" w:hAnsi="Arial" w:cs="Arial" w:eastAsia="Arial"/>
                <w:b w:val="0"/>
                <w:color w:val="000000"/>
                <w:sz w:val="24"/>
              </w:rPr>
              <w:t>El modelo va a ser interpretable, documentado y monitoreado.</w:t>
            </w:r>
          </w:p>
        </w:tc>
        <w:tc>
          <w:tcPr>
            <w:tcW w:type="dxa" w:w="1984"/>
          </w:tcPr>
          <w:p>
            <w:pPr>
              <w:spacing w:after="0" w:before="0" w:line="240" w:lineRule="auto"/>
              <w:jc w:val="left"/>
            </w:pPr>
            <w:r>
              <w:rPr>
                <w:rFonts w:ascii="Arial" w:hAnsi="Arial" w:cs="Arial" w:eastAsia="Arial"/>
                <w:b w:val="0"/>
                <w:color w:val="000000"/>
                <w:sz w:val="24"/>
              </w:rPr>
              <w:t>OSFI E23 [7]</w:t>
            </w:r>
          </w:p>
        </w:tc>
      </w:tr>
      <w:tr>
        <w:trPr>
          <w:cantSplit w:val="true"/>
        </w:trPr>
        <w:tc>
          <w:tcPr>
            <w:tcW w:type="dxa" w:w="2041"/>
          </w:tcPr>
          <w:p>
            <w:pPr>
              <w:spacing w:after="0" w:before="0" w:line="240" w:lineRule="auto"/>
              <w:jc w:val="left"/>
            </w:pPr>
            <w:r>
              <w:rPr>
                <w:rFonts w:ascii="Arial" w:hAnsi="Arial" w:cs="Arial" w:eastAsia="Arial"/>
                <w:b w:val="0"/>
                <w:color w:val="000000"/>
                <w:sz w:val="24"/>
              </w:rPr>
              <w:t>Terceros y sesgo</w:t>
            </w:r>
          </w:p>
        </w:tc>
        <w:tc>
          <w:tcPr>
            <w:tcW w:type="dxa" w:w="5329"/>
          </w:tcPr>
          <w:p>
            <w:pPr>
              <w:spacing w:after="0" w:before="0" w:line="240" w:lineRule="auto"/>
              <w:jc w:val="left"/>
            </w:pPr>
            <w:r>
              <w:rPr>
                <w:rFonts w:ascii="Arial" w:hAnsi="Arial" w:cs="Arial" w:eastAsia="Arial"/>
                <w:b w:val="0"/>
                <w:color w:val="000000"/>
                <w:sz w:val="24"/>
              </w:rPr>
              <w:t>Ninguna fusión de proveedores se hace sin validación del Banco y el etiquetado usa muestras estratificadas por canal y patrón.</w:t>
            </w:r>
          </w:p>
        </w:tc>
        <w:tc>
          <w:tcPr>
            <w:tcW w:type="dxa" w:w="1984"/>
          </w:tcPr>
          <w:p>
            <w:pPr>
              <w:spacing w:after="0" w:before="0" w:line="240" w:lineRule="auto"/>
              <w:jc w:val="left"/>
            </w:pPr>
            <w:r>
              <w:rPr>
                <w:rFonts w:ascii="Arial" w:hAnsi="Arial" w:cs="Arial" w:eastAsia="Arial"/>
                <w:b w:val="0"/>
                <w:color w:val="000000"/>
                <w:sz w:val="24"/>
              </w:rPr>
              <w:t>OSFI B10 [6]</w:t>
            </w:r>
          </w:p>
        </w:tc>
      </w:tr>
    </w:tbl>
    <w:p>
      <w:pPr>
        <w:spacing w:after="0" w:line="120" w:lineRule="exact"/>
      </w:pPr>
    </w:p>
    <w:p>
      <w:pPr>
        <w:spacing w:after="120" w:before="0" w:line="240" w:lineRule="auto"/>
        <w:jc w:val="left"/>
      </w:pPr>
      <w:r>
        <w:rPr>
          <w:rFonts w:ascii="Arial" w:hAnsi="Arial" w:cs="Arial" w:eastAsia="Arial"/>
          <w:color w:val="000000"/>
          <w:sz w:val="24"/>
        </w:rPr>
        <w:t>Detalle en el repositorio: docs/03_etica_legal.md</w:t>
      </w:r>
    </w:p>
    <w:p>
      <w:pPr>
        <w:keepNext/>
        <w:spacing w:after="80" w:before="200" w:line="240" w:lineRule="auto"/>
        <w:jc w:val="left"/>
      </w:pPr>
      <w:r>
        <w:rPr>
          <w:rFonts w:ascii="Arial" w:hAnsi="Arial" w:cs="Arial" w:eastAsia="Arial"/>
          <w:b/>
          <w:color w:val="000000"/>
          <w:sz w:val="24"/>
          <w:u w:val="single"/>
        </w:rPr>
        <w:t>4. Enfoque analítico</w:t>
      </w:r>
    </w:p>
    <w:p>
      <w:pPr>
        <w:spacing w:after="120" w:before="0" w:line="240" w:lineRule="auto"/>
        <w:jc w:val="both"/>
      </w:pPr>
      <w:r>
        <w:rPr>
          <w:rFonts w:ascii="Arial" w:hAnsi="Arial" w:cs="Arial" w:eastAsia="Arial"/>
          <w:b w:val="0"/>
          <w:color w:val="000000"/>
          <w:sz w:val="24"/>
        </w:rPr>
        <w:t>El análisis se guía por cuatro preguntas de negocio. La primera (H1) es si hay pagos duplicados o fraccionados, con la hipótesis de que las facturas del mismo proveedor con el mismo monto y fecha, o con un número casi idéntico, son más riesgosas. La segunda (H2) es si importan el canal y la cadena de aprobación, con la hipótesis de que tener menos aprobadores, no tener cadena o que el solicitante se autoapruebe aumenta el riesgo. La tercera (H3) es qué proveedores concentran el riesgo, suponiendo que los nuevos o muy concentrados tienen más anomalías. La cuarta (H4) es si las facturas con un monto atípico para su proveedor tienen más anulaciones, disputas o rechazos. Al principio se planteó como más de tres desviaciones sobre la mediana, pero con pocas facturas por proveedor esa distancia no se alcanza (el 37,0% de los proveedores tiene menos de 11), así que se usan las cercas del IQR de cada proveedor.</w:t>
      </w:r>
    </w:p>
    <w:p>
      <w:pPr>
        <w:spacing w:after="120" w:before="0" w:line="240" w:lineRule="auto"/>
        <w:jc w:val="both"/>
      </w:pPr>
      <w:r>
        <w:rPr>
          <w:rFonts w:ascii="Arial" w:hAnsi="Arial" w:cs="Arial" w:eastAsia="Arial"/>
          <w:b w:val="0"/>
          <w:color w:val="000000"/>
          <w:sz w:val="24"/>
        </w:rPr>
        <w:t>Para responderlas se usan medidas de tendencia central, dispersión y posición, la regla del IQR para los atípicos, tablas cruzadas, chi cuadrado con V de Cramér, intervalos de confianza, la prueba t de Welch, ANOVA, Spearman, bootstrap por proveedor, regresión lineal y PCA. En el modelo la unidad de análisis es el par de facturas del mismo proveedor, descrito por los días entre ellas, la periodicidad del proveedor, la similitud de Levenshtein del número, el monto, el transit y el canal. La primera versión del puntaje combina estas reglas de duplicados aproximados con la distancia del monto a lo habitual del proveedor, y con la muestra etiquetada se van a comparar los algoritmos de la entrega 2, escogidos entre los que se vean en el curso. Como los duplicados son muy pocos, el porcentaje total de aciertos no sirve, así que la calidad se va a medir con dos proporciones con su intervalo de confianza: cuántos de los primeros k casos de la cola (k = 50 y 100) se confirman como duplicado y cuántos de los duplicados confirmados aparecen en la cola.</w:t>
      </w:r>
    </w:p>
    <w:p>
      <w:pPr>
        <w:spacing w:after="120" w:before="0" w:line="240" w:lineRule="auto"/>
        <w:jc w:val="left"/>
      </w:pPr>
      <w:r>
        <w:rPr>
          <w:rFonts w:ascii="Arial" w:hAnsi="Arial" w:cs="Arial" w:eastAsia="Arial"/>
          <w:color w:val="000000"/>
          <w:sz w:val="24"/>
        </w:rPr>
        <w:t>Detalle en el repositorio: docs/04_enfoque_analitico.md</w:t>
      </w:r>
    </w:p>
    <w:p>
      <w:pPr>
        <w:keepNext/>
        <w:spacing w:after="80" w:before="200" w:line="240" w:lineRule="auto"/>
        <w:jc w:val="left"/>
      </w:pPr>
      <w:r>
        <w:rPr>
          <w:rFonts w:ascii="Arial" w:hAnsi="Arial" w:cs="Arial" w:eastAsia="Arial"/>
          <w:b/>
          <w:color w:val="000000"/>
          <w:sz w:val="24"/>
          <w:u w:val="single"/>
        </w:rPr>
        <w:t>5. Recolección de datos</w:t>
      </w:r>
    </w:p>
    <w:p>
      <w:pPr>
        <w:spacing w:after="120" w:before="0" w:line="240" w:lineRule="auto"/>
        <w:jc w:val="both"/>
      </w:pPr>
      <w:r>
        <w:rPr>
          <w:rFonts w:ascii="Arial" w:hAnsi="Arial" w:cs="Arial" w:eastAsia="Arial"/>
          <w:b w:val="0"/>
          <w:color w:val="000000"/>
          <w:sz w:val="24"/>
        </w:rPr>
        <w:t>La fuente es el reporte Spend FA x Transit x User ID de SmartBuy, que entregó el área S2PA en un archivo de Excel. Tiene 75.631 facturas, una por fila, y 27 atributos, con todas las facturas de 10.000 CAD o más creadas entre el 01/06/2022 y el 20/07/2026. Son datos estructurados y transaccionales del sistema oficial de registro. Los atributos más importantes son el número de factura, el proveedor (NOMBRE_ENTIDAD_CÓDIGO), los montos, la fecha, el estado, el canal, los aprobadores, la categoría y el transit, y las columnas redundantes y los identificadores personales se eliminan. Para la entrega 2 se le van a pedir al Banco la tabla de niveles de aprobación por monto, la fecha de pago y el maestro de proveedores.</w:t>
      </w:r>
    </w:p>
    <w:p>
      <w:pPr>
        <w:spacing w:after="120" w:before="0" w:line="240" w:lineRule="auto"/>
        <w:jc w:val="left"/>
      </w:pPr>
      <w:r>
        <w:rPr>
          <w:rFonts w:ascii="Arial" w:hAnsi="Arial" w:cs="Arial" w:eastAsia="Arial"/>
          <w:color w:val="000000"/>
          <w:sz w:val="24"/>
        </w:rPr>
        <w:t>Detalle en el repositorio: docs/05_recoleccion_datos.md y docs/diccionario_datos.md</w:t>
      </w:r>
    </w:p>
    <w:p>
      <w:pPr>
        <w:keepNext/>
        <w:spacing w:after="80" w:before="200" w:line="240" w:lineRule="auto"/>
        <w:jc w:val="left"/>
      </w:pPr>
      <w:r>
        <w:rPr>
          <w:rFonts w:ascii="Arial" w:hAnsi="Arial" w:cs="Arial" w:eastAsia="Arial"/>
          <w:b/>
          <w:color w:val="000000"/>
          <w:sz w:val="24"/>
          <w:u w:val="single"/>
        </w:rPr>
        <w:t>6. Entendimiento de los datos</w:t>
      </w:r>
    </w:p>
    <w:p>
      <w:pPr>
        <w:spacing w:after="120" w:before="0" w:line="240" w:lineRule="auto"/>
        <w:jc w:val="both"/>
      </w:pPr>
      <w:r>
        <w:rPr>
          <w:rFonts w:ascii="Arial" w:hAnsi="Arial" w:cs="Arial" w:eastAsia="Arial"/>
          <w:b w:val="0"/>
          <w:color w:val="000000"/>
          <w:sz w:val="24"/>
        </w:rPr>
        <w:t>Antes de analizar se revisó si los años eran comparables, y no lo son. En agosto de 2024 el proceso cambió (figura 2a): el volumen pasó de entre 542 y 868 facturas por mes a entre 1.922 y 3.219, el canal sftp subió hasta el 37,7% de las facturas y las facturas con contrato bajaron de entre 65% y 82% a cerca de 25%, con una V de Cramér de 0,36 en el canal y de 0,39 en el contrato. Por eso se trabajó con la ventana de septiembre de 2024 a mayo de 2026, que tiene 51.429 facturas y 7.138,0 millones de CAD aprobados. Junio y julio de 2026 quedaron por fuera porque sus facturas aún no tienen estado final.</w:t>
      </w:r>
    </w:p>
    <w:p>
      <w:pPr>
        <w:spacing w:after="80" w:before="0" w:line="240" w:lineRule="auto"/>
        <w:jc w:val="both"/>
      </w:pPr>
      <w:r>
        <w:rPr>
          <w:rFonts w:ascii="Arial" w:hAnsi="Arial" w:cs="Arial" w:eastAsia="Arial"/>
          <w:b w:val="0"/>
          <w:color w:val="000000"/>
          <w:sz w:val="24"/>
        </w:rPr>
        <w:t>En la calidad de los datos cada problema terminó en una decisión:</w:t>
      </w:r>
    </w:p>
    <w:tbl>
      <w:tblPr>
        <w:tblStyle w:val="Tablaconcuadrcula"/>
        <w:tblW w:type="dxa" w:w="9355"/>
        <w:tblLayout w:type="fixed"/>
        <w:tblLook w:firstColumn="1" w:firstRow="1" w:lastColumn="0" w:lastRow="0" w:noHBand="0" w:noVBand="1" w:val="04A0"/>
      </w:tblPr>
      <w:tblGrid>
        <w:gridCol w:w="2041"/>
        <w:gridCol w:w="7313"/>
      </w:tblGrid>
      <w:tr>
        <w:trPr>
          <w:cantSplit w:val="true"/>
          <w:tblHeader w:val="true"/>
        </w:trPr>
        <w:tc>
          <w:tcPr>
            <w:tcW w:type="dxa" w:w="2041"/>
          </w:tcPr>
          <w:p>
            <w:pPr>
              <w:spacing w:after="0" w:before="0" w:line="240" w:lineRule="auto"/>
              <w:jc w:val="left"/>
            </w:pPr>
            <w:r>
              <w:rPr>
                <w:rFonts w:ascii="Arial" w:hAnsi="Arial" w:cs="Arial" w:eastAsia="Arial"/>
                <w:b/>
                <w:color w:val="000000"/>
                <w:sz w:val="24"/>
              </w:rPr>
              <w:t>Dimensión</w:t>
            </w:r>
          </w:p>
        </w:tc>
        <w:tc>
          <w:tcPr>
            <w:tcW w:type="dxa" w:w="7313"/>
          </w:tcPr>
          <w:p>
            <w:pPr>
              <w:spacing w:after="0" w:before="0" w:line="240" w:lineRule="auto"/>
              <w:jc w:val="left"/>
            </w:pPr>
            <w:r>
              <w:rPr>
                <w:rFonts w:ascii="Arial" w:hAnsi="Arial" w:cs="Arial" w:eastAsia="Arial"/>
                <w:b/>
                <w:color w:val="000000"/>
                <w:sz w:val="24"/>
              </w:rPr>
              <w:t>Hallazgo y decisión</w:t>
            </w:r>
          </w:p>
        </w:tc>
      </w:tr>
      <w:tr>
        <w:trPr>
          <w:cantSplit w:val="true"/>
        </w:trPr>
        <w:tc>
          <w:tcPr>
            <w:tcW w:type="dxa" w:w="2041"/>
          </w:tcPr>
          <w:p>
            <w:pPr>
              <w:spacing w:after="0" w:before="0" w:line="240" w:lineRule="auto"/>
              <w:jc w:val="left"/>
            </w:pPr>
            <w:r>
              <w:rPr>
                <w:rFonts w:ascii="Arial" w:hAnsi="Arial" w:cs="Arial" w:eastAsia="Arial"/>
                <w:b w:val="0"/>
                <w:color w:val="000000"/>
                <w:sz w:val="24"/>
              </w:rPr>
              <w:t>Completitud</w:t>
            </w:r>
          </w:p>
        </w:tc>
        <w:tc>
          <w:tcPr>
            <w:tcW w:type="dxa" w:w="7313"/>
          </w:tcPr>
          <w:p>
            <w:pPr>
              <w:spacing w:after="0" w:before="0" w:line="240" w:lineRule="auto"/>
              <w:jc w:val="left"/>
            </w:pPr>
            <w:r>
              <w:rPr>
                <w:rFonts w:ascii="Arial" w:hAnsi="Arial" w:cs="Arial" w:eastAsia="Arial"/>
                <w:b w:val="0"/>
                <w:color w:val="000000"/>
                <w:sz w:val="24"/>
              </w:rPr>
              <w:t>Los nulos de aprobación, contrato y categoría dependen del canal (los aprobadores faltan en el 91,6% del portal). Se crearon banderas, sin imputar.</w:t>
            </w:r>
          </w:p>
        </w:tc>
      </w:tr>
      <w:tr>
        <w:trPr>
          <w:cantSplit w:val="true"/>
        </w:trPr>
        <w:tc>
          <w:tcPr>
            <w:tcW w:type="dxa" w:w="2041"/>
          </w:tcPr>
          <w:p>
            <w:pPr>
              <w:spacing w:after="0" w:before="0" w:line="240" w:lineRule="auto"/>
              <w:jc w:val="left"/>
            </w:pPr>
            <w:r>
              <w:rPr>
                <w:rFonts w:ascii="Arial" w:hAnsi="Arial" w:cs="Arial" w:eastAsia="Arial"/>
                <w:b w:val="0"/>
                <w:color w:val="000000"/>
                <w:sz w:val="24"/>
              </w:rPr>
              <w:t>Consistencia</w:t>
            </w:r>
          </w:p>
        </w:tc>
        <w:tc>
          <w:tcPr>
            <w:tcW w:type="dxa" w:w="7313"/>
          </w:tcPr>
          <w:p>
            <w:pPr>
              <w:spacing w:after="0" w:before="0" w:line="240" w:lineRule="auto"/>
              <w:jc w:val="left"/>
            </w:pPr>
            <w:r>
              <w:rPr>
                <w:rFonts w:ascii="Arial" w:hAnsi="Arial" w:cs="Arial" w:eastAsia="Arial"/>
                <w:b w:val="0"/>
                <w:color w:val="000000"/>
                <w:sz w:val="24"/>
              </w:rPr>
              <w:t>Había 3 conversiones a CAD mal hechas, que se recalcularon con la tasa mediana del mes.</w:t>
            </w:r>
          </w:p>
        </w:tc>
      </w:tr>
      <w:tr>
        <w:trPr>
          <w:cantSplit w:val="true"/>
        </w:trPr>
        <w:tc>
          <w:tcPr>
            <w:tcW w:type="dxa" w:w="2041"/>
          </w:tcPr>
          <w:p>
            <w:pPr>
              <w:spacing w:after="0" w:before="0" w:line="240" w:lineRule="auto"/>
              <w:jc w:val="left"/>
            </w:pPr>
            <w:r>
              <w:rPr>
                <w:rFonts w:ascii="Arial" w:hAnsi="Arial" w:cs="Arial" w:eastAsia="Arial"/>
                <w:b w:val="0"/>
                <w:color w:val="000000"/>
                <w:sz w:val="24"/>
              </w:rPr>
              <w:t>Precisión</w:t>
            </w:r>
          </w:p>
        </w:tc>
        <w:tc>
          <w:tcPr>
            <w:tcW w:type="dxa" w:w="7313"/>
          </w:tcPr>
          <w:p>
            <w:pPr>
              <w:spacing w:after="0" w:before="0" w:line="240" w:lineRule="auto"/>
              <w:jc w:val="left"/>
            </w:pPr>
            <w:r>
              <w:rPr>
                <w:rFonts w:ascii="Arial" w:hAnsi="Arial" w:cs="Arial" w:eastAsia="Arial"/>
                <w:b w:val="0"/>
                <w:color w:val="000000"/>
                <w:sz w:val="24"/>
              </w:rPr>
              <w:t>Una factura de 1.070 millones marcada en CAD parece estar en pesos colombianos y pasó a nulo. De 75 extremos, 57 se verificaron por recurrencia y 18 salieron de las correlaciones.</w:t>
            </w:r>
          </w:p>
        </w:tc>
      </w:tr>
      <w:tr>
        <w:trPr>
          <w:cantSplit w:val="true"/>
        </w:trPr>
        <w:tc>
          <w:tcPr>
            <w:tcW w:type="dxa" w:w="2041"/>
          </w:tcPr>
          <w:p>
            <w:pPr>
              <w:spacing w:after="0" w:before="0" w:line="240" w:lineRule="auto"/>
              <w:jc w:val="left"/>
            </w:pPr>
            <w:r>
              <w:rPr>
                <w:rFonts w:ascii="Arial" w:hAnsi="Arial" w:cs="Arial" w:eastAsia="Arial"/>
                <w:b w:val="0"/>
                <w:color w:val="000000"/>
                <w:sz w:val="24"/>
              </w:rPr>
              <w:t>Unicidad</w:t>
            </w:r>
          </w:p>
        </w:tc>
        <w:tc>
          <w:tcPr>
            <w:tcW w:type="dxa" w:w="7313"/>
          </w:tcPr>
          <w:p>
            <w:pPr>
              <w:spacing w:after="0" w:before="0" w:line="240" w:lineRule="auto"/>
              <w:jc w:val="left"/>
            </w:pPr>
            <w:r>
              <w:rPr>
                <w:rFonts w:ascii="Arial" w:hAnsi="Arial" w:cs="Arial" w:eastAsia="Arial"/>
                <w:b w:val="0"/>
                <w:color w:val="000000"/>
                <w:sz w:val="24"/>
              </w:rPr>
              <w:t>321 facturas coinciden al normalizar el número y 22 nombres tienen varias llaves en la misma entidad. Se marcaron para validar.</w:t>
            </w:r>
          </w:p>
        </w:tc>
      </w:tr>
      <w:tr>
        <w:trPr>
          <w:cantSplit w:val="true"/>
        </w:trPr>
        <w:tc>
          <w:tcPr>
            <w:tcW w:type="dxa" w:w="2041"/>
          </w:tcPr>
          <w:p>
            <w:pPr>
              <w:spacing w:after="0" w:before="0" w:line="240" w:lineRule="auto"/>
              <w:jc w:val="left"/>
            </w:pPr>
            <w:r>
              <w:rPr>
                <w:rFonts w:ascii="Arial" w:hAnsi="Arial" w:cs="Arial" w:eastAsia="Arial"/>
                <w:b w:val="0"/>
                <w:color w:val="000000"/>
                <w:sz w:val="24"/>
              </w:rPr>
              <w:t>Fuga de información</w:t>
            </w:r>
          </w:p>
        </w:tc>
        <w:tc>
          <w:tcPr>
            <w:tcW w:type="dxa" w:w="7313"/>
          </w:tcPr>
          <w:p>
            <w:pPr>
              <w:spacing w:after="0" w:before="0" w:line="240" w:lineRule="auto"/>
              <w:jc w:val="left"/>
            </w:pPr>
            <w:r>
              <w:rPr>
                <w:rFonts w:ascii="Arial" w:hAnsi="Arial" w:cs="Arial" w:eastAsia="Arial"/>
                <w:b w:val="0"/>
                <w:color w:val="000000"/>
                <w:sz w:val="24"/>
              </w:rPr>
              <w:t>Los aprobadores faltan en el 99,3% de las anuladas porque se llenan al aprobar, así que no explican la fricción.</w:t>
            </w:r>
          </w:p>
        </w:tc>
      </w:tr>
      <w:tr>
        <w:trPr>
          <w:cantSplit w:val="true"/>
        </w:trPr>
        <w:tc>
          <w:tcPr>
            <w:tcW w:type="dxa" w:w="2041"/>
          </w:tcPr>
          <w:p>
            <w:pPr>
              <w:spacing w:after="0" w:before="0" w:line="240" w:lineRule="auto"/>
              <w:jc w:val="left"/>
            </w:pPr>
            <w:r>
              <w:rPr>
                <w:rFonts w:ascii="Arial" w:hAnsi="Arial" w:cs="Arial" w:eastAsia="Arial"/>
                <w:b w:val="0"/>
                <w:color w:val="000000"/>
                <w:sz w:val="24"/>
              </w:rPr>
              <w:t>Credibilidad</w:t>
            </w:r>
          </w:p>
        </w:tc>
        <w:tc>
          <w:tcPr>
            <w:tcW w:type="dxa" w:w="7313"/>
          </w:tcPr>
          <w:p>
            <w:pPr>
              <w:spacing w:after="0" w:before="0" w:line="240" w:lineRule="auto"/>
              <w:jc w:val="left"/>
            </w:pPr>
            <w:r>
              <w:rPr>
                <w:rFonts w:ascii="Arial" w:hAnsi="Arial" w:cs="Arial" w:eastAsia="Arial"/>
                <w:b w:val="0"/>
                <w:color w:val="000000"/>
                <w:sz w:val="24"/>
              </w:rPr>
              <w:t>La población está truncada en 10.000 CAD, así que no se puede evaluar el fraccionamiento.</w:t>
            </w:r>
          </w:p>
        </w:tc>
      </w:tr>
    </w:tbl>
    <w:p>
      <w:pPr>
        <w:spacing w:after="0" w:line="120" w:lineRule="exact"/>
      </w:pPr>
    </w:p>
    <w:p>
      <w:pPr>
        <w:keepNext/>
        <w:spacing w:after="0" w:before="0" w:line="240" w:lineRule="auto"/>
        <w:jc w:val="center"/>
      </w:pPr>
      <w:r>
        <w:drawing>
          <wp:inline xmlns:a="http://schemas.openxmlformats.org/drawingml/2006/main" xmlns:pic="http://schemas.openxmlformats.org/drawingml/2006/picture">
            <wp:extent cx="5040000" cy="1428000"/>
            <wp:docPr id="5" name="Picture 5"/>
            <wp:cNvGraphicFramePr>
              <a:graphicFrameLocks noChangeAspect="1"/>
            </wp:cNvGraphicFramePr>
            <a:graphic>
              <a:graphicData uri="http://schemas.openxmlformats.org/drawingml/2006/picture">
                <pic:pic>
                  <pic:nvPicPr>
                    <pic:cNvPr id="0" name="fig_punto6.png"/>
                    <pic:cNvPicPr/>
                  </pic:nvPicPr>
                  <pic:blipFill>
                    <a:blip r:embed="rId15"/>
                    <a:stretch>
                      <a:fillRect/>
                    </a:stretch>
                  </pic:blipFill>
                  <pic:spPr>
                    <a:xfrm>
                      <a:off x="0" y="0"/>
                      <a:ext cx="5040000" cy="1428000"/>
                    </a:xfrm>
                    <a:prstGeom prst="rect"/>
                  </pic:spPr>
                </pic:pic>
              </a:graphicData>
            </a:graphic>
          </wp:inline>
        </w:drawing>
      </w:r>
    </w:p>
    <w:p>
      <w:pPr>
        <w:spacing w:after="120" w:before="0" w:line="240" w:lineRule="auto"/>
        <w:jc w:val="center"/>
      </w:pPr>
      <w:r>
        <w:rPr>
          <w:rFonts w:ascii="Arial" w:hAnsi="Arial" w:cs="Arial" w:eastAsia="Arial"/>
          <w:b w:val="0"/>
          <w:color w:val="000000"/>
          <w:sz w:val="24"/>
        </w:rPr>
        <w:t>Figura 2. a) Cambio de régimen en agosto de 2024. b) Días entre facturas aprobadas del mismo proveedor y el mismo monto, con picos en 30, 91 y 365 días.</w:t>
      </w:r>
    </w:p>
    <w:p>
      <w:pPr>
        <w:spacing w:after="120" w:before="0" w:line="240" w:lineRule="auto"/>
        <w:jc w:val="both"/>
      </w:pPr>
      <w:r>
        <w:rPr>
          <w:rFonts w:ascii="Arial" w:hAnsi="Arial" w:cs="Arial" w:eastAsia="Arial"/>
          <w:b w:val="0"/>
          <w:color w:val="000000"/>
          <w:sz w:val="24"/>
        </w:rPr>
        <w:t>En el análisis univariado el monto aprobado resultó muy asimétrico, con una mediana de 30.359 CAD, una media de 147.306 CAD y una asimetría de 22,26 que baja a 1,31 en escala log10, así que se describió con la mediana, los cuantiles y el IQR. El 94,22% de las facturas está aprobado y tres canales concentran el 92,8% de ellas (portal 43,3%, sftp 28,5% y ui 21,0%). El gasto está muy concentrado, ya que 150 proveedores (el 5,4%) explican el 80% del gasto y los 10 más grandes el 33,0%, y por área 55 transits explican el 80% del gasto con transit válido.</w:t>
      </w:r>
    </w:p>
    <w:p>
      <w:pPr>
        <w:spacing w:after="80" w:before="0" w:line="240" w:lineRule="auto"/>
        <w:jc w:val="both"/>
      </w:pPr>
      <w:r>
        <w:rPr>
          <w:rFonts w:ascii="Arial" w:hAnsi="Arial" w:cs="Arial" w:eastAsia="Arial"/>
          <w:b w:val="0"/>
          <w:color w:val="000000"/>
          <w:sz w:val="24"/>
        </w:rPr>
        <w:t>Para probar las hipótesis se usaron dos variables objetivo provisionales: la fricción, que es cuando la factura terminó anulada, disputada o rechazada (5,33% de las resueltas), y el candidato a duplicado (6,4% de las aprobadas). Los resultados se resumen en la tabla.</w:t>
      </w:r>
    </w:p>
    <w:tbl>
      <w:tblPr>
        <w:tblStyle w:val="Tablaconcuadrcula"/>
        <w:tblW w:type="dxa" w:w="9355"/>
        <w:tblLayout w:type="fixed"/>
        <w:tblLook w:firstColumn="1" w:firstRow="1" w:lastColumn="0" w:lastRow="0" w:noHBand="0" w:noVBand="1" w:val="04A0"/>
      </w:tblPr>
      <w:tblGrid>
        <w:gridCol w:w="1304"/>
        <w:gridCol w:w="2608"/>
        <w:gridCol w:w="5443"/>
      </w:tblGrid>
      <w:tr>
        <w:trPr>
          <w:cantSplit w:val="true"/>
          <w:tblHeader w:val="true"/>
        </w:trPr>
        <w:tc>
          <w:tcPr>
            <w:tcW w:type="dxa" w:w="1304"/>
          </w:tcPr>
          <w:p>
            <w:pPr>
              <w:spacing w:after="0" w:before="0" w:line="240" w:lineRule="auto"/>
              <w:jc w:val="left"/>
            </w:pPr>
            <w:r>
              <w:rPr>
                <w:rFonts w:ascii="Arial" w:hAnsi="Arial" w:cs="Arial" w:eastAsia="Arial"/>
                <w:b/>
                <w:color w:val="000000"/>
                <w:sz w:val="24"/>
              </w:rPr>
              <w:t>Hipótesis</w:t>
            </w:r>
          </w:p>
        </w:tc>
        <w:tc>
          <w:tcPr>
            <w:tcW w:type="dxa" w:w="2608"/>
          </w:tcPr>
          <w:p>
            <w:pPr>
              <w:spacing w:after="0" w:before="0" w:line="240" w:lineRule="auto"/>
              <w:jc w:val="left"/>
            </w:pPr>
            <w:r>
              <w:rPr>
                <w:rFonts w:ascii="Arial" w:hAnsi="Arial" w:cs="Arial" w:eastAsia="Arial"/>
                <w:b/>
                <w:color w:val="000000"/>
                <w:sz w:val="24"/>
              </w:rPr>
              <w:t>Resultado</w:t>
            </w:r>
          </w:p>
        </w:tc>
        <w:tc>
          <w:tcPr>
            <w:tcW w:type="dxa" w:w="5443"/>
          </w:tcPr>
          <w:p>
            <w:pPr>
              <w:spacing w:after="0" w:before="0" w:line="240" w:lineRule="auto"/>
              <w:jc w:val="left"/>
            </w:pPr>
            <w:r>
              <w:rPr>
                <w:rFonts w:ascii="Arial" w:hAnsi="Arial" w:cs="Arial" w:eastAsia="Arial"/>
                <w:b/>
                <w:color w:val="000000"/>
                <w:sz w:val="24"/>
              </w:rPr>
              <w:t>Evidencia</w:t>
            </w:r>
          </w:p>
        </w:tc>
      </w:tr>
      <w:tr>
        <w:trPr>
          <w:cantSplit w:val="true"/>
        </w:trPr>
        <w:tc>
          <w:tcPr>
            <w:tcW w:type="dxa" w:w="1304"/>
          </w:tcPr>
          <w:p>
            <w:pPr>
              <w:spacing w:after="0" w:before="0" w:line="240" w:lineRule="auto"/>
              <w:jc w:val="left"/>
            </w:pPr>
            <w:r>
              <w:rPr>
                <w:rFonts w:ascii="Arial" w:hAnsi="Arial" w:cs="Arial" w:eastAsia="Arial"/>
                <w:b w:val="0"/>
                <w:color w:val="000000"/>
                <w:sz w:val="24"/>
              </w:rPr>
              <w:t>H1</w:t>
            </w:r>
          </w:p>
        </w:tc>
        <w:tc>
          <w:tcPr>
            <w:tcW w:type="dxa" w:w="2608"/>
          </w:tcPr>
          <w:p>
            <w:pPr>
              <w:spacing w:after="0" w:before="0" w:line="240" w:lineRule="auto"/>
              <w:jc w:val="left"/>
            </w:pPr>
            <w:r>
              <w:rPr>
                <w:rFonts w:ascii="Arial" w:hAnsi="Arial" w:cs="Arial" w:eastAsia="Arial"/>
                <w:b w:val="0"/>
                <w:color w:val="000000"/>
                <w:sz w:val="24"/>
              </w:rPr>
              <w:t>Se apoya (el fraccionamiento no se puede evaluar)</w:t>
            </w:r>
          </w:p>
        </w:tc>
        <w:tc>
          <w:tcPr>
            <w:tcW w:type="dxa" w:w="5443"/>
          </w:tcPr>
          <w:p>
            <w:pPr>
              <w:spacing w:after="0" w:before="0" w:line="240" w:lineRule="auto"/>
              <w:jc w:val="left"/>
            </w:pPr>
            <w:r>
              <w:rPr>
                <w:rFonts w:ascii="Arial" w:hAnsi="Arial" w:cs="Arial" w:eastAsia="Arial"/>
                <w:b w:val="0"/>
                <w:color w:val="000000"/>
                <w:sz w:val="24"/>
              </w:rPr>
              <w:t>6 grupos aprobados con número casi idéntico y el mismo monto (120.379 CAD). Los candidatos se concentran en el portal (10,16%; V = 0,143) y el mismo monto no basta por la recurrencia (figura 2b).</w:t>
            </w:r>
          </w:p>
        </w:tc>
      </w:tr>
      <w:tr>
        <w:trPr>
          <w:cantSplit w:val="true"/>
        </w:trPr>
        <w:tc>
          <w:tcPr>
            <w:tcW w:type="dxa" w:w="1304"/>
          </w:tcPr>
          <w:p>
            <w:pPr>
              <w:spacing w:after="0" w:before="0" w:line="240" w:lineRule="auto"/>
              <w:jc w:val="left"/>
            </w:pPr>
            <w:r>
              <w:rPr>
                <w:rFonts w:ascii="Arial" w:hAnsi="Arial" w:cs="Arial" w:eastAsia="Arial"/>
                <w:b w:val="0"/>
                <w:color w:val="000000"/>
                <w:sz w:val="24"/>
              </w:rPr>
              <w:t>H2</w:t>
            </w:r>
          </w:p>
        </w:tc>
        <w:tc>
          <w:tcPr>
            <w:tcW w:type="dxa" w:w="2608"/>
          </w:tcPr>
          <w:p>
            <w:pPr>
              <w:spacing w:after="0" w:before="0" w:line="240" w:lineRule="auto"/>
              <w:jc w:val="left"/>
            </w:pPr>
            <w:r>
              <w:rPr>
                <w:rFonts w:ascii="Arial" w:hAnsi="Arial" w:cs="Arial" w:eastAsia="Arial"/>
                <w:b w:val="0"/>
                <w:color w:val="000000"/>
                <w:sz w:val="24"/>
              </w:rPr>
              <w:t>Se apoya en parte</w:t>
            </w:r>
          </w:p>
        </w:tc>
        <w:tc>
          <w:tcPr>
            <w:tcW w:type="dxa" w:w="5443"/>
          </w:tcPr>
          <w:p>
            <w:pPr>
              <w:spacing w:after="0" w:before="0" w:line="240" w:lineRule="auto"/>
              <w:jc w:val="left"/>
            </w:pPr>
            <w:r>
              <w:rPr>
                <w:rFonts w:ascii="Arial" w:hAnsi="Arial" w:cs="Arial" w:eastAsia="Arial"/>
                <w:b w:val="0"/>
                <w:color w:val="000000"/>
                <w:sz w:val="24"/>
              </w:rPr>
              <w:t>La asociación del canal con la fricción es débil (V = 0,064). Sin cadena de aprobación hay 5,02% de candidatos frente a 3,22%.</w:t>
            </w:r>
          </w:p>
        </w:tc>
      </w:tr>
      <w:tr>
        <w:trPr>
          <w:cantSplit w:val="true"/>
        </w:trPr>
        <w:tc>
          <w:tcPr>
            <w:tcW w:type="dxa" w:w="1304"/>
          </w:tcPr>
          <w:p>
            <w:pPr>
              <w:spacing w:after="0" w:before="0" w:line="240" w:lineRule="auto"/>
              <w:jc w:val="left"/>
            </w:pPr>
            <w:r>
              <w:rPr>
                <w:rFonts w:ascii="Arial" w:hAnsi="Arial" w:cs="Arial" w:eastAsia="Arial"/>
                <w:b w:val="0"/>
                <w:color w:val="000000"/>
                <w:sz w:val="24"/>
              </w:rPr>
              <w:t>H3</w:t>
            </w:r>
          </w:p>
        </w:tc>
        <w:tc>
          <w:tcPr>
            <w:tcW w:type="dxa" w:w="2608"/>
          </w:tcPr>
          <w:p>
            <w:pPr>
              <w:spacing w:after="0" w:before="0" w:line="240" w:lineRule="auto"/>
              <w:jc w:val="left"/>
            </w:pPr>
            <w:r>
              <w:rPr>
                <w:rFonts w:ascii="Arial" w:hAnsi="Arial" w:cs="Arial" w:eastAsia="Arial"/>
                <w:b w:val="0"/>
                <w:color w:val="000000"/>
                <w:sz w:val="24"/>
              </w:rPr>
              <w:t>No se apoya</w:t>
            </w:r>
          </w:p>
        </w:tc>
        <w:tc>
          <w:tcPr>
            <w:tcW w:type="dxa" w:w="5443"/>
          </w:tcPr>
          <w:p>
            <w:pPr>
              <w:spacing w:after="0" w:before="0" w:line="240" w:lineRule="auto"/>
              <w:jc w:val="left"/>
            </w:pPr>
            <w:r>
              <w:rPr>
                <w:rFonts w:ascii="Arial" w:hAnsi="Arial" w:cs="Arial" w:eastAsia="Arial"/>
                <w:b w:val="0"/>
                <w:color w:val="000000"/>
                <w:sz w:val="24"/>
              </w:rPr>
              <w:t>Los proveedores nuevos tienen menos fricción (mediana de 0% frente a 4%).</w:t>
            </w:r>
          </w:p>
        </w:tc>
      </w:tr>
      <w:tr>
        <w:trPr>
          <w:cantSplit w:val="true"/>
        </w:trPr>
        <w:tc>
          <w:tcPr>
            <w:tcW w:type="dxa" w:w="1304"/>
          </w:tcPr>
          <w:p>
            <w:pPr>
              <w:spacing w:after="0" w:before="0" w:line="240" w:lineRule="auto"/>
              <w:jc w:val="left"/>
            </w:pPr>
            <w:r>
              <w:rPr>
                <w:rFonts w:ascii="Arial" w:hAnsi="Arial" w:cs="Arial" w:eastAsia="Arial"/>
                <w:b w:val="0"/>
                <w:color w:val="000000"/>
                <w:sz w:val="24"/>
              </w:rPr>
              <w:t>H4</w:t>
            </w:r>
          </w:p>
        </w:tc>
        <w:tc>
          <w:tcPr>
            <w:tcW w:type="dxa" w:w="2608"/>
          </w:tcPr>
          <w:p>
            <w:pPr>
              <w:spacing w:after="0" w:before="0" w:line="240" w:lineRule="auto"/>
              <w:jc w:val="left"/>
            </w:pPr>
            <w:r>
              <w:rPr>
                <w:rFonts w:ascii="Arial" w:hAnsi="Arial" w:cs="Arial" w:eastAsia="Arial"/>
                <w:b w:val="0"/>
                <w:color w:val="000000"/>
                <w:sz w:val="24"/>
              </w:rPr>
              <w:t>Se apoya</w:t>
            </w:r>
          </w:p>
        </w:tc>
        <w:tc>
          <w:tcPr>
            <w:tcW w:type="dxa" w:w="5443"/>
          </w:tcPr>
          <w:p>
            <w:pPr>
              <w:spacing w:after="0" w:before="0" w:line="240" w:lineRule="auto"/>
              <w:jc w:val="left"/>
            </w:pPr>
            <w:r>
              <w:rPr>
                <w:rFonts w:ascii="Arial" w:hAnsi="Arial" w:cs="Arial" w:eastAsia="Arial"/>
                <w:b w:val="0"/>
                <w:color w:val="000000"/>
                <w:sz w:val="24"/>
              </w:rPr>
              <w:t>Los montos por encima de la cerca del IQR de su proveedor tienen 9,69% de fricción frente a 4,96% (p &lt; 0,001), y el patrón se repite en la cola baja.</w:t>
            </w:r>
          </w:p>
        </w:tc>
      </w:tr>
    </w:tbl>
    <w:p>
      <w:pPr>
        <w:spacing w:after="0" w:line="120" w:lineRule="exact"/>
      </w:pPr>
    </w:p>
    <w:p>
      <w:pPr>
        <w:spacing w:after="120" w:before="0" w:line="240" w:lineRule="auto"/>
        <w:jc w:val="both"/>
      </w:pPr>
      <w:r>
        <w:rPr>
          <w:rFonts w:ascii="Arial" w:hAnsi="Arial" w:cs="Arial" w:eastAsia="Arial"/>
          <w:b w:val="0"/>
          <w:color w:val="000000"/>
          <w:sz w:val="24"/>
        </w:rPr>
        <w:t>En la regresión lineal, con la fricción en puntos porcentuales, las facturas en CAD tienen 5,91 puntos menos de fricción que las de otras monedas y cada vez que el monto se multiplica por 10 la fricción sube 1,42 puntos. El R² es de solo 0,016, así que la fricción no reemplaza una etiqueta real. Sobre la suficiencia, los proveedores con al menos 5 facturas cubren el 93,1% del gasto, y para estimar la precisión con un margen de 7 puntos se necesitan 196 casos etiquetados, por lo que se propone una muestra estratificada de 202. Todos estos resultados son asociaciones y no efectos causales.</w:t>
      </w:r>
    </w:p>
    <w:p>
      <w:pPr>
        <w:spacing w:after="120" w:before="0" w:line="240" w:lineRule="auto"/>
        <w:jc w:val="left"/>
      </w:pPr>
      <w:r>
        <w:rPr>
          <w:rFonts w:ascii="Arial" w:hAnsi="Arial" w:cs="Arial" w:eastAsia="Arial"/>
          <w:color w:val="000000"/>
          <w:sz w:val="24"/>
        </w:rPr>
        <w:t>Detalle en el repositorio: notebooks/01_entendimiento_datos.ipynb</w:t>
      </w:r>
    </w:p>
    <w:p>
      <w:pPr>
        <w:keepNext/>
        <w:spacing w:after="80" w:before="200" w:line="240" w:lineRule="auto"/>
        <w:jc w:val="left"/>
      </w:pPr>
      <w:r>
        <w:rPr>
          <w:rFonts w:ascii="Arial" w:hAnsi="Arial" w:cs="Arial" w:eastAsia="Arial"/>
          <w:b/>
          <w:color w:val="000000"/>
          <w:sz w:val="24"/>
          <w:u w:val="single"/>
        </w:rPr>
        <w:t>7. Conclusiones iniciales</w:t>
      </w:r>
    </w:p>
    <w:p>
      <w:pPr>
        <w:spacing w:after="120" w:before="0" w:line="240" w:lineRule="auto"/>
        <w:jc w:val="both"/>
      </w:pPr>
      <w:r>
        <w:rPr>
          <w:rFonts w:ascii="Arial" w:hAnsi="Arial" w:cs="Arial" w:eastAsia="Arial"/>
          <w:b w:val="0"/>
          <w:color w:val="000000"/>
          <w:sz w:val="24"/>
        </w:rPr>
        <w:t>Los datos alcanzan para construir la vista confiable del gasto, pero para el modelo de duplicados falta la etiqueta, que la tiene que aportar el Banco. SmartBuy acepta números de factura casi idénticos, así que normalizarlos es una ganancia inmediata, y el modelo tiene que aprender la periodicidad de cada proveedor y no usar los campos de aprobación.</w:t>
      </w:r>
    </w:p>
    <w:p>
      <w:pPr>
        <w:spacing w:after="120" w:before="0" w:line="240" w:lineRule="auto"/>
        <w:jc w:val="both"/>
      </w:pPr>
      <w:r>
        <w:rPr>
          <w:rFonts w:ascii="Arial" w:hAnsi="Arial" w:cs="Arial" w:eastAsia="Arial"/>
          <w:b w:val="0"/>
          <w:color w:val="000000"/>
          <w:sz w:val="24"/>
        </w:rPr>
        <w:t>Las próximas acciones son validar con el Banco los 6 grupos fuertes, etiquetar la muestra de 202 casos, revisar los 22 nombres con varias llaves y las 18 facturas extremas, y pedir la tabla de niveles de aprobación, la fecha de pago y el maestro de proveedores para construir los modelos, la API y el dashboard de la entrega 2.</w:t>
      </w:r>
    </w:p>
    <w:p>
      <w:pPr>
        <w:spacing w:after="120" w:before="0" w:line="240" w:lineRule="auto"/>
        <w:jc w:val="left"/>
      </w:pPr>
      <w:r>
        <w:rPr>
          <w:rFonts w:ascii="Arial" w:hAnsi="Arial" w:cs="Arial" w:eastAsia="Arial"/>
          <w:color w:val="000000"/>
          <w:sz w:val="24"/>
        </w:rPr>
        <w:t>Detalle en el repositorio: docs/07_conclusiones_iniciales.md</w:t>
      </w:r>
    </w:p>
    <w:p>
      <w:pPr>
        <w:keepNext/>
        <w:spacing w:after="80" w:before="200" w:line="240" w:lineRule="auto"/>
        <w:jc w:val="left"/>
      </w:pPr>
      <w:r>
        <w:rPr>
          <w:rFonts w:ascii="Arial" w:hAnsi="Arial" w:cs="Arial" w:eastAsia="Arial"/>
          <w:b/>
          <w:color w:val="000000"/>
          <w:sz w:val="24"/>
          <w:u w:val="single"/>
        </w:rPr>
        <w:t>Referencias</w:t>
      </w:r>
    </w:p>
    <w:p>
      <w:pPr>
        <w:spacing w:after="40" w:before="0" w:line="240" w:lineRule="auto"/>
        <w:jc w:val="left"/>
      </w:pPr>
      <w:r>
        <w:rPr>
          <w:rFonts w:ascii="Arial" w:hAnsi="Arial" w:cs="Arial" w:eastAsia="Arial"/>
          <w:b w:val="0"/>
          <w:color w:val="000000"/>
          <w:sz w:val="24"/>
        </w:rPr>
        <w:t xml:space="preserve">[1] Scotiabank (2025). Fourth quarter and 2025 results. </w:t>
      </w:r>
      <w:hyperlink r:id="rId16">
        <w:r>
          <w:rPr>
            <w:rFonts w:ascii="Arial" w:hAnsi="Arial" w:cs="Arial" w:eastAsia="Arial"/>
            <w:color w:val="000000"/>
            <w:sz w:val="24"/>
          </w:rPr>
          <w:t xml:space="preserve">Scotiabank Investor Room</w:t>
        </w:r>
      </w:hyperlink>
      <w:r>
        <w:rPr>
          <w:rFonts w:ascii="Arial" w:hAnsi="Arial" w:cs="Arial" w:eastAsia="Arial"/>
          <w:color w:val="000000"/>
          <w:sz w:val="24"/>
        </w:rPr>
        <w:t>.</w:t>
      </w:r>
    </w:p>
    <w:p>
      <w:pPr>
        <w:spacing w:after="40" w:before="0" w:line="240" w:lineRule="auto"/>
        <w:jc w:val="left"/>
      </w:pPr>
      <w:r>
        <w:rPr>
          <w:rFonts w:ascii="Arial" w:hAnsi="Arial" w:cs="Arial" w:eastAsia="Arial"/>
          <w:b w:val="0"/>
          <w:color w:val="000000"/>
          <w:sz w:val="24"/>
        </w:rPr>
        <w:t xml:space="preserve">[2] ACFE (2024). Occupational Fraud 2024: A Report to the Nations. </w:t>
      </w:r>
      <w:hyperlink r:id="rId17">
        <w:r>
          <w:rPr>
            <w:rFonts w:ascii="Arial" w:hAnsi="Arial" w:cs="Arial" w:eastAsia="Arial"/>
            <w:color w:val="000000"/>
            <w:sz w:val="24"/>
          </w:rPr>
          <w:t xml:space="preserve">acfe.com</w:t>
        </w:r>
      </w:hyperlink>
      <w:r>
        <w:rPr>
          <w:rFonts w:ascii="Arial" w:hAnsi="Arial" w:cs="Arial" w:eastAsia="Arial"/>
          <w:color w:val="000000"/>
          <w:sz w:val="24"/>
        </w:rPr>
        <w:t>.</w:t>
      </w:r>
    </w:p>
    <w:p>
      <w:pPr>
        <w:spacing w:after="40" w:before="0" w:line="240" w:lineRule="auto"/>
        <w:jc w:val="left"/>
      </w:pPr>
      <w:r>
        <w:rPr>
          <w:rFonts w:ascii="Arial" w:hAnsi="Arial" w:cs="Arial" w:eastAsia="Arial"/>
          <w:b w:val="0"/>
          <w:color w:val="000000"/>
          <w:sz w:val="24"/>
        </w:rPr>
        <w:t xml:space="preserve">[3] Ley Estatutaria 1581 de 2012 (Colombia). </w:t>
      </w:r>
      <w:hyperlink r:id="rId18">
        <w:r>
          <w:rPr>
            <w:rFonts w:ascii="Arial" w:hAnsi="Arial" w:cs="Arial" w:eastAsia="Arial"/>
            <w:color w:val="000000"/>
            <w:sz w:val="24"/>
          </w:rPr>
          <w:t xml:space="preserve">Función Pública</w:t>
        </w:r>
      </w:hyperlink>
      <w:r>
        <w:rPr>
          <w:rFonts w:ascii="Arial" w:hAnsi="Arial" w:cs="Arial" w:eastAsia="Arial"/>
          <w:color w:val="000000"/>
          <w:sz w:val="24"/>
        </w:rPr>
        <w:t>.</w:t>
      </w:r>
    </w:p>
    <w:p>
      <w:pPr>
        <w:spacing w:after="40" w:before="0" w:line="240" w:lineRule="auto"/>
        <w:jc w:val="left"/>
      </w:pPr>
      <w:r>
        <w:rPr>
          <w:rFonts w:ascii="Arial" w:hAnsi="Arial" w:cs="Arial" w:eastAsia="Arial"/>
          <w:b w:val="0"/>
          <w:color w:val="000000"/>
          <w:sz w:val="24"/>
        </w:rPr>
        <w:t xml:space="preserve">[4] Gobierno de Canadá. PIPEDA. </w:t>
      </w:r>
      <w:hyperlink r:id="rId19">
        <w:r>
          <w:rPr>
            <w:rFonts w:ascii="Arial" w:hAnsi="Arial" w:cs="Arial" w:eastAsia="Arial"/>
            <w:color w:val="000000"/>
            <w:sz w:val="24"/>
          </w:rPr>
          <w:t xml:space="preserve">Justice Laws Website</w:t>
        </w:r>
      </w:hyperlink>
      <w:r>
        <w:rPr>
          <w:rFonts w:ascii="Arial" w:hAnsi="Arial" w:cs="Arial" w:eastAsia="Arial"/>
          <w:color w:val="000000"/>
          <w:sz w:val="24"/>
        </w:rPr>
        <w:t>.</w:t>
      </w:r>
    </w:p>
    <w:p>
      <w:pPr>
        <w:spacing w:after="40" w:before="0" w:line="240" w:lineRule="auto"/>
        <w:jc w:val="left"/>
      </w:pPr>
      <w:r>
        <w:rPr>
          <w:rFonts w:ascii="Arial" w:hAnsi="Arial" w:cs="Arial" w:eastAsia="Arial"/>
          <w:b w:val="0"/>
          <w:color w:val="000000"/>
          <w:sz w:val="24"/>
        </w:rPr>
        <w:t xml:space="preserve">[5] Scotiabank. Code of Conduct. </w:t>
      </w:r>
      <w:hyperlink r:id="rId20">
        <w:r>
          <w:rPr>
            <w:rFonts w:ascii="Arial" w:hAnsi="Arial" w:cs="Arial" w:eastAsia="Arial"/>
            <w:color w:val="000000"/>
            <w:sz w:val="24"/>
          </w:rPr>
          <w:t xml:space="preserve">scotiabank.com</w:t>
        </w:r>
      </w:hyperlink>
      <w:r>
        <w:rPr>
          <w:rFonts w:ascii="Arial" w:hAnsi="Arial" w:cs="Arial" w:eastAsia="Arial"/>
          <w:color w:val="000000"/>
          <w:sz w:val="24"/>
        </w:rPr>
        <w:t>.</w:t>
      </w:r>
    </w:p>
    <w:p>
      <w:pPr>
        <w:spacing w:after="40" w:before="0" w:line="240" w:lineRule="auto"/>
        <w:jc w:val="left"/>
      </w:pPr>
      <w:r>
        <w:rPr>
          <w:rFonts w:ascii="Arial" w:hAnsi="Arial" w:cs="Arial" w:eastAsia="Arial"/>
          <w:b w:val="0"/>
          <w:color w:val="000000"/>
          <w:sz w:val="24"/>
        </w:rPr>
        <w:t xml:space="preserve">[6] OSFI (2023). Guideline B10, Third Party Risk Management. </w:t>
      </w:r>
      <w:hyperlink r:id="rId21">
        <w:r>
          <w:rPr>
            <w:rFonts w:ascii="Arial" w:hAnsi="Arial" w:cs="Arial" w:eastAsia="Arial"/>
            <w:color w:val="000000"/>
            <w:sz w:val="24"/>
          </w:rPr>
          <w:t xml:space="preserve">OSFI</w:t>
        </w:r>
      </w:hyperlink>
      <w:r>
        <w:rPr>
          <w:rFonts w:ascii="Arial" w:hAnsi="Arial" w:cs="Arial" w:eastAsia="Arial"/>
          <w:color w:val="000000"/>
          <w:sz w:val="24"/>
        </w:rPr>
        <w:t>.</w:t>
      </w:r>
    </w:p>
    <w:p>
      <w:pPr>
        <w:spacing w:after="40" w:before="0" w:line="240" w:lineRule="auto"/>
        <w:jc w:val="left"/>
      </w:pPr>
      <w:r>
        <w:rPr>
          <w:rFonts w:ascii="Arial" w:hAnsi="Arial" w:cs="Arial" w:eastAsia="Arial"/>
          <w:b w:val="0"/>
          <w:color w:val="000000"/>
          <w:sz w:val="24"/>
        </w:rPr>
        <w:t xml:space="preserve">[7] OSFI (2025). Guideline E23, Model Risk Management. </w:t>
      </w:r>
      <w:hyperlink r:id="rId22">
        <w:r>
          <w:rPr>
            <w:rFonts w:ascii="Arial" w:hAnsi="Arial" w:cs="Arial" w:eastAsia="Arial"/>
            <w:color w:val="000000"/>
            <w:sz w:val="24"/>
          </w:rPr>
          <w:t xml:space="preserve">OSFI</w:t>
        </w:r>
      </w:hyperlink>
      <w:r>
        <w:rPr>
          <w:rFonts w:ascii="Arial" w:hAnsi="Arial" w:cs="Arial" w:eastAsia="Arial"/>
          <w:color w:val="000000"/>
          <w:sz w:val="24"/>
        </w:rPr>
        <w:t>.</w:t>
      </w:r>
    </w:p>
    <w:sectPr w:rsidR="00B91FBB" w:rsidRPr="002B1DAF" w:rsidSect="00F761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5165D4" w14:textId="77777777" w:rsidR="00235527" w:rsidRDefault="00235527" w:rsidP="00667C55">
      <w:r>
        <w:separator/>
      </w:r>
    </w:p>
  </w:endnote>
  <w:endnote w:type="continuationSeparator" w:id="0">
    <w:p w14:paraId="4493214C" w14:textId="77777777" w:rsidR="00235527" w:rsidRDefault="00235527" w:rsidP="00667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DAE8D8" w14:textId="77777777" w:rsidR="00235527" w:rsidRDefault="00235527" w:rsidP="00667C55">
      <w:r>
        <w:separator/>
      </w:r>
    </w:p>
  </w:footnote>
  <w:footnote w:type="continuationSeparator" w:id="0">
    <w:p w14:paraId="28931F1E" w14:textId="77777777" w:rsidR="00235527" w:rsidRDefault="00235527" w:rsidP="00667C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E4AEABEE"/>
    <w:lvl w:ilvl="0">
      <w:start w:val="1"/>
      <w:numFmt w:val="bullet"/>
      <w:pStyle w:val="Listaconvietas"/>
      <w:lvlText w:val=""/>
      <w:lvlJc w:val="left"/>
      <w:pPr>
        <w:tabs>
          <w:tab w:val="num" w:pos="360"/>
        </w:tabs>
        <w:ind w:left="360" w:hanging="360"/>
      </w:pPr>
      <w:rPr>
        <w:rFonts w:ascii="Arial" w:hAnsi="Arial" w:hint="default"/>
      </w:rPr>
    </w:lvl>
  </w:abstractNum>
  <w:abstractNum w:abstractNumId="1" w15:restartNumberingAfterBreak="0">
    <w:nsid w:val="03DD718C"/>
    <w:multiLevelType w:val="hybridMultilevel"/>
    <w:tmpl w:val="37E47E52"/>
    <w:lvl w:ilvl="0" w:tplc="295AB2DC">
      <w:start w:val="5"/>
      <w:numFmt w:val="bullet"/>
      <w:lvlText w:val="-"/>
      <w:lvlJc w:val="left"/>
      <w:pPr>
        <w:ind w:left="1068" w:hanging="360"/>
      </w:pPr>
      <w:rPr>
        <w:rFonts w:ascii="Arial" w:eastAsia="Arial" w:hAnsi="Arial" w:cs="Arial" w:hint="default"/>
      </w:rPr>
    </w:lvl>
    <w:lvl w:ilvl="1" w:tplc="240A0003" w:tentative="1">
      <w:start w:val="1"/>
      <w:numFmt w:val="bullet"/>
      <w:lvlText w:val="o"/>
      <w:lvlJc w:val="left"/>
      <w:pPr>
        <w:ind w:left="1788" w:hanging="360"/>
      </w:pPr>
      <w:rPr>
        <w:rFonts w:ascii="Arial" w:hAnsi="Arial" w:cs="Arial" w:hint="default"/>
      </w:rPr>
    </w:lvl>
    <w:lvl w:ilvl="2" w:tplc="240A0005" w:tentative="1">
      <w:start w:val="1"/>
      <w:numFmt w:val="bullet"/>
      <w:lvlText w:val=""/>
      <w:lvlJc w:val="left"/>
      <w:pPr>
        <w:ind w:left="2508" w:hanging="360"/>
      </w:pPr>
      <w:rPr>
        <w:rFonts w:ascii="Arial" w:hAnsi="Arial" w:hint="default"/>
      </w:rPr>
    </w:lvl>
    <w:lvl w:ilvl="3" w:tplc="240A0001" w:tentative="1">
      <w:start w:val="1"/>
      <w:numFmt w:val="bullet"/>
      <w:lvlText w:val=""/>
      <w:lvlJc w:val="left"/>
      <w:pPr>
        <w:ind w:left="3228" w:hanging="360"/>
      </w:pPr>
      <w:rPr>
        <w:rFonts w:ascii="Arial" w:hAnsi="Arial" w:hint="default"/>
      </w:rPr>
    </w:lvl>
    <w:lvl w:ilvl="4" w:tplc="240A0003" w:tentative="1">
      <w:start w:val="1"/>
      <w:numFmt w:val="bullet"/>
      <w:lvlText w:val="o"/>
      <w:lvlJc w:val="left"/>
      <w:pPr>
        <w:ind w:left="3948" w:hanging="360"/>
      </w:pPr>
      <w:rPr>
        <w:rFonts w:ascii="Arial" w:hAnsi="Arial" w:cs="Arial" w:hint="default"/>
      </w:rPr>
    </w:lvl>
    <w:lvl w:ilvl="5" w:tplc="240A0005" w:tentative="1">
      <w:start w:val="1"/>
      <w:numFmt w:val="bullet"/>
      <w:lvlText w:val=""/>
      <w:lvlJc w:val="left"/>
      <w:pPr>
        <w:ind w:left="4668" w:hanging="360"/>
      </w:pPr>
      <w:rPr>
        <w:rFonts w:ascii="Arial" w:hAnsi="Arial" w:hint="default"/>
      </w:rPr>
    </w:lvl>
    <w:lvl w:ilvl="6" w:tplc="240A0001" w:tentative="1">
      <w:start w:val="1"/>
      <w:numFmt w:val="bullet"/>
      <w:lvlText w:val=""/>
      <w:lvlJc w:val="left"/>
      <w:pPr>
        <w:ind w:left="5388" w:hanging="360"/>
      </w:pPr>
      <w:rPr>
        <w:rFonts w:ascii="Arial" w:hAnsi="Arial" w:hint="default"/>
      </w:rPr>
    </w:lvl>
    <w:lvl w:ilvl="7" w:tplc="240A0003" w:tentative="1">
      <w:start w:val="1"/>
      <w:numFmt w:val="bullet"/>
      <w:lvlText w:val="o"/>
      <w:lvlJc w:val="left"/>
      <w:pPr>
        <w:ind w:left="6108" w:hanging="360"/>
      </w:pPr>
      <w:rPr>
        <w:rFonts w:ascii="Arial" w:hAnsi="Arial" w:cs="Arial" w:hint="default"/>
      </w:rPr>
    </w:lvl>
    <w:lvl w:ilvl="8" w:tplc="240A0005" w:tentative="1">
      <w:start w:val="1"/>
      <w:numFmt w:val="bullet"/>
      <w:lvlText w:val=""/>
      <w:lvlJc w:val="left"/>
      <w:pPr>
        <w:ind w:left="6828" w:hanging="360"/>
      </w:pPr>
      <w:rPr>
        <w:rFonts w:ascii="Arial" w:hAnsi="Arial" w:hint="default"/>
      </w:rPr>
    </w:lvl>
  </w:abstractNum>
  <w:abstractNum w:abstractNumId="2" w15:restartNumberingAfterBreak="0">
    <w:nsid w:val="040977D8"/>
    <w:multiLevelType w:val="hybridMultilevel"/>
    <w:tmpl w:val="75524712"/>
    <w:lvl w:ilvl="0" w:tplc="0C0A0001">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Arial" w:hAnsi="Arial" w:cs="Arial" w:hint="default"/>
      </w:rPr>
    </w:lvl>
    <w:lvl w:ilvl="2" w:tplc="0C0A0005" w:tentative="1">
      <w:start w:val="1"/>
      <w:numFmt w:val="bullet"/>
      <w:lvlText w:val=""/>
      <w:lvlJc w:val="left"/>
      <w:pPr>
        <w:ind w:left="2160" w:hanging="360"/>
      </w:pPr>
      <w:rPr>
        <w:rFonts w:ascii="Arial" w:hAnsi="Arial" w:hint="default"/>
      </w:rPr>
    </w:lvl>
    <w:lvl w:ilvl="3" w:tplc="0C0A0001" w:tentative="1">
      <w:start w:val="1"/>
      <w:numFmt w:val="bullet"/>
      <w:lvlText w:val=""/>
      <w:lvlJc w:val="left"/>
      <w:pPr>
        <w:ind w:left="2880" w:hanging="360"/>
      </w:pPr>
      <w:rPr>
        <w:rFonts w:ascii="Arial" w:hAnsi="Arial" w:hint="default"/>
      </w:rPr>
    </w:lvl>
    <w:lvl w:ilvl="4" w:tplc="0C0A0003" w:tentative="1">
      <w:start w:val="1"/>
      <w:numFmt w:val="bullet"/>
      <w:lvlText w:val="o"/>
      <w:lvlJc w:val="left"/>
      <w:pPr>
        <w:ind w:left="3600" w:hanging="360"/>
      </w:pPr>
      <w:rPr>
        <w:rFonts w:ascii="Arial" w:hAnsi="Arial" w:cs="Arial" w:hint="default"/>
      </w:rPr>
    </w:lvl>
    <w:lvl w:ilvl="5" w:tplc="0C0A0005" w:tentative="1">
      <w:start w:val="1"/>
      <w:numFmt w:val="bullet"/>
      <w:lvlText w:val=""/>
      <w:lvlJc w:val="left"/>
      <w:pPr>
        <w:ind w:left="4320" w:hanging="360"/>
      </w:pPr>
      <w:rPr>
        <w:rFonts w:ascii="Arial" w:hAnsi="Arial" w:hint="default"/>
      </w:rPr>
    </w:lvl>
    <w:lvl w:ilvl="6" w:tplc="0C0A0001" w:tentative="1">
      <w:start w:val="1"/>
      <w:numFmt w:val="bullet"/>
      <w:lvlText w:val=""/>
      <w:lvlJc w:val="left"/>
      <w:pPr>
        <w:ind w:left="5040" w:hanging="360"/>
      </w:pPr>
      <w:rPr>
        <w:rFonts w:ascii="Arial" w:hAnsi="Arial" w:hint="default"/>
      </w:rPr>
    </w:lvl>
    <w:lvl w:ilvl="7" w:tplc="0C0A0003" w:tentative="1">
      <w:start w:val="1"/>
      <w:numFmt w:val="bullet"/>
      <w:lvlText w:val="o"/>
      <w:lvlJc w:val="left"/>
      <w:pPr>
        <w:ind w:left="5760" w:hanging="360"/>
      </w:pPr>
      <w:rPr>
        <w:rFonts w:ascii="Arial" w:hAnsi="Arial" w:cs="Arial" w:hint="default"/>
      </w:rPr>
    </w:lvl>
    <w:lvl w:ilvl="8" w:tplc="0C0A0005" w:tentative="1">
      <w:start w:val="1"/>
      <w:numFmt w:val="bullet"/>
      <w:lvlText w:val=""/>
      <w:lvlJc w:val="left"/>
      <w:pPr>
        <w:ind w:left="6480" w:hanging="360"/>
      </w:pPr>
      <w:rPr>
        <w:rFonts w:ascii="Arial" w:hAnsi="Arial" w:hint="default"/>
      </w:rPr>
    </w:lvl>
  </w:abstractNum>
  <w:abstractNum w:abstractNumId="3" w15:restartNumberingAfterBreak="0">
    <w:nsid w:val="0C4F6F5A"/>
    <w:multiLevelType w:val="hybridMultilevel"/>
    <w:tmpl w:val="4E48736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CE9739C"/>
    <w:multiLevelType w:val="hybridMultilevel"/>
    <w:tmpl w:val="A73C12CA"/>
    <w:lvl w:ilvl="0" w:tplc="240A0019">
      <w:start w:val="1"/>
      <w:numFmt w:val="lowerLetter"/>
      <w:lvlText w:val="%1."/>
      <w:lvlJc w:val="left"/>
      <w:pPr>
        <w:ind w:left="720" w:hanging="360"/>
      </w:pPr>
      <w:rPr>
        <w:rFonts w:hint="default"/>
      </w:rPr>
    </w:lvl>
    <w:lvl w:ilvl="1" w:tplc="240A0001">
      <w:start w:val="1"/>
      <w:numFmt w:val="bullet"/>
      <w:lvlText w:val=""/>
      <w:lvlJc w:val="left"/>
      <w:pPr>
        <w:ind w:left="1440" w:hanging="360"/>
      </w:pPr>
      <w:rPr>
        <w:rFonts w:ascii="Arial" w:hAnsi="Aria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E6B6260"/>
    <w:multiLevelType w:val="hybridMultilevel"/>
    <w:tmpl w:val="A63000DA"/>
    <w:lvl w:ilvl="0" w:tplc="456A7AB8">
      <w:start w:val="4"/>
      <w:numFmt w:val="bullet"/>
      <w:lvlText w:val="-"/>
      <w:lvlJc w:val="left"/>
      <w:pPr>
        <w:ind w:left="720" w:hanging="360"/>
      </w:pPr>
      <w:rPr>
        <w:rFonts w:ascii="Arial" w:eastAsia="Arial" w:hAnsi="Arial" w:cs="Arial" w:hint="default"/>
      </w:rPr>
    </w:lvl>
    <w:lvl w:ilvl="1" w:tplc="240A0003">
      <w:start w:val="1"/>
      <w:numFmt w:val="bullet"/>
      <w:lvlText w:val="o"/>
      <w:lvlJc w:val="left"/>
      <w:pPr>
        <w:ind w:left="1440" w:hanging="360"/>
      </w:pPr>
      <w:rPr>
        <w:rFonts w:ascii="Arial" w:hAnsi="Arial" w:cs="Arial" w:hint="default"/>
      </w:rPr>
    </w:lvl>
    <w:lvl w:ilvl="2" w:tplc="240A0005" w:tentative="1">
      <w:start w:val="1"/>
      <w:numFmt w:val="bullet"/>
      <w:lvlText w:val=""/>
      <w:lvlJc w:val="left"/>
      <w:pPr>
        <w:ind w:left="2160" w:hanging="360"/>
      </w:pPr>
      <w:rPr>
        <w:rFonts w:ascii="Arial" w:hAnsi="Arial" w:hint="default"/>
      </w:rPr>
    </w:lvl>
    <w:lvl w:ilvl="3" w:tplc="240A0001" w:tentative="1">
      <w:start w:val="1"/>
      <w:numFmt w:val="bullet"/>
      <w:lvlText w:val=""/>
      <w:lvlJc w:val="left"/>
      <w:pPr>
        <w:ind w:left="2880" w:hanging="360"/>
      </w:pPr>
      <w:rPr>
        <w:rFonts w:ascii="Arial" w:hAnsi="Arial" w:hint="default"/>
      </w:rPr>
    </w:lvl>
    <w:lvl w:ilvl="4" w:tplc="240A0003" w:tentative="1">
      <w:start w:val="1"/>
      <w:numFmt w:val="bullet"/>
      <w:lvlText w:val="o"/>
      <w:lvlJc w:val="left"/>
      <w:pPr>
        <w:ind w:left="3600" w:hanging="360"/>
      </w:pPr>
      <w:rPr>
        <w:rFonts w:ascii="Arial" w:hAnsi="Arial" w:cs="Arial" w:hint="default"/>
      </w:rPr>
    </w:lvl>
    <w:lvl w:ilvl="5" w:tplc="240A0005" w:tentative="1">
      <w:start w:val="1"/>
      <w:numFmt w:val="bullet"/>
      <w:lvlText w:val=""/>
      <w:lvlJc w:val="left"/>
      <w:pPr>
        <w:ind w:left="4320" w:hanging="360"/>
      </w:pPr>
      <w:rPr>
        <w:rFonts w:ascii="Arial" w:hAnsi="Arial" w:hint="default"/>
      </w:rPr>
    </w:lvl>
    <w:lvl w:ilvl="6" w:tplc="240A0001" w:tentative="1">
      <w:start w:val="1"/>
      <w:numFmt w:val="bullet"/>
      <w:lvlText w:val=""/>
      <w:lvlJc w:val="left"/>
      <w:pPr>
        <w:ind w:left="5040" w:hanging="360"/>
      </w:pPr>
      <w:rPr>
        <w:rFonts w:ascii="Arial" w:hAnsi="Arial" w:hint="default"/>
      </w:rPr>
    </w:lvl>
    <w:lvl w:ilvl="7" w:tplc="240A0003" w:tentative="1">
      <w:start w:val="1"/>
      <w:numFmt w:val="bullet"/>
      <w:lvlText w:val="o"/>
      <w:lvlJc w:val="left"/>
      <w:pPr>
        <w:ind w:left="5760" w:hanging="360"/>
      </w:pPr>
      <w:rPr>
        <w:rFonts w:ascii="Arial" w:hAnsi="Arial" w:cs="Arial" w:hint="default"/>
      </w:rPr>
    </w:lvl>
    <w:lvl w:ilvl="8" w:tplc="240A0005" w:tentative="1">
      <w:start w:val="1"/>
      <w:numFmt w:val="bullet"/>
      <w:lvlText w:val=""/>
      <w:lvlJc w:val="left"/>
      <w:pPr>
        <w:ind w:left="6480" w:hanging="360"/>
      </w:pPr>
      <w:rPr>
        <w:rFonts w:ascii="Arial" w:hAnsi="Arial" w:hint="default"/>
      </w:rPr>
    </w:lvl>
  </w:abstractNum>
  <w:abstractNum w:abstractNumId="6" w15:restartNumberingAfterBreak="0">
    <w:nsid w:val="1305511D"/>
    <w:multiLevelType w:val="hybridMultilevel"/>
    <w:tmpl w:val="4DEA8336"/>
    <w:lvl w:ilvl="0" w:tplc="D1C05AAC">
      <w:start w:val="1"/>
      <w:numFmt w:val="bullet"/>
      <w:lvlText w:val="o"/>
      <w:lvlJc w:val="left"/>
      <w:pPr>
        <w:tabs>
          <w:tab w:val="num" w:pos="360"/>
        </w:tabs>
        <w:ind w:left="360" w:hanging="360"/>
      </w:pPr>
      <w:rPr>
        <w:rFonts w:ascii="Arial" w:hAnsi="Arial" w:hint="default"/>
        <w:lang w:val="es-ES"/>
      </w:rPr>
    </w:lvl>
    <w:lvl w:ilvl="1" w:tplc="240A0001">
      <w:start w:val="1"/>
      <w:numFmt w:val="bullet"/>
      <w:lvlText w:val=""/>
      <w:lvlJc w:val="left"/>
      <w:pPr>
        <w:tabs>
          <w:tab w:val="num" w:pos="1080"/>
        </w:tabs>
        <w:ind w:left="1080" w:hanging="360"/>
      </w:pPr>
      <w:rPr>
        <w:rFonts w:ascii="Arial" w:hAnsi="Arial" w:hint="default"/>
        <w:lang w:val="es-ES"/>
      </w:rPr>
    </w:lvl>
    <w:lvl w:ilvl="2" w:tplc="04090005">
      <w:start w:val="1"/>
      <w:numFmt w:val="bullet"/>
      <w:lvlText w:val=""/>
      <w:lvlJc w:val="left"/>
      <w:pPr>
        <w:tabs>
          <w:tab w:val="num" w:pos="1800"/>
        </w:tabs>
        <w:ind w:left="1800" w:hanging="360"/>
      </w:pPr>
      <w:rPr>
        <w:rFonts w:ascii="Arial" w:hAnsi="Arial" w:hint="default"/>
      </w:rPr>
    </w:lvl>
    <w:lvl w:ilvl="3" w:tplc="04090001">
      <w:start w:val="1"/>
      <w:numFmt w:val="bullet"/>
      <w:lvlText w:val=""/>
      <w:lvlJc w:val="left"/>
      <w:pPr>
        <w:tabs>
          <w:tab w:val="num" w:pos="2520"/>
        </w:tabs>
        <w:ind w:left="2520" w:hanging="360"/>
      </w:pPr>
      <w:rPr>
        <w:rFonts w:ascii="Arial" w:hAnsi="Arial" w:hint="default"/>
      </w:rPr>
    </w:lvl>
    <w:lvl w:ilvl="4" w:tplc="04090003">
      <w:start w:val="1"/>
      <w:numFmt w:val="bullet"/>
      <w:lvlText w:val="o"/>
      <w:lvlJc w:val="left"/>
      <w:pPr>
        <w:tabs>
          <w:tab w:val="num" w:pos="3240"/>
        </w:tabs>
        <w:ind w:left="3240" w:hanging="360"/>
      </w:pPr>
      <w:rPr>
        <w:rFonts w:ascii="Arial" w:hAnsi="Arial" w:hint="default"/>
      </w:rPr>
    </w:lvl>
    <w:lvl w:ilvl="5" w:tplc="B7023766">
      <w:numFmt w:val="bullet"/>
      <w:lvlText w:val="-"/>
      <w:lvlJc w:val="left"/>
      <w:pPr>
        <w:ind w:left="3960" w:hanging="360"/>
      </w:pPr>
      <w:rPr>
        <w:rFonts w:ascii="Arial" w:eastAsia="Arial" w:hAnsi="Arial" w:cs="Arial" w:hint="default"/>
      </w:rPr>
    </w:lvl>
    <w:lvl w:ilvl="6" w:tplc="04090001" w:tentative="1">
      <w:start w:val="1"/>
      <w:numFmt w:val="bullet"/>
      <w:lvlText w:val=""/>
      <w:lvlJc w:val="left"/>
      <w:pPr>
        <w:tabs>
          <w:tab w:val="num" w:pos="4680"/>
        </w:tabs>
        <w:ind w:left="4680" w:hanging="360"/>
      </w:pPr>
      <w:rPr>
        <w:rFonts w:ascii="Arial" w:hAnsi="Arial" w:hint="default"/>
      </w:rPr>
    </w:lvl>
    <w:lvl w:ilvl="7" w:tplc="04090003" w:tentative="1">
      <w:start w:val="1"/>
      <w:numFmt w:val="bullet"/>
      <w:lvlText w:val="o"/>
      <w:lvlJc w:val="left"/>
      <w:pPr>
        <w:tabs>
          <w:tab w:val="num" w:pos="5400"/>
        </w:tabs>
        <w:ind w:left="5400" w:hanging="360"/>
      </w:pPr>
      <w:rPr>
        <w:rFonts w:ascii="Arial" w:hAnsi="Arial" w:hint="default"/>
      </w:rPr>
    </w:lvl>
    <w:lvl w:ilvl="8" w:tplc="04090005" w:tentative="1">
      <w:start w:val="1"/>
      <w:numFmt w:val="bullet"/>
      <w:lvlText w:val=""/>
      <w:lvlJc w:val="left"/>
      <w:pPr>
        <w:tabs>
          <w:tab w:val="num" w:pos="6120"/>
        </w:tabs>
        <w:ind w:left="6120" w:hanging="360"/>
      </w:pPr>
      <w:rPr>
        <w:rFonts w:ascii="Arial" w:hAnsi="Arial" w:hint="default"/>
      </w:rPr>
    </w:lvl>
  </w:abstractNum>
  <w:abstractNum w:abstractNumId="7" w15:restartNumberingAfterBreak="0">
    <w:nsid w:val="1B443D8D"/>
    <w:multiLevelType w:val="hybridMultilevel"/>
    <w:tmpl w:val="3ACCFC2E"/>
    <w:lvl w:ilvl="0" w:tplc="04090017">
      <w:start w:val="1"/>
      <w:numFmt w:val="lowerLetter"/>
      <w:lvlText w:val="%1)"/>
      <w:lvlJc w:val="left"/>
      <w:pPr>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1BAD65BB"/>
    <w:multiLevelType w:val="hybridMultilevel"/>
    <w:tmpl w:val="AC8AA2BC"/>
    <w:lvl w:ilvl="0" w:tplc="7A0C9BB8">
      <w:start w:val="1"/>
      <w:numFmt w:val="decimal"/>
      <w:lvlText w:val="%1."/>
      <w:lvlJc w:val="left"/>
      <w:pPr>
        <w:ind w:left="1068" w:hanging="360"/>
      </w:pPr>
      <w:rPr>
        <w:rFonts/>
        <w:b w:val="0"/>
      </w:rPr>
    </w:lvl>
    <w:lvl w:ilvl="1" w:tplc="240A0003" w:tentative="1">
      <w:start w:val="1"/>
      <w:numFmt w:val="bullet"/>
      <w:lvlText w:val="o"/>
      <w:lvlJc w:val="left"/>
      <w:pPr>
        <w:ind w:left="1788" w:hanging="360"/>
      </w:pPr>
      <w:rPr>
        <w:rFonts w:ascii="Arial" w:hAnsi="Arial" w:cs="Arial" w:hint="default"/>
      </w:rPr>
    </w:lvl>
    <w:lvl w:ilvl="2" w:tplc="240A0005" w:tentative="1">
      <w:start w:val="1"/>
      <w:numFmt w:val="bullet"/>
      <w:lvlText w:val=""/>
      <w:lvlJc w:val="left"/>
      <w:pPr>
        <w:ind w:left="2508" w:hanging="360"/>
      </w:pPr>
      <w:rPr>
        <w:rFonts w:ascii="Arial" w:hAnsi="Arial" w:hint="default"/>
      </w:rPr>
    </w:lvl>
    <w:lvl w:ilvl="3" w:tplc="240A0001" w:tentative="1">
      <w:start w:val="1"/>
      <w:numFmt w:val="bullet"/>
      <w:lvlText w:val=""/>
      <w:lvlJc w:val="left"/>
      <w:pPr>
        <w:ind w:left="3228" w:hanging="360"/>
      </w:pPr>
      <w:rPr>
        <w:rFonts w:ascii="Arial" w:hAnsi="Arial" w:hint="default"/>
      </w:rPr>
    </w:lvl>
    <w:lvl w:ilvl="4" w:tplc="240A0003" w:tentative="1">
      <w:start w:val="1"/>
      <w:numFmt w:val="bullet"/>
      <w:lvlText w:val="o"/>
      <w:lvlJc w:val="left"/>
      <w:pPr>
        <w:ind w:left="3948" w:hanging="360"/>
      </w:pPr>
      <w:rPr>
        <w:rFonts w:ascii="Arial" w:hAnsi="Arial" w:cs="Arial" w:hint="default"/>
      </w:rPr>
    </w:lvl>
    <w:lvl w:ilvl="5" w:tplc="240A0005" w:tentative="1">
      <w:start w:val="1"/>
      <w:numFmt w:val="bullet"/>
      <w:lvlText w:val=""/>
      <w:lvlJc w:val="left"/>
      <w:pPr>
        <w:ind w:left="4668" w:hanging="360"/>
      </w:pPr>
      <w:rPr>
        <w:rFonts w:ascii="Arial" w:hAnsi="Arial" w:hint="default"/>
      </w:rPr>
    </w:lvl>
    <w:lvl w:ilvl="6" w:tplc="240A0001" w:tentative="1">
      <w:start w:val="1"/>
      <w:numFmt w:val="bullet"/>
      <w:lvlText w:val=""/>
      <w:lvlJc w:val="left"/>
      <w:pPr>
        <w:ind w:left="5388" w:hanging="360"/>
      </w:pPr>
      <w:rPr>
        <w:rFonts w:ascii="Arial" w:hAnsi="Arial" w:hint="default"/>
      </w:rPr>
    </w:lvl>
    <w:lvl w:ilvl="7" w:tplc="240A0003" w:tentative="1">
      <w:start w:val="1"/>
      <w:numFmt w:val="bullet"/>
      <w:lvlText w:val="o"/>
      <w:lvlJc w:val="left"/>
      <w:pPr>
        <w:ind w:left="6108" w:hanging="360"/>
      </w:pPr>
      <w:rPr>
        <w:rFonts w:ascii="Arial" w:hAnsi="Arial" w:cs="Arial" w:hint="default"/>
      </w:rPr>
    </w:lvl>
    <w:lvl w:ilvl="8" w:tplc="240A0005" w:tentative="1">
      <w:start w:val="1"/>
      <w:numFmt w:val="bullet"/>
      <w:lvlText w:val=""/>
      <w:lvlJc w:val="left"/>
      <w:pPr>
        <w:ind w:left="6828" w:hanging="360"/>
      </w:pPr>
      <w:rPr>
        <w:rFonts w:ascii="Arial" w:hAnsi="Arial" w:hint="default"/>
      </w:rPr>
    </w:lvl>
  </w:abstractNum>
  <w:abstractNum w:abstractNumId="9" w15:restartNumberingAfterBreak="0">
    <w:nsid w:val="20D53D67"/>
    <w:multiLevelType w:val="hybridMultilevel"/>
    <w:tmpl w:val="D692272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8FC01C3"/>
    <w:multiLevelType w:val="hybridMultilevel"/>
    <w:tmpl w:val="502C0D0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A263BE4"/>
    <w:multiLevelType w:val="hybridMultilevel"/>
    <w:tmpl w:val="4E48736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F1A3B15"/>
    <w:multiLevelType w:val="hybridMultilevel"/>
    <w:tmpl w:val="C832A950"/>
    <w:lvl w:ilvl="0" w:tplc="E9F26C4A">
      <w:start w:val="1"/>
      <w:numFmt w:val="lowerLetter"/>
      <w:lvlText w:val="%1."/>
      <w:lvlJc w:val="left"/>
      <w:pPr>
        <w:ind w:left="720" w:hanging="360"/>
      </w:pPr>
      <w:rPr>
        <w:rFonts w:ascii="Arial" w:eastAsia="Arial" w:hAnsi="Arial" w:cs="Arial"/>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FE94065"/>
    <w:multiLevelType w:val="hybridMultilevel"/>
    <w:tmpl w:val="FA2613D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2151E1F"/>
    <w:multiLevelType w:val="hybridMultilevel"/>
    <w:tmpl w:val="8EB686AE"/>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4C65E36"/>
    <w:multiLevelType w:val="hybridMultilevel"/>
    <w:tmpl w:val="235E4F82"/>
    <w:lvl w:ilvl="0" w:tplc="240A0001">
      <w:start w:val="1"/>
      <w:numFmt w:val="bullet"/>
      <w:lvlText w:val=""/>
      <w:lvlJc w:val="left"/>
      <w:pPr>
        <w:ind w:left="1428" w:hanging="360"/>
      </w:pPr>
      <w:rPr>
        <w:rFonts w:ascii="Arial" w:hAnsi="Arial" w:hint="default"/>
      </w:rPr>
    </w:lvl>
    <w:lvl w:ilvl="1" w:tplc="240A0003" w:tentative="1">
      <w:start w:val="1"/>
      <w:numFmt w:val="bullet"/>
      <w:lvlText w:val="o"/>
      <w:lvlJc w:val="left"/>
      <w:pPr>
        <w:ind w:left="2148" w:hanging="360"/>
      </w:pPr>
      <w:rPr>
        <w:rFonts w:ascii="Arial" w:hAnsi="Arial" w:cs="Arial" w:hint="default"/>
      </w:rPr>
    </w:lvl>
    <w:lvl w:ilvl="2" w:tplc="240A0005" w:tentative="1">
      <w:start w:val="1"/>
      <w:numFmt w:val="bullet"/>
      <w:lvlText w:val=""/>
      <w:lvlJc w:val="left"/>
      <w:pPr>
        <w:ind w:left="2868" w:hanging="360"/>
      </w:pPr>
      <w:rPr>
        <w:rFonts w:ascii="Arial" w:hAnsi="Arial" w:hint="default"/>
      </w:rPr>
    </w:lvl>
    <w:lvl w:ilvl="3" w:tplc="240A0001" w:tentative="1">
      <w:start w:val="1"/>
      <w:numFmt w:val="bullet"/>
      <w:lvlText w:val=""/>
      <w:lvlJc w:val="left"/>
      <w:pPr>
        <w:ind w:left="3588" w:hanging="360"/>
      </w:pPr>
      <w:rPr>
        <w:rFonts w:ascii="Arial" w:hAnsi="Arial" w:hint="default"/>
      </w:rPr>
    </w:lvl>
    <w:lvl w:ilvl="4" w:tplc="240A0003" w:tentative="1">
      <w:start w:val="1"/>
      <w:numFmt w:val="bullet"/>
      <w:lvlText w:val="o"/>
      <w:lvlJc w:val="left"/>
      <w:pPr>
        <w:ind w:left="4308" w:hanging="360"/>
      </w:pPr>
      <w:rPr>
        <w:rFonts w:ascii="Arial" w:hAnsi="Arial" w:cs="Arial" w:hint="default"/>
      </w:rPr>
    </w:lvl>
    <w:lvl w:ilvl="5" w:tplc="240A0005" w:tentative="1">
      <w:start w:val="1"/>
      <w:numFmt w:val="bullet"/>
      <w:lvlText w:val=""/>
      <w:lvlJc w:val="left"/>
      <w:pPr>
        <w:ind w:left="5028" w:hanging="360"/>
      </w:pPr>
      <w:rPr>
        <w:rFonts w:ascii="Arial" w:hAnsi="Arial" w:hint="default"/>
      </w:rPr>
    </w:lvl>
    <w:lvl w:ilvl="6" w:tplc="240A0001" w:tentative="1">
      <w:start w:val="1"/>
      <w:numFmt w:val="bullet"/>
      <w:lvlText w:val=""/>
      <w:lvlJc w:val="left"/>
      <w:pPr>
        <w:ind w:left="5748" w:hanging="360"/>
      </w:pPr>
      <w:rPr>
        <w:rFonts w:ascii="Arial" w:hAnsi="Arial" w:hint="default"/>
      </w:rPr>
    </w:lvl>
    <w:lvl w:ilvl="7" w:tplc="240A0003" w:tentative="1">
      <w:start w:val="1"/>
      <w:numFmt w:val="bullet"/>
      <w:lvlText w:val="o"/>
      <w:lvlJc w:val="left"/>
      <w:pPr>
        <w:ind w:left="6468" w:hanging="360"/>
      </w:pPr>
      <w:rPr>
        <w:rFonts w:ascii="Arial" w:hAnsi="Arial" w:cs="Arial" w:hint="default"/>
      </w:rPr>
    </w:lvl>
    <w:lvl w:ilvl="8" w:tplc="240A0005" w:tentative="1">
      <w:start w:val="1"/>
      <w:numFmt w:val="bullet"/>
      <w:lvlText w:val=""/>
      <w:lvlJc w:val="left"/>
      <w:pPr>
        <w:ind w:left="7188" w:hanging="360"/>
      </w:pPr>
      <w:rPr>
        <w:rFonts w:ascii="Arial" w:hAnsi="Arial" w:hint="default"/>
      </w:rPr>
    </w:lvl>
  </w:abstractNum>
  <w:abstractNum w:abstractNumId="16" w15:restartNumberingAfterBreak="0">
    <w:nsid w:val="34CB12CB"/>
    <w:multiLevelType w:val="hybridMultilevel"/>
    <w:tmpl w:val="59D84FF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D355076"/>
    <w:multiLevelType w:val="hybridMultilevel"/>
    <w:tmpl w:val="1B7846AA"/>
    <w:lvl w:ilvl="0" w:tplc="0C0A0001">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Arial" w:hAnsi="Arial" w:cs="Arial" w:hint="default"/>
      </w:rPr>
    </w:lvl>
    <w:lvl w:ilvl="2" w:tplc="0C0A0005" w:tentative="1">
      <w:start w:val="1"/>
      <w:numFmt w:val="bullet"/>
      <w:lvlText w:val=""/>
      <w:lvlJc w:val="left"/>
      <w:pPr>
        <w:ind w:left="2160" w:hanging="360"/>
      </w:pPr>
      <w:rPr>
        <w:rFonts w:ascii="Arial" w:hAnsi="Arial" w:hint="default"/>
      </w:rPr>
    </w:lvl>
    <w:lvl w:ilvl="3" w:tplc="0C0A0001" w:tentative="1">
      <w:start w:val="1"/>
      <w:numFmt w:val="bullet"/>
      <w:lvlText w:val=""/>
      <w:lvlJc w:val="left"/>
      <w:pPr>
        <w:ind w:left="2880" w:hanging="360"/>
      </w:pPr>
      <w:rPr>
        <w:rFonts w:ascii="Arial" w:hAnsi="Arial" w:hint="default"/>
      </w:rPr>
    </w:lvl>
    <w:lvl w:ilvl="4" w:tplc="0C0A0003" w:tentative="1">
      <w:start w:val="1"/>
      <w:numFmt w:val="bullet"/>
      <w:lvlText w:val="o"/>
      <w:lvlJc w:val="left"/>
      <w:pPr>
        <w:ind w:left="3600" w:hanging="360"/>
      </w:pPr>
      <w:rPr>
        <w:rFonts w:ascii="Arial" w:hAnsi="Arial" w:cs="Arial" w:hint="default"/>
      </w:rPr>
    </w:lvl>
    <w:lvl w:ilvl="5" w:tplc="0C0A0005" w:tentative="1">
      <w:start w:val="1"/>
      <w:numFmt w:val="bullet"/>
      <w:lvlText w:val=""/>
      <w:lvlJc w:val="left"/>
      <w:pPr>
        <w:ind w:left="4320" w:hanging="360"/>
      </w:pPr>
      <w:rPr>
        <w:rFonts w:ascii="Arial" w:hAnsi="Arial" w:hint="default"/>
      </w:rPr>
    </w:lvl>
    <w:lvl w:ilvl="6" w:tplc="0C0A0001" w:tentative="1">
      <w:start w:val="1"/>
      <w:numFmt w:val="bullet"/>
      <w:lvlText w:val=""/>
      <w:lvlJc w:val="left"/>
      <w:pPr>
        <w:ind w:left="5040" w:hanging="360"/>
      </w:pPr>
      <w:rPr>
        <w:rFonts w:ascii="Arial" w:hAnsi="Arial" w:hint="default"/>
      </w:rPr>
    </w:lvl>
    <w:lvl w:ilvl="7" w:tplc="0C0A0003" w:tentative="1">
      <w:start w:val="1"/>
      <w:numFmt w:val="bullet"/>
      <w:lvlText w:val="o"/>
      <w:lvlJc w:val="left"/>
      <w:pPr>
        <w:ind w:left="5760" w:hanging="360"/>
      </w:pPr>
      <w:rPr>
        <w:rFonts w:ascii="Arial" w:hAnsi="Arial" w:cs="Arial" w:hint="default"/>
      </w:rPr>
    </w:lvl>
    <w:lvl w:ilvl="8" w:tplc="0C0A0005" w:tentative="1">
      <w:start w:val="1"/>
      <w:numFmt w:val="bullet"/>
      <w:lvlText w:val=""/>
      <w:lvlJc w:val="left"/>
      <w:pPr>
        <w:ind w:left="6480" w:hanging="360"/>
      </w:pPr>
      <w:rPr>
        <w:rFonts w:ascii="Arial" w:hAnsi="Arial" w:hint="default"/>
      </w:rPr>
    </w:lvl>
  </w:abstractNum>
  <w:abstractNum w:abstractNumId="18" w15:restartNumberingAfterBreak="0">
    <w:nsid w:val="45354B74"/>
    <w:multiLevelType w:val="hybridMultilevel"/>
    <w:tmpl w:val="C0922EC4"/>
    <w:lvl w:ilvl="0" w:tplc="34B46C8A">
      <w:start w:val="1"/>
      <w:numFmt w:val="lowerLetter"/>
      <w:lvlText w:val="%1."/>
      <w:lvlJc w:val="left"/>
      <w:pPr>
        <w:ind w:left="1080" w:hanging="360"/>
      </w:pPr>
      <w:rPr>
        <w:rFonts w:hint="default"/>
      </w:r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4DF43DCF"/>
    <w:multiLevelType w:val="hybridMultilevel"/>
    <w:tmpl w:val="C2BE70E4"/>
    <w:lvl w:ilvl="0" w:tplc="34B46C8A">
      <w:start w:val="1"/>
      <w:numFmt w:val="lowerLetter"/>
      <w:lvlText w:val="%1."/>
      <w:lvlJc w:val="left"/>
      <w:pPr>
        <w:ind w:left="1080" w:hanging="360"/>
      </w:pPr>
      <w:rPr>
        <w:rFonts w:hint="default"/>
      </w:rPr>
    </w:lvl>
    <w:lvl w:ilvl="1" w:tplc="240A0013">
      <w:start w:val="1"/>
      <w:numFmt w:val="upperRoman"/>
      <w:lvlText w:val="%2."/>
      <w:lvlJc w:val="right"/>
      <w:pPr>
        <w:ind w:left="1800" w:hanging="360"/>
      </w:pPr>
    </w:lvl>
    <w:lvl w:ilvl="2" w:tplc="5EF08278">
      <w:start w:val="1"/>
      <w:numFmt w:val="lowerLetter"/>
      <w:lvlText w:val="%3)"/>
      <w:lvlJc w:val="left"/>
      <w:pPr>
        <w:ind w:left="2775" w:hanging="435"/>
      </w:pPr>
      <w:rPr>
        <w:rFonts w:hint="default"/>
      </w:r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4F8A3607"/>
    <w:multiLevelType w:val="hybridMultilevel"/>
    <w:tmpl w:val="8EA83516"/>
    <w:lvl w:ilvl="0" w:tplc="31D89376">
      <w:start w:val="1"/>
      <w:numFmt w:val="lowerLetter"/>
      <w:lvlText w:val="%1)"/>
      <w:lvlJc w:val="left"/>
      <w:pPr>
        <w:ind w:left="460" w:hanging="360"/>
      </w:pPr>
      <w:rPr>
        <w:rFonts w:hint="default"/>
      </w:rPr>
    </w:lvl>
    <w:lvl w:ilvl="1" w:tplc="0C0A0019" w:tentative="1">
      <w:start w:val="1"/>
      <w:numFmt w:val="lowerLetter"/>
      <w:lvlText w:val="%2."/>
      <w:lvlJc w:val="left"/>
      <w:pPr>
        <w:ind w:left="1180" w:hanging="360"/>
      </w:pPr>
    </w:lvl>
    <w:lvl w:ilvl="2" w:tplc="0C0A001B" w:tentative="1">
      <w:start w:val="1"/>
      <w:numFmt w:val="lowerRoman"/>
      <w:lvlText w:val="%3."/>
      <w:lvlJc w:val="right"/>
      <w:pPr>
        <w:ind w:left="1900" w:hanging="180"/>
      </w:pPr>
    </w:lvl>
    <w:lvl w:ilvl="3" w:tplc="0C0A000F" w:tentative="1">
      <w:start w:val="1"/>
      <w:numFmt w:val="decimal"/>
      <w:lvlText w:val="%4."/>
      <w:lvlJc w:val="left"/>
      <w:pPr>
        <w:ind w:left="2620" w:hanging="360"/>
      </w:pPr>
    </w:lvl>
    <w:lvl w:ilvl="4" w:tplc="0C0A0019" w:tentative="1">
      <w:start w:val="1"/>
      <w:numFmt w:val="lowerLetter"/>
      <w:lvlText w:val="%5."/>
      <w:lvlJc w:val="left"/>
      <w:pPr>
        <w:ind w:left="3340" w:hanging="360"/>
      </w:pPr>
    </w:lvl>
    <w:lvl w:ilvl="5" w:tplc="0C0A001B" w:tentative="1">
      <w:start w:val="1"/>
      <w:numFmt w:val="lowerRoman"/>
      <w:lvlText w:val="%6."/>
      <w:lvlJc w:val="right"/>
      <w:pPr>
        <w:ind w:left="4060" w:hanging="180"/>
      </w:pPr>
    </w:lvl>
    <w:lvl w:ilvl="6" w:tplc="0C0A000F" w:tentative="1">
      <w:start w:val="1"/>
      <w:numFmt w:val="decimal"/>
      <w:lvlText w:val="%7."/>
      <w:lvlJc w:val="left"/>
      <w:pPr>
        <w:ind w:left="4780" w:hanging="360"/>
      </w:pPr>
    </w:lvl>
    <w:lvl w:ilvl="7" w:tplc="0C0A0019" w:tentative="1">
      <w:start w:val="1"/>
      <w:numFmt w:val="lowerLetter"/>
      <w:lvlText w:val="%8."/>
      <w:lvlJc w:val="left"/>
      <w:pPr>
        <w:ind w:left="5500" w:hanging="360"/>
      </w:pPr>
    </w:lvl>
    <w:lvl w:ilvl="8" w:tplc="0C0A001B" w:tentative="1">
      <w:start w:val="1"/>
      <w:numFmt w:val="lowerRoman"/>
      <w:lvlText w:val="%9."/>
      <w:lvlJc w:val="right"/>
      <w:pPr>
        <w:ind w:left="6220" w:hanging="180"/>
      </w:pPr>
    </w:lvl>
  </w:abstractNum>
  <w:abstractNum w:abstractNumId="21" w15:restartNumberingAfterBreak="0">
    <w:nsid w:val="50B14DF7"/>
    <w:multiLevelType w:val="hybridMultilevel"/>
    <w:tmpl w:val="B0C8644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7">
      <w:start w:val="1"/>
      <w:numFmt w:val="lowerLetter"/>
      <w:lvlText w:val="%3)"/>
      <w:lvlJc w:val="lef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6C4586E"/>
    <w:multiLevelType w:val="hybridMultilevel"/>
    <w:tmpl w:val="C47A22A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7506A80"/>
    <w:multiLevelType w:val="hybridMultilevel"/>
    <w:tmpl w:val="E9A27EE4"/>
    <w:lvl w:ilvl="0" w:tplc="9C9EE8D6">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A326F85"/>
    <w:multiLevelType w:val="hybridMultilevel"/>
    <w:tmpl w:val="4E48736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F700D72"/>
    <w:multiLevelType w:val="hybridMultilevel"/>
    <w:tmpl w:val="C0922EC4"/>
    <w:lvl w:ilvl="0" w:tplc="34B46C8A">
      <w:start w:val="1"/>
      <w:numFmt w:val="lowerLetter"/>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6" w15:restartNumberingAfterBreak="0">
    <w:nsid w:val="697B5DD4"/>
    <w:multiLevelType w:val="hybridMultilevel"/>
    <w:tmpl w:val="A7364D0E"/>
    <w:lvl w:ilvl="0" w:tplc="0C0A0001">
      <w:start w:val="1"/>
      <w:numFmt w:val="bullet"/>
      <w:lvlText w:val=""/>
      <w:lvlJc w:val="left"/>
      <w:pPr>
        <w:tabs>
          <w:tab w:val="num" w:pos="720"/>
        </w:tabs>
        <w:ind w:left="720" w:hanging="360"/>
      </w:pPr>
      <w:rPr>
        <w:rFonts w:ascii="Arial" w:hAnsi="Arial" w:hint="default"/>
      </w:rPr>
    </w:lvl>
    <w:lvl w:ilvl="1" w:tplc="0C0A0003">
      <w:start w:val="1"/>
      <w:numFmt w:val="bullet"/>
      <w:lvlText w:val="o"/>
      <w:lvlJc w:val="left"/>
      <w:pPr>
        <w:tabs>
          <w:tab w:val="num" w:pos="1440"/>
        </w:tabs>
        <w:ind w:left="1440" w:hanging="360"/>
      </w:pPr>
      <w:rPr>
        <w:rFonts w:ascii="Arial" w:hAnsi="Arial" w:cs="Arial" w:hint="default"/>
      </w:rPr>
    </w:lvl>
    <w:lvl w:ilvl="2" w:tplc="0C0A0005" w:tentative="1">
      <w:start w:val="1"/>
      <w:numFmt w:val="bullet"/>
      <w:lvlText w:val=""/>
      <w:lvlJc w:val="left"/>
      <w:pPr>
        <w:tabs>
          <w:tab w:val="num" w:pos="2160"/>
        </w:tabs>
        <w:ind w:left="2160" w:hanging="360"/>
      </w:pPr>
      <w:rPr>
        <w:rFonts w:ascii="Arial" w:hAnsi="Arial" w:hint="default"/>
      </w:rPr>
    </w:lvl>
    <w:lvl w:ilvl="3" w:tplc="0C0A0001" w:tentative="1">
      <w:start w:val="1"/>
      <w:numFmt w:val="bullet"/>
      <w:lvlText w:val=""/>
      <w:lvlJc w:val="left"/>
      <w:pPr>
        <w:tabs>
          <w:tab w:val="num" w:pos="2880"/>
        </w:tabs>
        <w:ind w:left="2880" w:hanging="360"/>
      </w:pPr>
      <w:rPr>
        <w:rFonts w:ascii="Arial" w:hAnsi="Arial" w:hint="default"/>
      </w:rPr>
    </w:lvl>
    <w:lvl w:ilvl="4" w:tplc="0C0A0003" w:tentative="1">
      <w:start w:val="1"/>
      <w:numFmt w:val="bullet"/>
      <w:lvlText w:val="o"/>
      <w:lvlJc w:val="left"/>
      <w:pPr>
        <w:tabs>
          <w:tab w:val="num" w:pos="3600"/>
        </w:tabs>
        <w:ind w:left="3600" w:hanging="360"/>
      </w:pPr>
      <w:rPr>
        <w:rFonts w:ascii="Arial" w:hAnsi="Arial" w:cs="Arial" w:hint="default"/>
      </w:rPr>
    </w:lvl>
    <w:lvl w:ilvl="5" w:tplc="0C0A0005" w:tentative="1">
      <w:start w:val="1"/>
      <w:numFmt w:val="bullet"/>
      <w:lvlText w:val=""/>
      <w:lvlJc w:val="left"/>
      <w:pPr>
        <w:tabs>
          <w:tab w:val="num" w:pos="4320"/>
        </w:tabs>
        <w:ind w:left="4320" w:hanging="360"/>
      </w:pPr>
      <w:rPr>
        <w:rFonts w:ascii="Arial" w:hAnsi="Arial" w:hint="default"/>
      </w:rPr>
    </w:lvl>
    <w:lvl w:ilvl="6" w:tplc="0C0A0001" w:tentative="1">
      <w:start w:val="1"/>
      <w:numFmt w:val="bullet"/>
      <w:lvlText w:val=""/>
      <w:lvlJc w:val="left"/>
      <w:pPr>
        <w:tabs>
          <w:tab w:val="num" w:pos="5040"/>
        </w:tabs>
        <w:ind w:left="5040" w:hanging="360"/>
      </w:pPr>
      <w:rPr>
        <w:rFonts w:ascii="Arial" w:hAnsi="Arial" w:hint="default"/>
      </w:rPr>
    </w:lvl>
    <w:lvl w:ilvl="7" w:tplc="0C0A0003" w:tentative="1">
      <w:start w:val="1"/>
      <w:numFmt w:val="bullet"/>
      <w:lvlText w:val="o"/>
      <w:lvlJc w:val="left"/>
      <w:pPr>
        <w:tabs>
          <w:tab w:val="num" w:pos="5760"/>
        </w:tabs>
        <w:ind w:left="5760" w:hanging="360"/>
      </w:pPr>
      <w:rPr>
        <w:rFonts w:ascii="Arial" w:hAnsi="Arial" w:cs="Arial" w:hint="default"/>
      </w:rPr>
    </w:lvl>
    <w:lvl w:ilvl="8" w:tplc="0C0A0005"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E404EF3"/>
    <w:multiLevelType w:val="hybridMultilevel"/>
    <w:tmpl w:val="1E8E9F62"/>
    <w:lvl w:ilvl="0" w:tplc="0C0A0013">
      <w:start w:val="1"/>
      <w:numFmt w:val="upperRoman"/>
      <w:lvlText w:val="%1."/>
      <w:lvlJc w:val="right"/>
      <w:pPr>
        <w:ind w:left="1180" w:hanging="360"/>
      </w:pPr>
    </w:lvl>
    <w:lvl w:ilvl="1" w:tplc="0C0A0019" w:tentative="1">
      <w:start w:val="1"/>
      <w:numFmt w:val="lowerLetter"/>
      <w:lvlText w:val="%2."/>
      <w:lvlJc w:val="left"/>
      <w:pPr>
        <w:ind w:left="1900" w:hanging="360"/>
      </w:pPr>
    </w:lvl>
    <w:lvl w:ilvl="2" w:tplc="0C0A001B" w:tentative="1">
      <w:start w:val="1"/>
      <w:numFmt w:val="lowerRoman"/>
      <w:lvlText w:val="%3."/>
      <w:lvlJc w:val="right"/>
      <w:pPr>
        <w:ind w:left="2620" w:hanging="180"/>
      </w:pPr>
    </w:lvl>
    <w:lvl w:ilvl="3" w:tplc="0C0A000F" w:tentative="1">
      <w:start w:val="1"/>
      <w:numFmt w:val="decimal"/>
      <w:lvlText w:val="%4."/>
      <w:lvlJc w:val="left"/>
      <w:pPr>
        <w:ind w:left="3340" w:hanging="360"/>
      </w:pPr>
    </w:lvl>
    <w:lvl w:ilvl="4" w:tplc="0C0A0019" w:tentative="1">
      <w:start w:val="1"/>
      <w:numFmt w:val="lowerLetter"/>
      <w:lvlText w:val="%5."/>
      <w:lvlJc w:val="left"/>
      <w:pPr>
        <w:ind w:left="4060" w:hanging="360"/>
      </w:pPr>
    </w:lvl>
    <w:lvl w:ilvl="5" w:tplc="0C0A001B" w:tentative="1">
      <w:start w:val="1"/>
      <w:numFmt w:val="lowerRoman"/>
      <w:lvlText w:val="%6."/>
      <w:lvlJc w:val="right"/>
      <w:pPr>
        <w:ind w:left="4780" w:hanging="180"/>
      </w:pPr>
    </w:lvl>
    <w:lvl w:ilvl="6" w:tplc="0C0A000F" w:tentative="1">
      <w:start w:val="1"/>
      <w:numFmt w:val="decimal"/>
      <w:lvlText w:val="%7."/>
      <w:lvlJc w:val="left"/>
      <w:pPr>
        <w:ind w:left="5500" w:hanging="360"/>
      </w:pPr>
    </w:lvl>
    <w:lvl w:ilvl="7" w:tplc="0C0A0019" w:tentative="1">
      <w:start w:val="1"/>
      <w:numFmt w:val="lowerLetter"/>
      <w:lvlText w:val="%8."/>
      <w:lvlJc w:val="left"/>
      <w:pPr>
        <w:ind w:left="6220" w:hanging="360"/>
      </w:pPr>
    </w:lvl>
    <w:lvl w:ilvl="8" w:tplc="0C0A001B" w:tentative="1">
      <w:start w:val="1"/>
      <w:numFmt w:val="lowerRoman"/>
      <w:lvlText w:val="%9."/>
      <w:lvlJc w:val="right"/>
      <w:pPr>
        <w:ind w:left="6940" w:hanging="180"/>
      </w:pPr>
    </w:lvl>
  </w:abstractNum>
  <w:abstractNum w:abstractNumId="28" w15:restartNumberingAfterBreak="0">
    <w:nsid w:val="6F6E170B"/>
    <w:multiLevelType w:val="hybridMultilevel"/>
    <w:tmpl w:val="5846EE3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1F929C7"/>
    <w:multiLevelType w:val="hybridMultilevel"/>
    <w:tmpl w:val="CC64C0D0"/>
    <w:lvl w:ilvl="0" w:tplc="240A0013">
      <w:start w:val="1"/>
      <w:numFmt w:val="upperRoman"/>
      <w:lvlText w:val="%1."/>
      <w:lvlJc w:val="right"/>
      <w:pPr>
        <w:ind w:left="180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5E114E5"/>
    <w:multiLevelType w:val="hybridMultilevel"/>
    <w:tmpl w:val="35E4FE8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67C46A7"/>
    <w:multiLevelType w:val="hybridMultilevel"/>
    <w:tmpl w:val="19C4CD2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DCC57BE"/>
    <w:multiLevelType w:val="hybridMultilevel"/>
    <w:tmpl w:val="7E20097E"/>
    <w:lvl w:ilvl="0" w:tplc="240A0017">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52509795">
    <w:abstractNumId w:val="26"/>
  </w:num>
  <w:num w:numId="2" w16cid:durableId="1828940204">
    <w:abstractNumId w:val="32"/>
  </w:num>
  <w:num w:numId="3" w16cid:durableId="1916276798">
    <w:abstractNumId w:val="15"/>
  </w:num>
  <w:num w:numId="4" w16cid:durableId="1839464511">
    <w:abstractNumId w:val="11"/>
  </w:num>
  <w:num w:numId="5" w16cid:durableId="2059164766">
    <w:abstractNumId w:val="3"/>
  </w:num>
  <w:num w:numId="6" w16cid:durableId="1197960436">
    <w:abstractNumId w:val="16"/>
  </w:num>
  <w:num w:numId="7" w16cid:durableId="1909609753">
    <w:abstractNumId w:val="10"/>
  </w:num>
  <w:num w:numId="8" w16cid:durableId="1006446286">
    <w:abstractNumId w:val="31"/>
  </w:num>
  <w:num w:numId="9" w16cid:durableId="2125998597">
    <w:abstractNumId w:val="22"/>
  </w:num>
  <w:num w:numId="10" w16cid:durableId="159471792">
    <w:abstractNumId w:val="30"/>
  </w:num>
  <w:num w:numId="11" w16cid:durableId="1560627285">
    <w:abstractNumId w:val="5"/>
  </w:num>
  <w:num w:numId="12" w16cid:durableId="23750052">
    <w:abstractNumId w:val="28"/>
  </w:num>
  <w:num w:numId="13" w16cid:durableId="1698460125">
    <w:abstractNumId w:val="23"/>
  </w:num>
  <w:num w:numId="14" w16cid:durableId="1884516341">
    <w:abstractNumId w:val="14"/>
  </w:num>
  <w:num w:numId="15" w16cid:durableId="139613725">
    <w:abstractNumId w:val="24"/>
  </w:num>
  <w:num w:numId="16" w16cid:durableId="188102582">
    <w:abstractNumId w:val="7"/>
  </w:num>
  <w:num w:numId="17" w16cid:durableId="1142380878">
    <w:abstractNumId w:val="6"/>
  </w:num>
  <w:num w:numId="18" w16cid:durableId="543060985">
    <w:abstractNumId w:val="0"/>
  </w:num>
  <w:num w:numId="19" w16cid:durableId="1199511383">
    <w:abstractNumId w:val="0"/>
  </w:num>
  <w:num w:numId="20" w16cid:durableId="203792430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59143421">
    <w:abstractNumId w:val="19"/>
  </w:num>
  <w:num w:numId="22" w16cid:durableId="1164400103">
    <w:abstractNumId w:val="13"/>
  </w:num>
  <w:num w:numId="23" w16cid:durableId="681468846">
    <w:abstractNumId w:val="8"/>
  </w:num>
  <w:num w:numId="24" w16cid:durableId="89010057">
    <w:abstractNumId w:val="4"/>
  </w:num>
  <w:num w:numId="25" w16cid:durableId="1053381539">
    <w:abstractNumId w:val="9"/>
  </w:num>
  <w:num w:numId="26" w16cid:durableId="431705994">
    <w:abstractNumId w:val="1"/>
  </w:num>
  <w:num w:numId="27" w16cid:durableId="1166936345">
    <w:abstractNumId w:val="12"/>
  </w:num>
  <w:num w:numId="28" w16cid:durableId="1420520623">
    <w:abstractNumId w:val="20"/>
  </w:num>
  <w:num w:numId="29" w16cid:durableId="444885225">
    <w:abstractNumId w:val="27"/>
  </w:num>
  <w:num w:numId="30" w16cid:durableId="1919900220">
    <w:abstractNumId w:val="17"/>
  </w:num>
  <w:num w:numId="31" w16cid:durableId="1378238259">
    <w:abstractNumId w:val="2"/>
  </w:num>
  <w:num w:numId="32" w16cid:durableId="954555223">
    <w:abstractNumId w:val="21"/>
  </w:num>
  <w:num w:numId="33" w16cid:durableId="910849698">
    <w:abstractNumId w:val="18"/>
  </w:num>
  <w:num w:numId="34" w16cid:durableId="129129272">
    <w:abstractNumId w:val="2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4802"/>
    <w:rsid w:val="00002C8B"/>
    <w:rsid w:val="000046E5"/>
    <w:rsid w:val="000076A1"/>
    <w:rsid w:val="00023D76"/>
    <w:rsid w:val="000304A3"/>
    <w:rsid w:val="0003751B"/>
    <w:rsid w:val="00042FCB"/>
    <w:rsid w:val="0004727C"/>
    <w:rsid w:val="000542EC"/>
    <w:rsid w:val="000567AF"/>
    <w:rsid w:val="00077A20"/>
    <w:rsid w:val="000946BF"/>
    <w:rsid w:val="000D077D"/>
    <w:rsid w:val="000E0DE9"/>
    <w:rsid w:val="000F59DE"/>
    <w:rsid w:val="0010360F"/>
    <w:rsid w:val="001111C3"/>
    <w:rsid w:val="001239E2"/>
    <w:rsid w:val="0012748D"/>
    <w:rsid w:val="00127526"/>
    <w:rsid w:val="0015069F"/>
    <w:rsid w:val="00162648"/>
    <w:rsid w:val="0017552B"/>
    <w:rsid w:val="001A26A9"/>
    <w:rsid w:val="001A4518"/>
    <w:rsid w:val="001A53F8"/>
    <w:rsid w:val="001A5F39"/>
    <w:rsid w:val="001B0E30"/>
    <w:rsid w:val="001B33F6"/>
    <w:rsid w:val="001C03F5"/>
    <w:rsid w:val="001E682A"/>
    <w:rsid w:val="001F3598"/>
    <w:rsid w:val="001F672A"/>
    <w:rsid w:val="00213C7B"/>
    <w:rsid w:val="00221D8E"/>
    <w:rsid w:val="00225E57"/>
    <w:rsid w:val="0022683B"/>
    <w:rsid w:val="00235527"/>
    <w:rsid w:val="0024691B"/>
    <w:rsid w:val="00250FA1"/>
    <w:rsid w:val="00262D75"/>
    <w:rsid w:val="002772DD"/>
    <w:rsid w:val="0028234D"/>
    <w:rsid w:val="002847EC"/>
    <w:rsid w:val="002855A4"/>
    <w:rsid w:val="00287DB8"/>
    <w:rsid w:val="002A3110"/>
    <w:rsid w:val="002A6C56"/>
    <w:rsid w:val="002B1DAF"/>
    <w:rsid w:val="002B487A"/>
    <w:rsid w:val="002C05DF"/>
    <w:rsid w:val="002E47C5"/>
    <w:rsid w:val="002E6D30"/>
    <w:rsid w:val="002F38E5"/>
    <w:rsid w:val="003153FF"/>
    <w:rsid w:val="0033172C"/>
    <w:rsid w:val="0033225C"/>
    <w:rsid w:val="00344686"/>
    <w:rsid w:val="0035202C"/>
    <w:rsid w:val="00355556"/>
    <w:rsid w:val="0035641A"/>
    <w:rsid w:val="0037474A"/>
    <w:rsid w:val="00380674"/>
    <w:rsid w:val="003975CE"/>
    <w:rsid w:val="003A4D27"/>
    <w:rsid w:val="003C5BB7"/>
    <w:rsid w:val="003C6B8A"/>
    <w:rsid w:val="003D5085"/>
    <w:rsid w:val="003F2102"/>
    <w:rsid w:val="004013FB"/>
    <w:rsid w:val="00425CF4"/>
    <w:rsid w:val="00432C87"/>
    <w:rsid w:val="00436681"/>
    <w:rsid w:val="00441D49"/>
    <w:rsid w:val="004437C0"/>
    <w:rsid w:val="00456858"/>
    <w:rsid w:val="00464D67"/>
    <w:rsid w:val="00472778"/>
    <w:rsid w:val="00475DD6"/>
    <w:rsid w:val="004819FB"/>
    <w:rsid w:val="0048233E"/>
    <w:rsid w:val="004B3D6B"/>
    <w:rsid w:val="004C4E86"/>
    <w:rsid w:val="004E18E7"/>
    <w:rsid w:val="004F5102"/>
    <w:rsid w:val="004F6211"/>
    <w:rsid w:val="0050501D"/>
    <w:rsid w:val="00525E62"/>
    <w:rsid w:val="0053133E"/>
    <w:rsid w:val="00535486"/>
    <w:rsid w:val="005422C1"/>
    <w:rsid w:val="00553926"/>
    <w:rsid w:val="0055411C"/>
    <w:rsid w:val="00562E97"/>
    <w:rsid w:val="005721C6"/>
    <w:rsid w:val="005726FE"/>
    <w:rsid w:val="00584D91"/>
    <w:rsid w:val="005C1D4B"/>
    <w:rsid w:val="005C44C4"/>
    <w:rsid w:val="005C6958"/>
    <w:rsid w:val="005D1AEC"/>
    <w:rsid w:val="006043A1"/>
    <w:rsid w:val="006077B3"/>
    <w:rsid w:val="00607AB0"/>
    <w:rsid w:val="00623E6D"/>
    <w:rsid w:val="006637F2"/>
    <w:rsid w:val="006656AF"/>
    <w:rsid w:val="00667C55"/>
    <w:rsid w:val="00676121"/>
    <w:rsid w:val="00680C1A"/>
    <w:rsid w:val="00694802"/>
    <w:rsid w:val="006C2AC7"/>
    <w:rsid w:val="006C7EFD"/>
    <w:rsid w:val="006D0099"/>
    <w:rsid w:val="006D70C3"/>
    <w:rsid w:val="006E3357"/>
    <w:rsid w:val="006E3362"/>
    <w:rsid w:val="006E47B5"/>
    <w:rsid w:val="006E52CB"/>
    <w:rsid w:val="006E621A"/>
    <w:rsid w:val="006E695A"/>
    <w:rsid w:val="006F7B94"/>
    <w:rsid w:val="007306A6"/>
    <w:rsid w:val="00742327"/>
    <w:rsid w:val="00745466"/>
    <w:rsid w:val="0075712F"/>
    <w:rsid w:val="00782C3C"/>
    <w:rsid w:val="007845DC"/>
    <w:rsid w:val="00786188"/>
    <w:rsid w:val="00791B38"/>
    <w:rsid w:val="007929C9"/>
    <w:rsid w:val="00796E0F"/>
    <w:rsid w:val="007A5B6D"/>
    <w:rsid w:val="007D0ABE"/>
    <w:rsid w:val="007D7E25"/>
    <w:rsid w:val="007E16BF"/>
    <w:rsid w:val="007F3DBB"/>
    <w:rsid w:val="008051C6"/>
    <w:rsid w:val="008122DE"/>
    <w:rsid w:val="00814578"/>
    <w:rsid w:val="0083502D"/>
    <w:rsid w:val="00843303"/>
    <w:rsid w:val="00846D07"/>
    <w:rsid w:val="008476C4"/>
    <w:rsid w:val="00857D15"/>
    <w:rsid w:val="00865F61"/>
    <w:rsid w:val="008679EF"/>
    <w:rsid w:val="0087355E"/>
    <w:rsid w:val="00884600"/>
    <w:rsid w:val="008A1A47"/>
    <w:rsid w:val="008A338F"/>
    <w:rsid w:val="008A7E87"/>
    <w:rsid w:val="008A7EBB"/>
    <w:rsid w:val="008B6F7B"/>
    <w:rsid w:val="008B77C0"/>
    <w:rsid w:val="008C3AD8"/>
    <w:rsid w:val="008C7E45"/>
    <w:rsid w:val="008E214D"/>
    <w:rsid w:val="008E2668"/>
    <w:rsid w:val="008F4D8B"/>
    <w:rsid w:val="008F774E"/>
    <w:rsid w:val="0090392A"/>
    <w:rsid w:val="00907229"/>
    <w:rsid w:val="00907773"/>
    <w:rsid w:val="00923506"/>
    <w:rsid w:val="00931706"/>
    <w:rsid w:val="0093404D"/>
    <w:rsid w:val="00934981"/>
    <w:rsid w:val="009633BD"/>
    <w:rsid w:val="00965A52"/>
    <w:rsid w:val="00982091"/>
    <w:rsid w:val="00983211"/>
    <w:rsid w:val="00996960"/>
    <w:rsid w:val="009A010A"/>
    <w:rsid w:val="009A02A3"/>
    <w:rsid w:val="009A1106"/>
    <w:rsid w:val="009B4644"/>
    <w:rsid w:val="009F5EA5"/>
    <w:rsid w:val="00A07C8B"/>
    <w:rsid w:val="00A27335"/>
    <w:rsid w:val="00A3316A"/>
    <w:rsid w:val="00A3322E"/>
    <w:rsid w:val="00A3491A"/>
    <w:rsid w:val="00A353EF"/>
    <w:rsid w:val="00A358BA"/>
    <w:rsid w:val="00A37BC9"/>
    <w:rsid w:val="00A52CFC"/>
    <w:rsid w:val="00A57174"/>
    <w:rsid w:val="00A65E51"/>
    <w:rsid w:val="00A6629F"/>
    <w:rsid w:val="00A72D8D"/>
    <w:rsid w:val="00A81C74"/>
    <w:rsid w:val="00A82A01"/>
    <w:rsid w:val="00A84ED3"/>
    <w:rsid w:val="00AA3FE5"/>
    <w:rsid w:val="00AA6D07"/>
    <w:rsid w:val="00AB1AB5"/>
    <w:rsid w:val="00AB361F"/>
    <w:rsid w:val="00AD1625"/>
    <w:rsid w:val="00AD1A98"/>
    <w:rsid w:val="00AD3609"/>
    <w:rsid w:val="00AD46C5"/>
    <w:rsid w:val="00AD46F1"/>
    <w:rsid w:val="00AE12A1"/>
    <w:rsid w:val="00B240E4"/>
    <w:rsid w:val="00B358EF"/>
    <w:rsid w:val="00B36920"/>
    <w:rsid w:val="00B413EC"/>
    <w:rsid w:val="00B662BB"/>
    <w:rsid w:val="00B91FBB"/>
    <w:rsid w:val="00B97C9E"/>
    <w:rsid w:val="00BB3548"/>
    <w:rsid w:val="00BC5BAF"/>
    <w:rsid w:val="00BE3C8A"/>
    <w:rsid w:val="00BF0BF3"/>
    <w:rsid w:val="00BF11E7"/>
    <w:rsid w:val="00BF13E1"/>
    <w:rsid w:val="00C13C42"/>
    <w:rsid w:val="00C3040B"/>
    <w:rsid w:val="00C3452D"/>
    <w:rsid w:val="00C35977"/>
    <w:rsid w:val="00C37619"/>
    <w:rsid w:val="00C4352E"/>
    <w:rsid w:val="00C52734"/>
    <w:rsid w:val="00C61BC3"/>
    <w:rsid w:val="00C76AC2"/>
    <w:rsid w:val="00C816F8"/>
    <w:rsid w:val="00C9363A"/>
    <w:rsid w:val="00C96C0A"/>
    <w:rsid w:val="00CA7264"/>
    <w:rsid w:val="00CB020A"/>
    <w:rsid w:val="00CB226F"/>
    <w:rsid w:val="00CE2A89"/>
    <w:rsid w:val="00CE39CC"/>
    <w:rsid w:val="00CE69D0"/>
    <w:rsid w:val="00CF3CAC"/>
    <w:rsid w:val="00CF5B0B"/>
    <w:rsid w:val="00D0333F"/>
    <w:rsid w:val="00D10204"/>
    <w:rsid w:val="00D25B3E"/>
    <w:rsid w:val="00D55356"/>
    <w:rsid w:val="00D56386"/>
    <w:rsid w:val="00D7379A"/>
    <w:rsid w:val="00D914D3"/>
    <w:rsid w:val="00D922F9"/>
    <w:rsid w:val="00D97F28"/>
    <w:rsid w:val="00DA0252"/>
    <w:rsid w:val="00DA1157"/>
    <w:rsid w:val="00DA30F5"/>
    <w:rsid w:val="00DD4BC8"/>
    <w:rsid w:val="00DE316B"/>
    <w:rsid w:val="00DE614D"/>
    <w:rsid w:val="00DE712D"/>
    <w:rsid w:val="00E00F42"/>
    <w:rsid w:val="00E21FC9"/>
    <w:rsid w:val="00E340DD"/>
    <w:rsid w:val="00E466B0"/>
    <w:rsid w:val="00E46B9F"/>
    <w:rsid w:val="00E47834"/>
    <w:rsid w:val="00E60853"/>
    <w:rsid w:val="00E65B36"/>
    <w:rsid w:val="00E80A03"/>
    <w:rsid w:val="00E9392D"/>
    <w:rsid w:val="00E94AFF"/>
    <w:rsid w:val="00EA0B13"/>
    <w:rsid w:val="00EA197D"/>
    <w:rsid w:val="00EA3513"/>
    <w:rsid w:val="00EA6182"/>
    <w:rsid w:val="00EB1311"/>
    <w:rsid w:val="00EC638B"/>
    <w:rsid w:val="00ED4A12"/>
    <w:rsid w:val="00ED7B44"/>
    <w:rsid w:val="00EE7C35"/>
    <w:rsid w:val="00EF45D9"/>
    <w:rsid w:val="00EF5925"/>
    <w:rsid w:val="00EF6940"/>
    <w:rsid w:val="00F00D77"/>
    <w:rsid w:val="00F04C8F"/>
    <w:rsid w:val="00F11F98"/>
    <w:rsid w:val="00F216DB"/>
    <w:rsid w:val="00F3414B"/>
    <w:rsid w:val="00F405BD"/>
    <w:rsid w:val="00F43143"/>
    <w:rsid w:val="00F6183B"/>
    <w:rsid w:val="00F76159"/>
    <w:rsid w:val="00F9767F"/>
    <w:rsid w:val="00FA0336"/>
    <w:rsid w:val="00FA651C"/>
    <w:rsid w:val="00FB1BD7"/>
    <w:rsid w:val="00FB2C4E"/>
    <w:rsid w:val="00FB66CB"/>
    <w:rsid w:val="00FE1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40123"/>
  <w15:docId w15:val="{F747D2CC-89B8-4832-AC40-2A9BF1218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sz w:val="24"/>
        <w:szCs w:val="24"/>
        <w:lang w:val="en-US" w:eastAsia="Aria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87A"/>
    <w:pPr>
      <w:spacing w:after="0" w:line="240" w:lineRule="auto"/>
    </w:pPr>
    <w:rPr>
      <w:rFonts w:ascii="Arial" w:eastAsia="Arial" w:hAnsi="Arial" w:cs="Arial"/>
      <w:sz w:val="24"/>
      <w:szCs w:val="24"/>
      <w:lang w:val="es-ES" w:eastAsia="Arial"/>
    </w:rPr>
  </w:style>
  <w:style w:type="paragraph" w:styleId="Ttulo1">
    <w:name w:val="heading 1"/>
    <w:basedOn w:val="Normal"/>
    <w:next w:val="Normal"/>
    <w:link w:val="Ttulo1Car"/>
    <w:qFormat/>
    <w:rsid w:val="002B487A"/>
    <w:pPr>
      <w:keepNext/>
      <w:outlineLvl w:val="0"/>
    </w:pPr>
    <w:rPr>
      <w:rFonts w:ascii="Arial" w:hAnsi="Arial"/>
      <w:b/>
      <w:bCs/>
    </w:rPr>
  </w:style>
  <w:style w:type="paragraph" w:styleId="Ttulo2">
    <w:name w:val="heading 2"/>
    <w:basedOn w:val="Normal"/>
    <w:next w:val="Normal"/>
    <w:link w:val="Ttulo2Car"/>
    <w:uiPriority w:val="9"/>
    <w:qFormat/>
    <w:rsid w:val="002B487A"/>
    <w:pPr>
      <w:keepNext/>
      <w:jc w:val="right"/>
      <w:outlineLvl w:val="1"/>
    </w:pPr>
    <w:rPr>
      <w:rFonts w:ascii="Arial" w:hAnsi="Arial"/>
      <w:b/>
      <w:b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2B487A"/>
    <w:rPr>
      <w:rFonts w:ascii="Arial" w:eastAsia="Arial" w:hAnsi="Arial" w:cs="Arial"/>
      <w:b/>
      <w:bCs/>
      <w:sz w:val="24"/>
      <w:szCs w:val="24"/>
      <w:lang w:val="es-ES" w:eastAsia="Arial"/>
    </w:rPr>
  </w:style>
  <w:style w:type="character" w:customStyle="1" w:styleId="Ttulo2Car">
    <w:name w:val="Título 2 Car"/>
    <w:basedOn w:val="Fuentedeprrafopredeter"/>
    <w:link w:val="Ttulo2"/>
    <w:uiPriority w:val="9"/>
    <w:rsid w:val="002B487A"/>
    <w:rPr>
      <w:rFonts w:ascii="Arial" w:eastAsia="Arial" w:hAnsi="Arial" w:cs="Arial"/>
      <w:b/>
      <w:bCs/>
      <w:sz w:val="24"/>
      <w:szCs w:val="24"/>
      <w:lang w:val="es-ES" w:eastAsia="Arial"/>
    </w:rPr>
  </w:style>
  <w:style w:type="character" w:styleId="Hipervnculo">
    <w:name w:val="Hyperlink"/>
    <w:basedOn w:val="Fuentedeprrafopredeter"/>
    <w:rsid w:val="002B487A"/>
    <w:rPr>
      <w:color w:val="000000"/>
      <w:u w:val="single"/>
    </w:rPr>
  </w:style>
  <w:style w:type="paragraph" w:styleId="Textodeglobo">
    <w:name w:val="Balloon Text"/>
    <w:basedOn w:val="Normal"/>
    <w:link w:val="TextodegloboCar"/>
    <w:uiPriority w:val="99"/>
    <w:semiHidden/>
    <w:unhideWhenUsed/>
    <w:rsid w:val="002B487A"/>
    <w:rPr>
      <w:rFonts w:ascii="Arial" w:hAnsi="Arial" w:cs="Arial"/>
      <w:sz w:val="24"/>
      <w:szCs w:val="24"/>
    </w:rPr>
  </w:style>
  <w:style w:type="character" w:customStyle="1" w:styleId="TextodegloboCar">
    <w:name w:val="Texto de globo Car"/>
    <w:basedOn w:val="Fuentedeprrafopredeter"/>
    <w:link w:val="Textodeglobo"/>
    <w:uiPriority w:val="99"/>
    <w:semiHidden/>
    <w:rsid w:val="002B487A"/>
    <w:rPr>
      <w:rFonts w:ascii="Arial" w:eastAsia="Arial" w:hAnsi="Arial" w:cs="Arial"/>
      <w:sz w:val="24"/>
      <w:szCs w:val="24"/>
      <w:lang w:val="es-ES" w:eastAsia="Arial"/>
    </w:rPr>
  </w:style>
  <w:style w:type="paragraph" w:styleId="Prrafodelista">
    <w:name w:val="List Paragraph"/>
    <w:basedOn w:val="Normal"/>
    <w:uiPriority w:val="34"/>
    <w:qFormat/>
    <w:rsid w:val="0055411C"/>
    <w:pPr>
      <w:ind w:left="708"/>
    </w:pPr>
  </w:style>
  <w:style w:type="paragraph" w:styleId="Descripcin">
    <w:name w:val="caption"/>
    <w:basedOn w:val="Normal"/>
    <w:next w:val="Normal"/>
    <w:qFormat/>
    <w:rsid w:val="0055411C"/>
    <w:rPr>
      <w:b/>
      <w:bCs/>
      <w:sz w:val="24"/>
      <w:szCs w:val="24"/>
    </w:rPr>
  </w:style>
  <w:style w:type="table" w:styleId="Tablaconcuadrcula">
    <w:name w:val="Table Grid"/>
    <w:basedOn w:val="Tablanormal"/>
    <w:rsid w:val="001F6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unhideWhenUsed/>
    <w:rsid w:val="00667C55"/>
    <w:rPr>
      <w:sz w:val="24"/>
      <w:szCs w:val="24"/>
    </w:rPr>
  </w:style>
  <w:style w:type="character" w:customStyle="1" w:styleId="TextonotapieCar">
    <w:name w:val="Texto nota pie Car"/>
    <w:basedOn w:val="Fuentedeprrafopredeter"/>
    <w:link w:val="Textonotapie"/>
    <w:uiPriority w:val="99"/>
    <w:rsid w:val="00667C55"/>
    <w:rPr>
      <w:rFonts w:ascii="Arial" w:eastAsia="Arial" w:hAnsi="Arial" w:cs="Arial"/>
      <w:sz w:val="24"/>
      <w:szCs w:val="24"/>
      <w:lang w:val="es-ES" w:eastAsia="Arial"/>
    </w:rPr>
  </w:style>
  <w:style w:type="character" w:styleId="Refdenotaalpie">
    <w:name w:val="footnote reference"/>
    <w:basedOn w:val="Fuentedeprrafopredeter"/>
    <w:uiPriority w:val="99"/>
    <w:unhideWhenUsed/>
    <w:rsid w:val="00667C55"/>
    <w:rPr>
      <w:vertAlign w:val="superscript"/>
    </w:rPr>
  </w:style>
  <w:style w:type="character" w:styleId="Textodelmarcadordeposicin">
    <w:name w:val="Placeholder Text"/>
    <w:basedOn w:val="Fuentedeprrafopredeter"/>
    <w:uiPriority w:val="99"/>
    <w:semiHidden/>
    <w:rsid w:val="00667C55"/>
    <w:rPr>
      <w:color w:val="000000"/>
    </w:rPr>
  </w:style>
  <w:style w:type="paragraph" w:customStyle="1" w:styleId="Default">
    <w:name w:val="Default"/>
    <w:rsid w:val="004B3D6B"/>
    <w:pPr>
      <w:autoSpaceDE w:val="0"/>
      <w:autoSpaceDN w:val="0"/>
      <w:adjustRightInd w:val="0"/>
      <w:spacing w:after="0" w:line="240" w:lineRule="auto"/>
    </w:pPr>
    <w:rPr>
      <w:rFonts w:ascii="Arial" w:hAnsi="Arial" w:cs="Arial"/>
      <w:color w:val="000000"/>
      <w:sz w:val="24"/>
      <w:szCs w:val="24"/>
      <w:lang w:val="es-CO"/>
    </w:rPr>
  </w:style>
  <w:style w:type="paragraph" w:styleId="NormalWeb">
    <w:name w:val="Normal (Web)"/>
    <w:basedOn w:val="Normal"/>
    <w:uiPriority w:val="99"/>
    <w:semiHidden/>
    <w:unhideWhenUsed/>
    <w:rsid w:val="009B4644"/>
    <w:pPr>
      <w:spacing w:before="100" w:beforeAutospacing="1" w:after="100" w:afterAutospacing="1"/>
    </w:pPr>
    <w:rPr>
      <w:rFonts/>
      <w:lang w:val="es-CO" w:eastAsia="Arial"/>
    </w:rPr>
  </w:style>
  <w:style w:type="paragraph" w:customStyle="1" w:styleId="1">
    <w:name w:val="1"/>
    <w:basedOn w:val="Normal"/>
    <w:next w:val="Sangradetextonormal"/>
    <w:rsid w:val="00A65E51"/>
    <w:pPr>
      <w:spacing w:before="120"/>
      <w:ind w:left="360"/>
    </w:pPr>
    <w:rPr>
      <w:sz w:val="24"/>
      <w:szCs w:val="24"/>
    </w:rPr>
  </w:style>
  <w:style w:type="paragraph" w:styleId="Sangradetextonormal">
    <w:name w:val="Body Text Indent"/>
    <w:basedOn w:val="Normal"/>
    <w:link w:val="SangradetextonormalCar"/>
    <w:rsid w:val="00A65E51"/>
    <w:pPr>
      <w:spacing w:after="120"/>
      <w:ind w:left="283"/>
    </w:pPr>
  </w:style>
  <w:style w:type="character" w:customStyle="1" w:styleId="SangradetextonormalCar">
    <w:name w:val="Sangría de texto normal Car"/>
    <w:basedOn w:val="Fuentedeprrafopredeter"/>
    <w:link w:val="Sangradetextonormal"/>
    <w:rsid w:val="00A65E51"/>
    <w:rPr>
      <w:rFonts w:ascii="Arial" w:eastAsia="Arial" w:hAnsi="Arial" w:cs="Arial"/>
      <w:sz w:val="24"/>
      <w:szCs w:val="24"/>
      <w:lang w:val="es-ES" w:eastAsia="Arial"/>
    </w:rPr>
  </w:style>
  <w:style w:type="paragraph" w:styleId="Listaconvietas">
    <w:name w:val="List Bullet"/>
    <w:basedOn w:val="Normal"/>
    <w:uiPriority w:val="99"/>
    <w:unhideWhenUsed/>
    <w:rsid w:val="00A65E51"/>
    <w:pPr>
      <w:numPr>
        <w:numId w:val="18"/>
      </w:numPr>
      <w:spacing w:after="160" w:line="259" w:lineRule="auto"/>
      <w:contextualSpacing/>
    </w:pPr>
    <w:rPr>
      <w:rFonts/>
      <w:sz w:val="24"/>
      <w:szCs w:val="24"/>
      <w:lang w:eastAsia="Arial"/>
    </w:rPr>
  </w:style>
  <w:style w:type="character" w:styleId="Refdecomentario">
    <w:name w:val="annotation reference"/>
    <w:basedOn w:val="Fuentedeprrafopredeter"/>
    <w:uiPriority w:val="99"/>
    <w:semiHidden/>
    <w:unhideWhenUsed/>
    <w:rsid w:val="00A65E51"/>
    <w:rPr>
      <w:sz w:val="24"/>
      <w:szCs w:val="24"/>
    </w:rPr>
  </w:style>
  <w:style w:type="paragraph" w:styleId="Textocomentario">
    <w:name w:val="annotation text"/>
    <w:basedOn w:val="Normal"/>
    <w:link w:val="TextocomentarioCar"/>
    <w:uiPriority w:val="99"/>
    <w:semiHidden/>
    <w:unhideWhenUsed/>
    <w:rsid w:val="0035202C"/>
    <w:pPr>
      <w:spacing w:after="200"/>
    </w:pPr>
    <w:rPr>
      <w:rFonts/>
      <w:sz w:val="24"/>
      <w:szCs w:val="24"/>
      <w:lang w:val="es-CO" w:eastAsia="Arial"/>
    </w:rPr>
  </w:style>
  <w:style w:type="character" w:customStyle="1" w:styleId="TextocomentarioCar">
    <w:name w:val="Texto comentario Car"/>
    <w:basedOn w:val="Fuentedeprrafopredeter"/>
    <w:link w:val="Textocomentario"/>
    <w:uiPriority w:val="99"/>
    <w:semiHidden/>
    <w:rsid w:val="0035202C"/>
    <w:rPr>
      <w:sz w:val="24"/>
      <w:szCs w:val="24"/>
      <w:lang w:val="es-CO"/>
    </w:rPr>
  </w:style>
  <w:style w:type="character" w:customStyle="1" w:styleId="AsuntodelcomentarioCar">
    <w:name w:val="Asunto del comentario Car"/>
    <w:basedOn w:val="TextocomentarioCar"/>
    <w:link w:val="Asuntodelcomentario"/>
    <w:uiPriority w:val="99"/>
    <w:semiHidden/>
    <w:rsid w:val="0035202C"/>
    <w:rPr>
      <w:b/>
      <w:bCs/>
      <w:sz w:val="24"/>
      <w:szCs w:val="24"/>
      <w:lang w:val="es-CO"/>
    </w:rPr>
  </w:style>
  <w:style w:type="paragraph" w:styleId="Asuntodelcomentario">
    <w:name w:val="annotation subject"/>
    <w:basedOn w:val="Textocomentario"/>
    <w:next w:val="Textocomentario"/>
    <w:link w:val="AsuntodelcomentarioCar"/>
    <w:uiPriority w:val="99"/>
    <w:semiHidden/>
    <w:unhideWhenUsed/>
    <w:rsid w:val="0035202C"/>
    <w:rPr>
      <w:b/>
      <w:bCs/>
    </w:rPr>
  </w:style>
  <w:style w:type="paragraph" w:styleId="Encabezado">
    <w:name w:val="header"/>
    <w:basedOn w:val="Normal"/>
    <w:link w:val="EncabezadoCar"/>
    <w:uiPriority w:val="99"/>
    <w:unhideWhenUsed/>
    <w:rsid w:val="0035202C"/>
    <w:pPr>
      <w:tabs>
        <w:tab w:val="center" w:pos="4419"/>
        <w:tab w:val="right" w:pos="8838"/>
      </w:tabs>
    </w:pPr>
    <w:rPr>
      <w:rFonts/>
      <w:sz w:val="24"/>
      <w:szCs w:val="24"/>
      <w:lang w:val="es-CO" w:eastAsia="Arial"/>
    </w:rPr>
  </w:style>
  <w:style w:type="character" w:customStyle="1" w:styleId="EncabezadoCar">
    <w:name w:val="Encabezado Car"/>
    <w:basedOn w:val="Fuentedeprrafopredeter"/>
    <w:link w:val="Encabezado"/>
    <w:uiPriority w:val="99"/>
    <w:rsid w:val="0035202C"/>
    <w:rPr>
      <w:lang w:val="es-CO"/>
    </w:rPr>
  </w:style>
  <w:style w:type="paragraph" w:styleId="Piedepgina">
    <w:name w:val="footer"/>
    <w:basedOn w:val="Normal"/>
    <w:link w:val="PiedepginaCar"/>
    <w:uiPriority w:val="99"/>
    <w:unhideWhenUsed/>
    <w:rsid w:val="0035202C"/>
    <w:pPr>
      <w:tabs>
        <w:tab w:val="center" w:pos="4419"/>
        <w:tab w:val="right" w:pos="8838"/>
      </w:tabs>
    </w:pPr>
    <w:rPr>
      <w:rFonts/>
      <w:sz w:val="24"/>
      <w:szCs w:val="24"/>
      <w:lang w:val="es-CO" w:eastAsia="Arial"/>
    </w:rPr>
  </w:style>
  <w:style w:type="character" w:customStyle="1" w:styleId="PiedepginaCar">
    <w:name w:val="Pie de página Car"/>
    <w:basedOn w:val="Fuentedeprrafopredeter"/>
    <w:link w:val="Piedepgina"/>
    <w:uiPriority w:val="99"/>
    <w:rsid w:val="0035202C"/>
    <w:rPr>
      <w:lang w:val="es-CO"/>
    </w:rPr>
  </w:style>
  <w:style w:type="character" w:customStyle="1" w:styleId="apple-converted-space">
    <w:name w:val="apple-converted-space"/>
    <w:basedOn w:val="Fuentedeprrafopredeter"/>
    <w:rsid w:val="00B91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84804883">
      <w:bodyDiv w:val="1"/>
      <w:marLeft w:val="0"/>
      <w:marRight w:val="0"/>
      <w:marTop w:val="0"/>
      <w:marBottom w:val="0"/>
      <w:divBdr>
        <w:top w:val="none" w:sz="0" w:space="0" w:color="auto"/>
        <w:left w:val="none" w:sz="0" w:space="0" w:color="auto"/>
        <w:bottom w:val="none" w:sz="0" w:space="0" w:color="auto"/>
        <w:right w:val="none" w:sz="0" w:space="0" w:color="auto"/>
      </w:divBdr>
    </w:div>
    <w:div w:id="1567687913">
      <w:bodyDiv w:val="1"/>
      <w:marLeft w:val="0"/>
      <w:marRight w:val="0"/>
      <w:marTop w:val="0"/>
      <w:marBottom w:val="0"/>
      <w:divBdr>
        <w:top w:val="none" w:sz="0" w:space="0" w:color="auto"/>
        <w:left w:val="none" w:sz="0" w:space="0" w:color="auto"/>
        <w:bottom w:val="none" w:sz="0" w:space="0" w:color="auto"/>
        <w:right w:val="none" w:sz="0" w:space="0" w:color="auto"/>
      </w:divBdr>
    </w:div>
    <w:div w:id="2022972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scotiabank.investorroom.com/2025-12-02-Scotiabank-reports-fourth-quarter-and-2025-results" TargetMode="External"/><Relationship Id="rId17" Type="http://schemas.openxmlformats.org/officeDocument/2006/relationships/hyperlink" Target="https://www.acfe.com/-/media/files/acfe/pdfs/rttn/2024/2024-report-to-the-nations.pdf" TargetMode="External"/><Relationship Id="rId18" Type="http://schemas.openxmlformats.org/officeDocument/2006/relationships/hyperlink" Target="https://www.funcionpublica.gov.co/eva/gestornormativo/norma.php?i=49981" TargetMode="External"/><Relationship Id="rId19" Type="http://schemas.openxmlformats.org/officeDocument/2006/relationships/hyperlink" Target="https://laws-lois.justice.gc.ca/eng/acts/P-8.6/" TargetMode="External"/><Relationship Id="rId20" Type="http://schemas.openxmlformats.org/officeDocument/2006/relationships/hyperlink" Target="https://scotiabank.com/ca/en/about/inside-scotiabank/code-of-conduct.html" TargetMode="External"/><Relationship Id="rId21" Type="http://schemas.openxmlformats.org/officeDocument/2006/relationships/hyperlink" Target="https://www.osfi-bsif.gc.ca/en/guidance/guidance-library/third-party-risk-management-guideline" TargetMode="External"/><Relationship Id="rId22" Type="http://schemas.openxmlformats.org/officeDocument/2006/relationships/hyperlink" Target="https://www.osfi-bsif.gc.ca/en/guidance/guidance-library/guideline-e-23-model-risk-management-202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7E721431C022E44ABF37B08F88BDB295" ma:contentTypeVersion="17" ma:contentTypeDescription="Crear nuevo documento." ma:contentTypeScope="" ma:versionID="b6ff24fe243ef43861cc4bad2b9590f9">
  <xsd:schema xmlns:xsd="http://www.w3.org/2001/XMLSchema" xmlns:xs="http://www.w3.org/2001/XMLSchema" xmlns:p="http://schemas.microsoft.com/office/2006/metadata/properties" xmlns:ns2="e5a8b621-fe7b-44ed-a5c5-3834ead7e186" xmlns:ns3="125d5373-3f68-4f5a-baf6-6304d20defa7" targetNamespace="http://schemas.microsoft.com/office/2006/metadata/properties" ma:root="true" ma:fieldsID="69d94eefa8c85f9b455383ce9d4337be" ns2:_="" ns3:_="">
    <xsd:import namespace="e5a8b621-fe7b-44ed-a5c5-3834ead7e186"/>
    <xsd:import namespace="125d5373-3f68-4f5a-baf6-6304d20defa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a8b621-fe7b-44ed-a5c5-3834ead7e1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5d5373-3f68-4f5a-baf6-6304d20defa7"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280ae381-6bc1-48ed-91a0-aadfc680e04b}" ma:internalName="TaxCatchAll" ma:showField="CatchAllData" ma:web="125d5373-3f68-4f5a-baf6-6304d20defa7">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25d5373-3f68-4f5a-baf6-6304d20defa7" xsi:nil="true"/>
    <lcf76f155ced4ddcb4097134ff3c332f xmlns="e5a8b621-fe7b-44ed-a5c5-3834ead7e1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7FC36A-C211-454C-9018-512E4A222D0C}">
  <ds:schemaRefs>
    <ds:schemaRef ds:uri="http://schemas.microsoft.com/sharepoint/v3/contenttype/forms"/>
  </ds:schemaRefs>
</ds:datastoreItem>
</file>

<file path=customXml/itemProps2.xml><?xml version="1.0" encoding="utf-8"?>
<ds:datastoreItem xmlns:ds="http://schemas.openxmlformats.org/officeDocument/2006/customXml" ds:itemID="{4CBED186-C3F7-4697-B7F2-85AEB3EAE631}">
  <ds:schemaRefs>
    <ds:schemaRef ds:uri="http://schemas.openxmlformats.org/officeDocument/2006/bibliography"/>
  </ds:schemaRefs>
</ds:datastoreItem>
</file>

<file path=customXml/itemProps3.xml><?xml version="1.0" encoding="utf-8"?>
<ds:datastoreItem xmlns:ds="http://schemas.openxmlformats.org/officeDocument/2006/customXml" ds:itemID="{AB0822C5-D026-454C-A4D8-566FE4517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a8b621-fe7b-44ed-a5c5-3834ead7e186"/>
    <ds:schemaRef ds:uri="125d5373-3f68-4f5a-baf6-6304d20def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8292B8-8D93-48BE-A11B-274D833D682F}">
  <ds:schemaRefs>
    <ds:schemaRef ds:uri="http://schemas.microsoft.com/office/2006/metadata/properties"/>
    <ds:schemaRef ds:uri="http://schemas.microsoft.com/office/infopath/2007/PartnerControls"/>
    <ds:schemaRef ds:uri="125d5373-3f68-4f5a-baf6-6304d20defa7"/>
    <ds:schemaRef ds:uri="e5a8b621-fe7b-44ed-a5c5-3834ead7e186"/>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36</Words>
  <Characters>200</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dc:creator>
  <cp:lastModifiedBy>Juan Camilo</cp:lastModifiedBy>
  <cp:revision>21</cp:revision>
  <cp:lastPrinted>2014-08-08T20:31:00Z</cp:lastPrinted>
  <dcterms:created xsi:type="dcterms:W3CDTF">2015-08-06T21:26:00Z</dcterms:created>
  <dcterms:modified xsi:type="dcterms:W3CDTF">2026-08-04T16:19:00Z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0x0101007E721431C022E44ABF37B08F88BDB295</vt:lpwstr>
  </property>
  <property fmtid="{D5CDD505-2E9C-101B-9397-08002B2CF9AE}" pid="3" name="MediaServiceImageTags">
    <vt:lpwstr/>
  </property>
</Properties>
</file>