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8.2. Dilemas éticos</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Dilema 1: Uso de los datos personales de los clientes con fines comerciales</w:t>
      </w:r>
    </w:p>
    <w:p w:rsidR="00000000" w:rsidDel="00000000" w:rsidP="00000000" w:rsidRDefault="00000000" w:rsidRPr="00000000" w14:paraId="00000003">
      <w:pPr>
        <w:rPr/>
      </w:pPr>
      <w:r w:rsidDel="00000000" w:rsidR="00000000" w:rsidRPr="00000000">
        <w:rPr>
          <w:rtl w:val="0"/>
        </w:rPr>
        <w:t xml:space="preserve">La base de datos de Comercial Vida almacena el DNI o RUC, el teléfono, el historial de compras y la relación de recomendación entre clientes (IdCliente_Recomienda). Con el análisis en Power BI, además, es posible conocer qué compra cada cliente, con qué frecuencia y qué método de pago utiliza. El dilema surge si el propietario solicita usar esta información para enviar publicidad masiva por WhatsApp, o compartirla con un proveedor de baterías a cambio de mejores precios, sin que los clientes lo hayan autorizado.</w:t>
      </w:r>
    </w:p>
    <w:p w:rsidR="00000000" w:rsidDel="00000000" w:rsidP="00000000" w:rsidRDefault="00000000" w:rsidRPr="00000000" w14:paraId="00000004">
      <w:pPr>
        <w:rPr/>
      </w:pPr>
      <w:r w:rsidDel="00000000" w:rsidR="00000000" w:rsidRPr="00000000">
        <w:rPr>
          <w:rtl w:val="0"/>
        </w:rPr>
        <w:t xml:space="preserve">Decisión: el equipo no entrega ni comparte los datos de los clientes sin su consentimiento. En su lugar, propone agregar un campo de consentimiento para comunicaciones comerciales y almacenar solo los datos necesarios para la venta y la emisión del comprobante. Los reportes de comportamiento de compra se trabajarán de forma agregada (por categoría o por producto), sin identificar a cada cliente.</w:t>
      </w:r>
    </w:p>
    <w:p w:rsidR="00000000" w:rsidDel="00000000" w:rsidP="00000000" w:rsidRDefault="00000000" w:rsidRPr="00000000" w14:paraId="00000005">
      <w:pPr>
        <w:rPr/>
      </w:pPr>
      <w:r w:rsidDel="00000000" w:rsidR="00000000" w:rsidRPr="00000000">
        <w:rPr>
          <w:rtl w:val="0"/>
        </w:rPr>
        <w:t xml:space="preserve">Justificación con el Código de Ética del CIP: la decisión se sustenta en el Artículo 45, inciso c. Este obliga al ingeniero a "mantener la debida reserva y discreción respecto a los trabajos, datos e informaciones de índole técnica, financiera y otras de naturaleza confidencial". El inciso a del mismo artículo pide servir al cliente "con capacidad, lealtad y empeño profesional", pero precisa que "en ningún caso realizará un acto ilícito". Por ello, la lealtad hacia el propietario no justifica compartir datos personales sin consentimiento, algo que prohíbe la Ley N.° 29733, Ley de Protección de Datos Personales. Asimismo, el Artículo 18 establece que el ingeniero "respetará las leyes, ordenanzas y disposiciones vigentes relacionadas con su profesión".</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Dilema 2: Manipulación de los registros de ventas y de la auditoría</w:t>
      </w:r>
    </w:p>
    <w:p w:rsidR="00000000" w:rsidDel="00000000" w:rsidP="00000000" w:rsidRDefault="00000000" w:rsidRPr="00000000" w14:paraId="00000007">
      <w:pPr>
        <w:rPr/>
      </w:pPr>
      <w:r w:rsidDel="00000000" w:rsidR="00000000" w:rsidRPr="00000000">
        <w:rPr>
          <w:rtl w:val="0"/>
        </w:rPr>
        <w:t xml:space="preserve">El diseño de la base de datos incluye un registro de auditoría y la regla de que no se puede vender por debajo del costo sin autorización (regla 6). También establece que los cambios en precios y stock deben quedar registrados (regla 12). El dilema surge si el propietario pide que el Administrador pueda editar o eliminar ventas ya registradas sin dejar rastro, o que se desactive la auditoría "para no complicar el sistema". La intención real sería declarar menos ventas o cubrir faltantes de caja.</w:t>
      </w:r>
    </w:p>
    <w:p w:rsidR="00000000" w:rsidDel="00000000" w:rsidP="00000000" w:rsidRDefault="00000000" w:rsidRPr="00000000" w14:paraId="00000008">
      <w:pPr>
        <w:rPr/>
      </w:pPr>
      <w:r w:rsidDel="00000000" w:rsidR="00000000" w:rsidRPr="00000000">
        <w:rPr>
          <w:rtl w:val="0"/>
        </w:rPr>
        <w:t xml:space="preserve">Decisión: el equipo no implementa la eliminación ni la modificación silenciosa de ventas. Las correcciones se realizarán mediante anulaciones o notas de crédito que queden registradas. La tabla de auditoría será de solo inserción, sin permisos de modificación ni eliminación, incluso para el Administrador. Además, se le explica al propietario que la auditoría también lo protege al frente a errores o fraudes internos.</w:t>
      </w:r>
    </w:p>
    <w:p w:rsidR="00000000" w:rsidDel="00000000" w:rsidP="00000000" w:rsidRDefault="00000000" w:rsidRPr="00000000" w14:paraId="00000009">
      <w:pPr>
        <w:rPr/>
      </w:pPr>
      <w:r w:rsidDel="00000000" w:rsidR="00000000" w:rsidRPr="00000000">
        <w:rPr>
          <w:rtl w:val="0"/>
        </w:rPr>
        <w:t xml:space="preserve">Justificación con el Código de Ética del CIP: el Artículo 18 establece que el ingeniero debe actuar "dentro de los más estrictos principios de honradez y moralidad en todo su proceder". Diseñar un sistema para ocultar ventas ante la SUNAT contradice directamente este principio. El Artículo 45, inciso a prohíbe realizar actos ilícitos aunque sean solicitados por el cliente. Por su parte, el inciso f indica que, si el ingeniero descubre una "equivocación o impostura de cualquier índole" que beneficie injustamente al cliente, debe notificárselo para que solicite la rectificación. Por lo tanto, el equipo tiene el deber de advertir al propietario y negarse a implementar la manipulación.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8.3. Consecuencias sobre los afectados y revisión a escala nacional</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Consecuencia 1: Sobre los clientes, por la exposición o el mal uso de sus datos</w:t>
      </w:r>
    </w:p>
    <w:p w:rsidR="00000000" w:rsidDel="00000000" w:rsidP="00000000" w:rsidRDefault="00000000" w:rsidRPr="00000000" w14:paraId="0000000D">
      <w:pPr>
        <w:rPr/>
      </w:pPr>
      <w:r w:rsidDel="00000000" w:rsidR="00000000" w:rsidRPr="00000000">
        <w:rPr>
          <w:rtl w:val="0"/>
        </w:rPr>
        <w:t xml:space="preserve">Si la base de datos no está bien protegida o se utiliza sin consentimiento, los clientes podrían recibir publicidad no deseada. También podrían ser víctimas de suplantación de identidad o estafas con su DNI y número de teléfono, o ver expuesta la información sobre a quién recomendaron. Esto afectaría la confianza en el negocio y podría generar sanciones para la empresa. Por ello son importantes las medidas planteadas en el proyecto: roles y permisos, contraseñas almacenadas de forma segura (RNF7) y copias de seguridad protegidas.</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Consecuencia 2: Sobre los trabajadores, por el control y la responsabilidad que genera el sistema</w:t>
      </w:r>
    </w:p>
    <w:p w:rsidR="00000000" w:rsidDel="00000000" w:rsidP="00000000" w:rsidRDefault="00000000" w:rsidRPr="00000000" w14:paraId="0000000F">
      <w:pPr>
        <w:rPr/>
      </w:pPr>
      <w:r w:rsidDel="00000000" w:rsidR="00000000" w:rsidRPr="00000000">
        <w:rPr>
          <w:rtl w:val="0"/>
        </w:rPr>
        <w:t xml:space="preserve">El registro de auditoría guarda qué usuario realizó cada operación. Si un error técnico provoca un descuadre de stock o de caja (por ejemplo, un trigger mal programado), la responsabilidad podría atribuirse injustamente al vendedor o al personal de almacén. Además, pasar de la libreta al sistema exige capacitación. Sin ella, los trabajadores con menos experiencia en herramientas digitales quedarían en desventaja. Por eso, la auditoría debe usarse para dar transparencia y no como un mecanismo de vigilancia o castigo. Ante cualquier inconsistencia, primero se debe verificar si hubo una falla del sistema antes de responsabilizar a una persona.</w:t>
      </w:r>
    </w:p>
    <w:p w:rsidR="00000000" w:rsidDel="00000000" w:rsidP="00000000" w:rsidRDefault="00000000" w:rsidRPr="00000000" w14:paraId="00000010">
      <w:pPr>
        <w:rPr>
          <w:b w:val="1"/>
          <w:bCs w:val="1"/>
        </w:rPr>
      </w:pPr>
      <w:r w:rsidDel="00000000" w:rsidR="00000000" w:rsidRPr="00000000">
        <w:rPr>
          <w:b w:val="1"/>
          <w:bCs w:val="1"/>
          <w:rtl w:val="0"/>
        </w:rPr>
        <w:t xml:space="preserve">Aspectos a revisar al ampliar el sistema a escala nacional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Marco legal: cumplimiento de la Ley N.° 29733 y su reglamento, incluida la inscripción del banco de datos de clientes ante la Autoridad Nacional de Protección de Datos Personales. También la integración con la facturación electrónica de la SUNAT.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Seguridad de la información: cifrado de los datos, control de acceso por sede y por rol, y un registro de auditoría centralizado que no pueda alterarse. Además, un plan de respuesta ante filtraciones que permita informar a los afectados y a la autoridad. Esto va en línea con el Artículo 29, inciso a del Código de Ética del CIP, que obliga al ingeniero a "señalar a la comunidad o a la autoridad la ocurrencia de hechos contrarios al bienestar o a la salud de la sociedad".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Escalabilidad y disponibilidad: la capacidad actual de 1000 registros (RNF3) sería insuficiente. Habría que evaluar la replicación de datos entre sedes y las copias de seguridad distribuidas. También el funcionamiento en provincias con conexión a internet inestable, donde la arquitectura Big Data y el uso de MongoDB podrían aportar.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Calidad y gobierno de los datos: códigos de producto estandarizados a nivel nacional y reglas de stock mínimo definidas por sede, ya que 3 unidades no es adecuado para todas. Además, responsables claramente asignados para cada tipo de información.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Impacto en las personas: capacitación y soporte técnico para los trabajadores de todas las regiones. También una revisión de que los análisis sobre clientes no generen un trato discriminatorio, como precios distintos según el perfil del cliente.</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07365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7365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7365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7365A"/>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07365A"/>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07365A"/>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07365A"/>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07365A"/>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07365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7365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7365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7365A"/>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07365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07365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7365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7365A"/>
    <w:rPr>
      <w:i w:val="1"/>
      <w:iCs w:val="1"/>
      <w:color w:val="404040" w:themeColor="text1" w:themeTint="0000BF"/>
    </w:rPr>
  </w:style>
  <w:style w:type="paragraph" w:styleId="Prrafodelista">
    <w:name w:val="List Paragraph"/>
    <w:basedOn w:val="Normal"/>
    <w:uiPriority w:val="34"/>
    <w:qFormat w:val="1"/>
    <w:rsid w:val="0007365A"/>
    <w:pPr>
      <w:ind w:left="720"/>
      <w:contextualSpacing w:val="1"/>
    </w:pPr>
  </w:style>
  <w:style w:type="character" w:styleId="nfasisintenso">
    <w:name w:val="Intense Emphasis"/>
    <w:basedOn w:val="Fuentedeprrafopredeter"/>
    <w:uiPriority w:val="21"/>
    <w:qFormat w:val="1"/>
    <w:rsid w:val="0007365A"/>
    <w:rPr>
      <w:i w:val="1"/>
      <w:iCs w:val="1"/>
      <w:color w:val="2f5496" w:themeColor="accent1" w:themeShade="0000BF"/>
    </w:rPr>
  </w:style>
  <w:style w:type="paragraph" w:styleId="Citadestacada">
    <w:name w:val="Intense Quote"/>
    <w:basedOn w:val="Normal"/>
    <w:next w:val="Normal"/>
    <w:link w:val="CitadestacadaCar"/>
    <w:uiPriority w:val="30"/>
    <w:qFormat w:val="1"/>
    <w:rsid w:val="0007365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07365A"/>
    <w:rPr>
      <w:i w:val="1"/>
      <w:iCs w:val="1"/>
      <w:color w:val="2f5496" w:themeColor="accent1" w:themeShade="0000BF"/>
    </w:rPr>
  </w:style>
  <w:style w:type="character" w:styleId="Referenciaintensa">
    <w:name w:val="Intense Reference"/>
    <w:basedOn w:val="Fuentedeprrafopredeter"/>
    <w:uiPriority w:val="32"/>
    <w:qFormat w:val="1"/>
    <w:rsid w:val="0007365A"/>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ZIBDuvnHY+P6qW8J07NXFMvgQ==">CgMxLjA4AHIhMTVqbTFlVi1UNWFZNXVFMExBOTdPSlVaemJpRzhDU3dS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2026-09-28T17:01:00Z</dcterms:created>
  <dc:creator>STARK 219</dc:creator>
</cp:coreProperties>
</file>