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400" w:lineRule="auto"/>
        <w:rPr>
          <w:rFonts w:ascii="Lora" w:cs="Lora" w:eastAsia="Lora" w:hAnsi="Lora"/>
          <w:b w:val="1"/>
          <w:bCs w:val="1"/>
        </w:rPr>
      </w:pPr>
      <w:r w:rsidDel="00000000" w:rsidR="00000000" w:rsidRPr="00000000">
        <w:rPr>
          <w:rFonts w:ascii="Lora" w:cs="Lora" w:eastAsia="Lora" w:hAnsi="Lora"/>
          <w:b w:val="1"/>
          <w:bCs w:val="1"/>
          <w:rtl w:val="0"/>
        </w:rPr>
        <w:t xml:space="preserve">6.1 Creación del Dashboard</w:t>
      </w:r>
    </w:p>
    <w:p w:rsidR="00000000" w:rsidDel="00000000" w:rsidP="00000000" w:rsidRDefault="00000000" w:rsidRPr="00000000" w14:paraId="00000002">
      <w:pPr>
        <w:pStyle w:val="Heading2"/>
        <w:spacing w:after="150" w:before="300" w:lineRule="auto"/>
        <w:rPr>
          <w:rFonts w:ascii="Lora" w:cs="Lora" w:eastAsia="Lora" w:hAnsi="Lora"/>
        </w:rPr>
      </w:pPr>
      <w:r w:rsidDel="00000000" w:rsidR="00000000" w:rsidRPr="00000000">
        <w:rPr>
          <w:rFonts w:ascii="Lora" w:cs="Lora" w:eastAsia="Lora" w:hAnsi="Lora"/>
          <w:rtl w:val="0"/>
        </w:rPr>
        <w:t xml:space="preserve">Explicación</w:t>
      </w:r>
    </w:p>
    <w:p w:rsidR="00000000" w:rsidDel="00000000" w:rsidP="00000000" w:rsidRDefault="00000000" w:rsidRPr="00000000" w14:paraId="00000003">
      <w:pPr>
        <w:spacing w:after="150" w:lineRule="auto"/>
        <w:rPr>
          <w:rFonts w:ascii="Lora" w:cs="Lora" w:eastAsia="Lora" w:hAnsi="Lora"/>
        </w:rPr>
      </w:pPr>
      <w:r w:rsidDel="00000000" w:rsidR="00000000" w:rsidRPr="00000000">
        <w:rPr>
          <w:rFonts w:ascii="Lora" w:cs="Lora" w:eastAsia="Lora" w:hAnsi="Lora"/>
          <w:rtl w:val="0"/>
        </w:rPr>
        <w:t xml:space="preserve">Se construyó un dashboard en Power BI Desktop conectado directamente al Data Warehouse </w:t>
      </w:r>
      <w:r w:rsidDel="00000000" w:rsidR="00000000" w:rsidRPr="00000000">
        <w:rPr>
          <w:rFonts w:ascii="Lora" w:cs="Lora" w:eastAsia="Lora" w:hAnsi="Lora"/>
          <w:rtl w:val="0"/>
        </w:rPr>
        <w:t xml:space="preserve">DW_COMERCIAL_VIDA</w:t>
      </w:r>
      <w:r w:rsidDel="00000000" w:rsidR="00000000" w:rsidRPr="00000000">
        <w:rPr>
          <w:rFonts w:ascii="Lora" w:cs="Lora" w:eastAsia="Lora" w:hAnsi="Lora"/>
          <w:rtl w:val="0"/>
        </w:rPr>
        <w:t xml:space="preserve"> (MySQL 8.0), a partir del modelo dimensional en esquema estrella (tabla de hechos </w:t>
      </w:r>
      <w:r w:rsidDel="00000000" w:rsidR="00000000" w:rsidRPr="00000000">
        <w:rPr>
          <w:rFonts w:ascii="Lora" w:cs="Lora" w:eastAsia="Lora" w:hAnsi="Lora"/>
          <w:rtl w:val="0"/>
        </w:rPr>
        <w:t xml:space="preserve">FactVenta</w:t>
      </w:r>
      <w:r w:rsidDel="00000000" w:rsidR="00000000" w:rsidRPr="00000000">
        <w:rPr>
          <w:rFonts w:ascii="Lora" w:cs="Lora" w:eastAsia="Lora" w:hAnsi="Lora"/>
          <w:rtl w:val="0"/>
        </w:rPr>
        <w:t xml:space="preserve"> y dimensiones </w:t>
      </w:r>
      <w:r w:rsidDel="00000000" w:rsidR="00000000" w:rsidRPr="00000000">
        <w:rPr>
          <w:rFonts w:ascii="Lora" w:cs="Lora" w:eastAsia="Lora" w:hAnsi="Lora"/>
          <w:rtl w:val="0"/>
        </w:rPr>
        <w:t xml:space="preserve">DimFecha</w:t>
      </w:r>
      <w:r w:rsidDel="00000000" w:rsidR="00000000" w:rsidRPr="00000000">
        <w:rPr>
          <w:rFonts w:ascii="Lora" w:cs="Lora" w:eastAsia="Lora" w:hAnsi="Lora"/>
          <w:rtl w:val="0"/>
        </w:rPr>
        <w:t xml:space="preserve">, </w:t>
      </w:r>
      <w:r w:rsidDel="00000000" w:rsidR="00000000" w:rsidRPr="00000000">
        <w:rPr>
          <w:rFonts w:ascii="Lora" w:cs="Lora" w:eastAsia="Lora" w:hAnsi="Lora"/>
          <w:rtl w:val="0"/>
        </w:rPr>
        <w:t xml:space="preserve">DimProducto</w:t>
      </w:r>
      <w:r w:rsidDel="00000000" w:rsidR="00000000" w:rsidRPr="00000000">
        <w:rPr>
          <w:rFonts w:ascii="Lora" w:cs="Lora" w:eastAsia="Lora" w:hAnsi="Lora"/>
          <w:rtl w:val="0"/>
        </w:rPr>
        <w:t xml:space="preserve">, </w:t>
      </w:r>
      <w:r w:rsidDel="00000000" w:rsidR="00000000" w:rsidRPr="00000000">
        <w:rPr>
          <w:rFonts w:ascii="Lora" w:cs="Lora" w:eastAsia="Lora" w:hAnsi="Lora"/>
          <w:rtl w:val="0"/>
        </w:rPr>
        <w:t xml:space="preserve">DimCliente</w:t>
      </w:r>
      <w:r w:rsidDel="00000000" w:rsidR="00000000" w:rsidRPr="00000000">
        <w:rPr>
          <w:rFonts w:ascii="Lora" w:cs="Lora" w:eastAsia="Lora" w:hAnsi="Lora"/>
          <w:rtl w:val="0"/>
        </w:rPr>
        <w:t xml:space="preserve"> y </w:t>
      </w:r>
      <w:r w:rsidDel="00000000" w:rsidR="00000000" w:rsidRPr="00000000">
        <w:rPr>
          <w:rFonts w:ascii="Lora" w:cs="Lora" w:eastAsia="Lora" w:hAnsi="Lora"/>
          <w:rtl w:val="0"/>
        </w:rPr>
        <w:t xml:space="preserve">DimEmpleado</w:t>
      </w:r>
      <w:r w:rsidDel="00000000" w:rsidR="00000000" w:rsidRPr="00000000">
        <w:rPr>
          <w:rFonts w:ascii="Lora" w:cs="Lora" w:eastAsia="Lora" w:hAnsi="Lora"/>
          <w:rtl w:val="0"/>
        </w:rPr>
        <w:t xml:space="preserve">). El dashboard reúne en una sola pantalla los indicadores clave del negocio (ventas totales, cantidad vendida, ticket promedio y número de transacciones), un gráfico de ventas por categoría de producto y un gráfico de evolución temporal de ventas, permitiendo al usuario evaluar el desempeño comercial de Comercial Vida de un vistazo.</w:t>
      </w:r>
    </w:p>
    <w:p w:rsidR="00000000" w:rsidDel="00000000" w:rsidP="00000000" w:rsidRDefault="00000000" w:rsidRPr="00000000" w14:paraId="00000004">
      <w:pPr>
        <w:pStyle w:val="Heading2"/>
        <w:spacing w:after="150" w:before="300" w:lineRule="auto"/>
        <w:rPr>
          <w:rFonts w:ascii="Lora" w:cs="Lora" w:eastAsia="Lora" w:hAnsi="Lora"/>
        </w:rPr>
      </w:pPr>
      <w:r w:rsidDel="00000000" w:rsidR="00000000" w:rsidRPr="00000000">
        <w:rPr>
          <w:rFonts w:ascii="Lora" w:cs="Lora" w:eastAsia="Lora" w:hAnsi="Lora"/>
          <w:rtl w:val="0"/>
        </w:rPr>
        <w:t xml:space="preserve">Justificación técnica</w:t>
      </w:r>
    </w:p>
    <w:p w:rsidR="00000000" w:rsidDel="00000000" w:rsidP="00000000" w:rsidRDefault="00000000" w:rsidRPr="00000000" w14:paraId="00000005">
      <w:pPr>
        <w:spacing w:after="150" w:lineRule="auto"/>
        <w:rPr>
          <w:rFonts w:ascii="Lora" w:cs="Lora" w:eastAsia="Lora" w:hAnsi="Lora"/>
        </w:rPr>
      </w:pPr>
      <w:r w:rsidDel="00000000" w:rsidR="00000000" w:rsidRPr="00000000">
        <w:rPr>
          <w:rFonts w:ascii="Lora" w:cs="Lora" w:eastAsia="Lora" w:hAnsi="Lora"/>
          <w:rtl w:val="0"/>
        </w:rPr>
        <w:t xml:space="preserve">Se eligió Power BI Desktop por tres razones: (1) se conecta de forma nativa a MySQL mediante el conector 'MySQL database', sin pasos intermedios de exportación; (2) reconoce automáticamente las relaciones del esquema estrella a partir de las llaves foráneas (</w:t>
      </w:r>
      <w:r w:rsidDel="00000000" w:rsidR="00000000" w:rsidRPr="00000000">
        <w:rPr>
          <w:rFonts w:ascii="Lora" w:cs="Lora" w:eastAsia="Lora" w:hAnsi="Lora"/>
          <w:rtl w:val="0"/>
        </w:rPr>
        <w:t xml:space="preserve">FechaKey</w:t>
      </w:r>
      <w:r w:rsidDel="00000000" w:rsidR="00000000" w:rsidRPr="00000000">
        <w:rPr>
          <w:rFonts w:ascii="Lora" w:cs="Lora" w:eastAsia="Lora" w:hAnsi="Lora"/>
          <w:rtl w:val="0"/>
        </w:rPr>
        <w:t xml:space="preserve">, </w:t>
      </w:r>
      <w:r w:rsidDel="00000000" w:rsidR="00000000" w:rsidRPr="00000000">
        <w:rPr>
          <w:rFonts w:ascii="Lora" w:cs="Lora" w:eastAsia="Lora" w:hAnsi="Lora"/>
          <w:rtl w:val="0"/>
        </w:rPr>
        <w:t xml:space="preserve">ProductoKey</w:t>
      </w:r>
      <w:r w:rsidDel="00000000" w:rsidR="00000000" w:rsidRPr="00000000">
        <w:rPr>
          <w:rFonts w:ascii="Lora" w:cs="Lora" w:eastAsia="Lora" w:hAnsi="Lora"/>
          <w:rtl w:val="0"/>
        </w:rPr>
        <w:t xml:space="preserve">, ClienteKey, EmpleadoKey), lo que simplifica el modelado; y (3) permite crear medidas en DAX reutilizables por todos los visuales, evitando repetir lógica de cálculo en cada gráfico. La carga se hizo en modo Importación (no </w:t>
      </w:r>
      <w:r w:rsidDel="00000000" w:rsidR="00000000" w:rsidRPr="00000000">
        <w:rPr>
          <w:rFonts w:ascii="Lora" w:cs="Lora" w:eastAsia="Lora" w:hAnsi="Lora"/>
          <w:rtl w:val="0"/>
        </w:rPr>
        <w:t xml:space="preserve">DirectQuery</w:t>
      </w:r>
      <w:r w:rsidDel="00000000" w:rsidR="00000000" w:rsidRPr="00000000">
        <w:rPr>
          <w:rFonts w:ascii="Lora" w:cs="Lora" w:eastAsia="Lora" w:hAnsi="Lora"/>
          <w:rtl w:val="0"/>
        </w:rPr>
        <w:t xml:space="preserve">) porque el volumen de datos del DW es pequeño (100 registros de hechos) y esto da mejor rendimiento interactivo en los visuales.</w:t>
      </w:r>
    </w:p>
    <w:p w:rsidR="00000000" w:rsidDel="00000000" w:rsidP="00000000" w:rsidRDefault="00000000" w:rsidRPr="00000000" w14:paraId="00000006">
      <w:pPr>
        <w:pStyle w:val="Heading2"/>
        <w:spacing w:after="150" w:before="300" w:lineRule="auto"/>
        <w:rPr>
          <w:rFonts w:ascii="Lora" w:cs="Lora" w:eastAsia="Lora" w:hAnsi="Lora"/>
        </w:rPr>
      </w:pPr>
      <w:r w:rsidDel="00000000" w:rsidR="00000000" w:rsidRPr="00000000">
        <w:rPr>
          <w:rFonts w:ascii="Lora" w:cs="Lora" w:eastAsia="Lora" w:hAnsi="Lora"/>
          <w:rtl w:val="0"/>
        </w:rPr>
        <w:t xml:space="preserve">Código / script desarrollado</w:t>
      </w:r>
    </w:p>
    <w:p w:rsidR="00000000" w:rsidDel="00000000" w:rsidP="00000000" w:rsidRDefault="00000000" w:rsidRPr="00000000" w14:paraId="00000007">
      <w:pPr>
        <w:spacing w:after="150" w:lineRule="auto"/>
        <w:rPr>
          <w:rFonts w:ascii="Lora" w:cs="Lora" w:eastAsia="Lora" w:hAnsi="Lora"/>
        </w:rPr>
      </w:pPr>
      <w:r w:rsidDel="00000000" w:rsidR="00000000" w:rsidRPr="00000000">
        <w:rPr>
          <w:rFonts w:ascii="Lora" w:cs="Lora" w:eastAsia="Lora" w:hAnsi="Lora"/>
          <w:rtl w:val="0"/>
        </w:rPr>
        <w:t xml:space="preserve">No se requirió script SQL adicional para esta parte: el dashboard consume directamente las tablas del DW ya construidas en el punto 5 (</w:t>
      </w:r>
      <w:r w:rsidDel="00000000" w:rsidR="00000000" w:rsidRPr="00000000">
        <w:rPr>
          <w:rFonts w:ascii="Lora" w:cs="Lora" w:eastAsia="Lora" w:hAnsi="Lora"/>
          <w:rtl w:val="0"/>
        </w:rPr>
        <w:t xml:space="preserve">DimFecha</w:t>
      </w:r>
      <w:r w:rsidDel="00000000" w:rsidR="00000000" w:rsidRPr="00000000">
        <w:rPr>
          <w:rFonts w:ascii="Lora" w:cs="Lora" w:eastAsia="Lora" w:hAnsi="Lora"/>
          <w:rtl w:val="0"/>
        </w:rPr>
        <w:t xml:space="preserve">, </w:t>
      </w:r>
      <w:r w:rsidDel="00000000" w:rsidR="00000000" w:rsidRPr="00000000">
        <w:rPr>
          <w:rFonts w:ascii="Lora" w:cs="Lora" w:eastAsia="Lora" w:hAnsi="Lora"/>
          <w:rtl w:val="0"/>
        </w:rPr>
        <w:t xml:space="preserve">DimProducto</w:t>
      </w:r>
      <w:r w:rsidDel="00000000" w:rsidR="00000000" w:rsidRPr="00000000">
        <w:rPr>
          <w:rFonts w:ascii="Lora" w:cs="Lora" w:eastAsia="Lora" w:hAnsi="Lora"/>
          <w:rtl w:val="0"/>
        </w:rPr>
        <w:t xml:space="preserve">, DimCliente, DimEmpleado, </w:t>
      </w:r>
      <w:r w:rsidDel="00000000" w:rsidR="00000000" w:rsidRPr="00000000">
        <w:rPr>
          <w:rFonts w:ascii="Lora" w:cs="Lora" w:eastAsia="Lora" w:hAnsi="Lora"/>
          <w:rtl w:val="0"/>
        </w:rPr>
        <w:t xml:space="preserve">FactVenta</w:t>
      </w:r>
      <w:r w:rsidDel="00000000" w:rsidR="00000000" w:rsidRPr="00000000">
        <w:rPr>
          <w:rFonts w:ascii="Lora" w:cs="Lora" w:eastAsia="Lora" w:hAnsi="Lora"/>
          <w:rtl w:val="0"/>
        </w:rPr>
        <w:t xml:space="preserve">). La conexión se configura así:</w:t>
      </w:r>
    </w:p>
    <w:p w:rsidR="00000000" w:rsidDel="00000000" w:rsidP="00000000" w:rsidRDefault="00000000" w:rsidRPr="00000000" w14:paraId="00000008">
      <w:pPr>
        <w:pBdr>
          <w:top w:color="cccccc" w:space="0" w:sz="4" w:val="single"/>
          <w:left w:color="cccccc" w:space="0" w:sz="4" w:val="single"/>
          <w:bottom w:color="cccccc" w:space="0" w:sz="4" w:val="single"/>
          <w:right w:color="cccccc" w:space="0" w:sz="4" w:val="single"/>
        </w:pBdr>
        <w:shd w:fill="f2f2f2" w:val="clear"/>
        <w:spacing w:after="200" w:before="100" w:lineRule="auto"/>
        <w:rPr>
          <w:rFonts w:ascii="Lora" w:cs="Lora" w:eastAsia="Lora" w:hAnsi="Lora"/>
          <w:b w:val="1"/>
          <w:bCs w:val="1"/>
        </w:rPr>
      </w:pPr>
      <w:sdt>
        <w:sdtPr>
          <w:id w:val="-272556992"/>
          <w:tag w:val="goog_rdk_0"/>
        </w:sdtPr>
        <w:sdtContent>
          <w:r w:rsidDel="00000000" w:rsidR="00000000" w:rsidRPr="00000000">
            <w:rPr>
              <w:rFonts w:ascii="Nova Mono" w:cs="Nova Mono" w:eastAsia="Nova Mono" w:hAnsi="Nova Mono"/>
              <w:b w:val="1"/>
              <w:bCs w:val="1"/>
              <w:sz w:val="18"/>
              <w:szCs w:val="18"/>
              <w:rtl w:val="0"/>
            </w:rPr>
            <w:t xml:space="preserve">Obtener datos → MySQL database</w:t>
            <w:br w:type="textWrapping"/>
            <w:t xml:space="preserve">Servidor: localhost:3306</w:t>
            <w:br w:type="textWrapping"/>
            <w:t xml:space="preserve">Base de datos: </w:t>
          </w:r>
        </w:sdtContent>
      </w:sdt>
      <w:r w:rsidDel="00000000" w:rsidR="00000000" w:rsidRPr="00000000">
        <w:rPr>
          <w:rFonts w:ascii="Lora" w:cs="Lora" w:eastAsia="Lora" w:hAnsi="Lora"/>
          <w:b w:val="1"/>
          <w:bCs w:val="1"/>
          <w:sz w:val="18"/>
          <w:szCs w:val="18"/>
          <w:rtl w:val="0"/>
        </w:rPr>
        <w:t xml:space="preserve">DW_COMERCIAL_VIDA</w:t>
      </w:r>
      <w:r w:rsidDel="00000000" w:rsidR="00000000" w:rsidRPr="00000000">
        <w:rPr>
          <w:rFonts w:ascii="Lora" w:cs="Lora" w:eastAsia="Lora" w:hAnsi="Lora"/>
          <w:b w:val="1"/>
          <w:bCs w:val="1"/>
          <w:sz w:val="18"/>
          <w:szCs w:val="18"/>
          <w:rtl w:val="0"/>
        </w:rPr>
        <w:br w:type="textWrapping"/>
        <w:t xml:space="preserve">Modo: Importar</w:t>
        <w:br w:type="textWrapping"/>
        <w:t xml:space="preserve">Tablas seleccionadas: </w:t>
      </w:r>
      <w:r w:rsidDel="00000000" w:rsidR="00000000" w:rsidRPr="00000000">
        <w:rPr>
          <w:rFonts w:ascii="Lora" w:cs="Lora" w:eastAsia="Lora" w:hAnsi="Lora"/>
          <w:b w:val="1"/>
          <w:bCs w:val="1"/>
          <w:sz w:val="18"/>
          <w:szCs w:val="18"/>
          <w:rtl w:val="0"/>
        </w:rPr>
        <w:t xml:space="preserve">DimFecha</w:t>
      </w:r>
      <w:r w:rsidDel="00000000" w:rsidR="00000000" w:rsidRPr="00000000">
        <w:rPr>
          <w:rFonts w:ascii="Lora" w:cs="Lora" w:eastAsia="Lora" w:hAnsi="Lora"/>
          <w:b w:val="1"/>
          <w:bCs w:val="1"/>
          <w:sz w:val="18"/>
          <w:szCs w:val="18"/>
          <w:rtl w:val="0"/>
        </w:rPr>
        <w:t xml:space="preserve">, </w:t>
      </w:r>
      <w:r w:rsidDel="00000000" w:rsidR="00000000" w:rsidRPr="00000000">
        <w:rPr>
          <w:rFonts w:ascii="Lora" w:cs="Lora" w:eastAsia="Lora" w:hAnsi="Lora"/>
          <w:b w:val="1"/>
          <w:bCs w:val="1"/>
          <w:sz w:val="18"/>
          <w:szCs w:val="18"/>
          <w:rtl w:val="0"/>
        </w:rPr>
        <w:t xml:space="preserve">DimProducto</w:t>
      </w:r>
      <w:r w:rsidDel="00000000" w:rsidR="00000000" w:rsidRPr="00000000">
        <w:rPr>
          <w:rFonts w:ascii="Lora" w:cs="Lora" w:eastAsia="Lora" w:hAnsi="Lora"/>
          <w:b w:val="1"/>
          <w:bCs w:val="1"/>
          <w:sz w:val="18"/>
          <w:szCs w:val="18"/>
          <w:rtl w:val="0"/>
        </w:rPr>
        <w:t xml:space="preserve">, DimCliente, DimEmpleado, </w:t>
      </w:r>
      <w:r w:rsidDel="00000000" w:rsidR="00000000" w:rsidRPr="00000000">
        <w:rPr>
          <w:rFonts w:ascii="Lora" w:cs="Lora" w:eastAsia="Lora" w:hAnsi="Lora"/>
          <w:b w:val="1"/>
          <w:bCs w:val="1"/>
          <w:sz w:val="18"/>
          <w:szCs w:val="18"/>
          <w:rtl w:val="0"/>
        </w:rPr>
        <w:t xml:space="preserve">FactVenta</w:t>
      </w:r>
      <w:r w:rsidDel="00000000" w:rsidR="00000000" w:rsidRPr="00000000">
        <w:rPr>
          <w:rtl w:val="0"/>
        </w:rPr>
      </w:r>
    </w:p>
    <w:p w:rsidR="00000000" w:rsidDel="00000000" w:rsidP="00000000" w:rsidRDefault="00000000" w:rsidRPr="00000000" w14:paraId="00000009">
      <w:pPr>
        <w:pStyle w:val="Heading2"/>
        <w:spacing w:after="150" w:before="300" w:lineRule="auto"/>
        <w:rPr>
          <w:rFonts w:ascii="Lora" w:cs="Lora" w:eastAsia="Lora" w:hAnsi="Lora"/>
        </w:rPr>
      </w:pPr>
      <w:r w:rsidDel="00000000" w:rsidR="00000000" w:rsidRPr="00000000">
        <w:rPr>
          <w:rFonts w:ascii="Lora" w:cs="Lora" w:eastAsia="Lora" w:hAnsi="Lora"/>
          <w:rtl w:val="0"/>
        </w:rPr>
        <w:t xml:space="preserve">Pruebas de funcionamiento</w:t>
      </w:r>
    </w:p>
    <w:p w:rsidR="00000000" w:rsidDel="00000000" w:rsidP="00000000" w:rsidRDefault="00000000" w:rsidRPr="00000000" w14:paraId="0000000A">
      <w:pPr>
        <w:spacing w:after="150" w:lineRule="auto"/>
        <w:rPr>
          <w:rFonts w:ascii="Lora" w:cs="Lora" w:eastAsia="Lora" w:hAnsi="Lora"/>
        </w:rPr>
      </w:pPr>
      <w:r w:rsidDel="00000000" w:rsidR="00000000" w:rsidRPr="00000000">
        <w:rPr>
          <w:rFonts w:ascii="Lora" w:cs="Lora" w:eastAsia="Lora" w:hAnsi="Lora"/>
          <w:rtl w:val="0"/>
        </w:rPr>
        <w:t xml:space="preserve">A continuación se muestra el dashboard final en funcionamiento, con los cuatro KPI, el gráfico de ventas por categoría y el gráfico de evolución de ventas por día:</w:t>
      </w:r>
    </w:p>
    <w:p w:rsidR="00000000" w:rsidDel="00000000" w:rsidP="00000000" w:rsidRDefault="00000000" w:rsidRPr="00000000" w14:paraId="0000000B">
      <w:pPr>
        <w:spacing w:after="100" w:before="100" w:lineRule="auto"/>
        <w:jc w:val="center"/>
        <w:rPr>
          <w:rFonts w:ascii="Lora" w:cs="Lora" w:eastAsia="Lora" w:hAnsi="Lora"/>
        </w:rPr>
      </w:pPr>
      <w:r w:rsidDel="00000000" w:rsidR="00000000" w:rsidRPr="00000000">
        <w:rPr>
          <w:rFonts w:ascii="Lora" w:cs="Lora" w:eastAsia="Lora" w:hAnsi="Lora"/>
        </w:rPr>
        <w:drawing>
          <wp:inline distB="0" distT="0" distL="0" distR="0">
            <wp:extent cx="6281738" cy="3459061"/>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281738" cy="345906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50" w:lineRule="auto"/>
        <w:jc w:val="center"/>
        <w:rPr>
          <w:rFonts w:ascii="Lora" w:cs="Lora" w:eastAsia="Lora" w:hAnsi="Lora"/>
        </w:rPr>
      </w:pPr>
      <w:r w:rsidDel="00000000" w:rsidR="00000000" w:rsidRPr="00000000">
        <w:rPr>
          <w:rFonts w:ascii="Lora" w:cs="Lora" w:eastAsia="Lora" w:hAnsi="Lora"/>
          <w:i w:val="1"/>
          <w:iCs w:val="1"/>
          <w:sz w:val="20"/>
          <w:szCs w:val="20"/>
          <w:rtl w:val="0"/>
        </w:rPr>
        <w:t xml:space="preserve">Figura 1. Dashboard BI de Comercial Vida — vista general</w:t>
      </w:r>
      <w:r w:rsidDel="00000000" w:rsidR="00000000" w:rsidRPr="00000000">
        <w:rPr>
          <w:rtl w:val="0"/>
        </w:rPr>
      </w:r>
    </w:p>
    <w:p w:rsidR="00000000" w:rsidDel="00000000" w:rsidP="00000000" w:rsidRDefault="00000000" w:rsidRPr="00000000" w14:paraId="0000000D">
      <w:pPr>
        <w:pStyle w:val="Heading2"/>
        <w:spacing w:after="150" w:before="300" w:lineRule="auto"/>
        <w:rPr>
          <w:rFonts w:ascii="Lora" w:cs="Lora" w:eastAsia="Lora" w:hAnsi="Lora"/>
        </w:rPr>
      </w:pPr>
      <w:r w:rsidDel="00000000" w:rsidR="00000000" w:rsidRPr="00000000">
        <w:rPr>
          <w:rtl w:val="0"/>
        </w:rPr>
      </w:r>
    </w:p>
    <w:p w:rsidR="00000000" w:rsidDel="00000000" w:rsidP="00000000" w:rsidRDefault="00000000" w:rsidRPr="00000000" w14:paraId="0000000E">
      <w:pPr>
        <w:pStyle w:val="Heading2"/>
        <w:spacing w:after="150" w:before="300" w:lineRule="auto"/>
        <w:rPr>
          <w:rFonts w:ascii="Lora" w:cs="Lora" w:eastAsia="Lora" w:hAnsi="Lora"/>
        </w:rPr>
      </w:pPr>
      <w:r w:rsidDel="00000000" w:rsidR="00000000" w:rsidRPr="00000000">
        <w:rPr>
          <w:rFonts w:ascii="Lora" w:cs="Lora" w:eastAsia="Lora" w:hAnsi="Lora"/>
          <w:rtl w:val="0"/>
        </w:rPr>
        <w:t xml:space="preserve">Resultado y conclusión</w:t>
      </w:r>
    </w:p>
    <w:p w:rsidR="00000000" w:rsidDel="00000000" w:rsidP="00000000" w:rsidRDefault="00000000" w:rsidRPr="00000000" w14:paraId="0000000F">
      <w:pPr>
        <w:spacing w:after="150" w:lineRule="auto"/>
        <w:rPr>
          <w:rFonts w:ascii="Lora" w:cs="Lora" w:eastAsia="Lora" w:hAnsi="Lora"/>
        </w:rPr>
      </w:pPr>
      <w:r w:rsidDel="00000000" w:rsidR="00000000" w:rsidRPr="00000000">
        <w:rPr>
          <w:rFonts w:ascii="Lora" w:cs="Lora" w:eastAsia="Lora" w:hAnsi="Lora"/>
          <w:rtl w:val="0"/>
        </w:rPr>
        <w:t xml:space="preserve">El dashboard carga correctamente los 100 registros de venta del Data Warehouse, muestra un total de S/ 75,953.90 en ventas, 307 unidades vendidas, un ticket promedio de S/ 247.41 y 100 transacciones. Se concluye que el modelo dimensional del punto 5 es apto para consumo directo por una herramienta de BI sin transformaciones adicionales, validando el trabajo de modelado realizado previamente.</w:t>
      </w:r>
    </w:p>
    <w:p w:rsidR="00000000" w:rsidDel="00000000" w:rsidP="00000000" w:rsidRDefault="00000000" w:rsidRPr="00000000" w14:paraId="00000010">
      <w:pPr>
        <w:spacing w:after="150" w:lineRule="auto"/>
        <w:rPr>
          <w:rFonts w:ascii="Lora" w:cs="Lora" w:eastAsia="Lora" w:hAnsi="Lora"/>
        </w:rPr>
      </w:pPr>
      <w:r w:rsidDel="00000000" w:rsidR="00000000" w:rsidRPr="00000000">
        <w:rPr>
          <w:rtl w:val="0"/>
        </w:rPr>
      </w:r>
    </w:p>
    <w:tbl>
      <w:tblPr>
        <w:tblStyle w:val="Table1"/>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0"/>
        <w:tblGridChange w:id="0">
          <w:tblGrid>
            <w:gridCol w:w="8700"/>
          </w:tblGrid>
        </w:tblGridChange>
      </w:tblGrid>
      <w:tr>
        <w:trPr>
          <w:cantSplit w:val="0"/>
          <w:tblHeader w:val="0"/>
        </w:trPr>
        <w:tc>
          <w:tcPr>
            <w:shd w:fill="fff4e5" w:val="clear"/>
            <w:tcMar>
              <w:top w:w="150.0" w:type="dxa"/>
              <w:left w:w="150.0" w:type="dxa"/>
              <w:bottom w:w="150.0" w:type="dxa"/>
              <w:right w:w="150.0" w:type="dxa"/>
            </w:tcMar>
          </w:tcPr>
          <w:p w:rsidR="00000000" w:rsidDel="00000000" w:rsidP="00000000" w:rsidRDefault="00000000" w:rsidRPr="00000000" w14:paraId="00000011">
            <w:pPr>
              <w:spacing w:after="100" w:lineRule="auto"/>
              <w:rPr>
                <w:rFonts w:ascii="Lora" w:cs="Lora" w:eastAsia="Lora" w:hAnsi="Lora"/>
              </w:rPr>
            </w:pPr>
            <w:r w:rsidDel="00000000" w:rsidR="00000000" w:rsidRPr="00000000">
              <w:rPr>
                <w:rFonts w:ascii="Lora" w:cs="Lora" w:eastAsia="Lora" w:hAnsi="Lora"/>
                <w:b w:val="1"/>
                <w:bCs w:val="1"/>
                <w:rtl w:val="0"/>
              </w:rPr>
              <w:t xml:space="preserve">Riesgo identificado: </w:t>
            </w:r>
            <w:r w:rsidDel="00000000" w:rsidR="00000000" w:rsidRPr="00000000">
              <w:rPr>
                <w:rFonts w:ascii="Lora" w:cs="Lora" w:eastAsia="Lora" w:hAnsi="Lora"/>
                <w:rtl w:val="0"/>
              </w:rPr>
              <w:t xml:space="preserve">El dashboard se cargó en modo Importación, por lo que muestra una fotografía de los datos al momento de la carga; si el DW recibe nuevas ventas, el dashboard no las refleja hasta que se presione 'Actualizar'.</w:t>
            </w:r>
          </w:p>
          <w:p w:rsidR="00000000" w:rsidDel="00000000" w:rsidP="00000000" w:rsidRDefault="00000000" w:rsidRPr="00000000" w14:paraId="00000012">
            <w:pPr>
              <w:rPr>
                <w:rFonts w:ascii="Lora" w:cs="Lora" w:eastAsia="Lora" w:hAnsi="Lora"/>
              </w:rPr>
            </w:pPr>
            <w:r w:rsidDel="00000000" w:rsidR="00000000" w:rsidRPr="00000000">
              <w:rPr>
                <w:rFonts w:ascii="Lora" w:cs="Lora" w:eastAsia="Lora" w:hAnsi="Lora"/>
                <w:b w:val="1"/>
                <w:bCs w:val="1"/>
                <w:rtl w:val="0"/>
              </w:rPr>
              <w:t xml:space="preserve">Control propuesto: </w:t>
            </w:r>
            <w:r w:rsidDel="00000000" w:rsidR="00000000" w:rsidRPr="00000000">
              <w:rPr>
                <w:rFonts w:ascii="Lora" w:cs="Lora" w:eastAsia="Lora" w:hAnsi="Lora"/>
                <w:rtl w:val="0"/>
              </w:rPr>
              <w:t xml:space="preserve">Antes de cada presentación o entrega, ejecutar manualmente 'Actualizar' en Power BI para sincronizar con el estado actual del DW, y documentar la fecha/hora de la última actualización junto al dashboard.</w:t>
            </w:r>
          </w:p>
        </w:tc>
      </w:tr>
    </w:tbl>
    <w:p w:rsidR="00000000" w:rsidDel="00000000" w:rsidP="00000000" w:rsidRDefault="00000000" w:rsidRPr="00000000" w14:paraId="00000013">
      <w:pPr>
        <w:pStyle w:val="Heading1"/>
        <w:spacing w:after="200" w:before="400" w:lineRule="auto"/>
        <w:rPr>
          <w:rFonts w:ascii="Lora" w:cs="Lora" w:eastAsia="Lora" w:hAnsi="Lora"/>
          <w:b w:val="1"/>
          <w:bCs w:val="1"/>
        </w:rPr>
      </w:pPr>
      <w:r w:rsidDel="00000000" w:rsidR="00000000" w:rsidRPr="00000000">
        <w:rPr>
          <w:rtl w:val="0"/>
        </w:rPr>
      </w:r>
    </w:p>
    <w:p w:rsidR="00000000" w:rsidDel="00000000" w:rsidP="00000000" w:rsidRDefault="00000000" w:rsidRPr="00000000" w14:paraId="00000014">
      <w:pPr>
        <w:pStyle w:val="Heading1"/>
        <w:spacing w:after="200" w:before="400" w:lineRule="auto"/>
        <w:rPr>
          <w:rFonts w:ascii="Lora" w:cs="Lora" w:eastAsia="Lora" w:hAnsi="Lora"/>
          <w:b w:val="1"/>
          <w:bCs w:val="1"/>
        </w:rPr>
      </w:pPr>
      <w:r w:rsidDel="00000000" w:rsidR="00000000" w:rsidRPr="00000000">
        <w:rPr>
          <w:rtl w:val="0"/>
        </w:rPr>
      </w:r>
    </w:p>
    <w:p w:rsidR="00000000" w:rsidDel="00000000" w:rsidP="00000000" w:rsidRDefault="00000000" w:rsidRPr="00000000" w14:paraId="00000015">
      <w:pPr>
        <w:pStyle w:val="Heading1"/>
        <w:spacing w:after="200" w:before="400" w:lineRule="auto"/>
        <w:rPr>
          <w:rFonts w:ascii="Lora" w:cs="Lora" w:eastAsia="Lora" w:hAnsi="Lora"/>
          <w:b w:val="1"/>
          <w:bCs w:val="1"/>
        </w:rPr>
      </w:pPr>
      <w:r w:rsidDel="00000000" w:rsidR="00000000" w:rsidRPr="00000000">
        <w:rPr>
          <w:rtl w:val="0"/>
        </w:rPr>
      </w:r>
    </w:p>
    <w:p w:rsidR="00000000" w:rsidDel="00000000" w:rsidP="00000000" w:rsidRDefault="00000000" w:rsidRPr="00000000" w14:paraId="00000016">
      <w:pPr>
        <w:pStyle w:val="Heading1"/>
        <w:spacing w:after="200" w:before="400" w:lineRule="auto"/>
        <w:rPr>
          <w:rFonts w:ascii="Lora" w:cs="Lora" w:eastAsia="Lora" w:hAnsi="Lora"/>
          <w:b w:val="1"/>
          <w:bCs w:val="1"/>
        </w:rPr>
      </w:pPr>
      <w:r w:rsidDel="00000000" w:rsidR="00000000" w:rsidRPr="00000000">
        <w:rPr>
          <w:rFonts w:ascii="Lora" w:cs="Lora" w:eastAsia="Lora" w:hAnsi="Lora"/>
          <w:b w:val="1"/>
          <w:bCs w:val="1"/>
          <w:rtl w:val="0"/>
        </w:rPr>
        <w:t xml:space="preserve">6.2 Creación de KPIs pertinentes</w:t>
      </w:r>
    </w:p>
    <w:p w:rsidR="00000000" w:rsidDel="00000000" w:rsidP="00000000" w:rsidRDefault="00000000" w:rsidRPr="00000000" w14:paraId="00000017">
      <w:pPr>
        <w:pStyle w:val="Heading2"/>
        <w:spacing w:after="150" w:before="300" w:lineRule="auto"/>
        <w:rPr>
          <w:rFonts w:ascii="Lora" w:cs="Lora" w:eastAsia="Lora" w:hAnsi="Lora"/>
        </w:rPr>
      </w:pPr>
      <w:r w:rsidDel="00000000" w:rsidR="00000000" w:rsidRPr="00000000">
        <w:rPr>
          <w:rFonts w:ascii="Lora" w:cs="Lora" w:eastAsia="Lora" w:hAnsi="Lora"/>
          <w:rtl w:val="0"/>
        </w:rPr>
        <w:t xml:space="preserve">Explicación</w:t>
      </w:r>
    </w:p>
    <w:p w:rsidR="00000000" w:rsidDel="00000000" w:rsidP="00000000" w:rsidRDefault="00000000" w:rsidRPr="00000000" w14:paraId="00000018">
      <w:pPr>
        <w:spacing w:after="150" w:lineRule="auto"/>
        <w:rPr>
          <w:rFonts w:ascii="Lora" w:cs="Lora" w:eastAsia="Lora" w:hAnsi="Lora"/>
        </w:rPr>
      </w:pPr>
      <w:r w:rsidDel="00000000" w:rsidR="00000000" w:rsidRPr="00000000">
        <w:rPr>
          <w:rFonts w:ascii="Lora" w:cs="Lora" w:eastAsia="Lora" w:hAnsi="Lora"/>
          <w:rtl w:val="0"/>
        </w:rPr>
        <w:t xml:space="preserve">Se definieron cuatro KPI como medidas DAX sobre la tabla de hechos </w:t>
      </w:r>
      <w:r w:rsidDel="00000000" w:rsidR="00000000" w:rsidRPr="00000000">
        <w:rPr>
          <w:rFonts w:ascii="Lora" w:cs="Lora" w:eastAsia="Lora" w:hAnsi="Lora"/>
          <w:rtl w:val="0"/>
        </w:rPr>
        <w:t xml:space="preserve">FactVenta</w:t>
      </w:r>
      <w:r w:rsidDel="00000000" w:rsidR="00000000" w:rsidRPr="00000000">
        <w:rPr>
          <w:rFonts w:ascii="Lora" w:cs="Lora" w:eastAsia="Lora" w:hAnsi="Lora"/>
          <w:rtl w:val="0"/>
        </w:rPr>
        <w:t xml:space="preserve">, cada uno respondiendo a una pregunta de negocio distinta: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w:cs="Lora" w:eastAsia="Lora" w:hAnsi="Lora"/>
        </w:rPr>
      </w:pPr>
      <w:r w:rsidDel="00000000" w:rsidR="00000000" w:rsidRPr="00000000">
        <w:rPr>
          <w:rFonts w:ascii="Lora" w:cs="Lora" w:eastAsia="Lora" w:hAnsi="Lora"/>
          <w:i w:val="0"/>
          <w:iCs w:val="0"/>
          <w:smallCaps w:val="0"/>
          <w:strike w:val="0"/>
          <w:color w:val="000000"/>
          <w:sz w:val="20"/>
          <w:szCs w:val="20"/>
          <w:u w:val="none"/>
          <w:shd w:fill="auto" w:val="clear"/>
          <w:vertAlign w:val="baseline"/>
          <w:rtl w:val="0"/>
        </w:rPr>
        <w:t xml:space="preserve">Ventas Totales: ¿cuánto ha facturado Comercial Vida en el período analizado?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w:cs="Lora" w:eastAsia="Lora" w:hAnsi="Lora"/>
        </w:rPr>
      </w:pPr>
      <w:r w:rsidDel="00000000" w:rsidR="00000000" w:rsidRPr="00000000">
        <w:rPr>
          <w:rFonts w:ascii="Lora" w:cs="Lora" w:eastAsia="Lora" w:hAnsi="Lora"/>
          <w:i w:val="0"/>
          <w:iCs w:val="0"/>
          <w:smallCaps w:val="0"/>
          <w:strike w:val="0"/>
          <w:color w:val="000000"/>
          <w:sz w:val="20"/>
          <w:szCs w:val="20"/>
          <w:u w:val="none"/>
          <w:shd w:fill="auto" w:val="clear"/>
          <w:vertAlign w:val="baseline"/>
          <w:rtl w:val="0"/>
        </w:rPr>
        <w:t xml:space="preserve">Cantidad Vendida: ¿cuántas unidades de repuestos se han despachado?</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w:cs="Lora" w:eastAsia="Lora" w:hAnsi="Lora"/>
        </w:rPr>
      </w:pPr>
      <w:r w:rsidDel="00000000" w:rsidR="00000000" w:rsidRPr="00000000">
        <w:rPr>
          <w:rFonts w:ascii="Lora" w:cs="Lora" w:eastAsia="Lora" w:hAnsi="Lora"/>
          <w:i w:val="0"/>
          <w:iCs w:val="0"/>
          <w:smallCaps w:val="0"/>
          <w:strike w:val="0"/>
          <w:color w:val="000000"/>
          <w:sz w:val="20"/>
          <w:szCs w:val="20"/>
          <w:u w:val="none"/>
          <w:shd w:fill="auto" w:val="clear"/>
          <w:vertAlign w:val="baseline"/>
          <w:rtl w:val="0"/>
        </w:rPr>
        <w:t xml:space="preserve">Ticket Promedio: ¿cuál es el valor promedio de una venta individual?</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w:cs="Lora" w:eastAsia="Lora" w:hAnsi="Lora"/>
        </w:rPr>
      </w:pPr>
      <w:r w:rsidDel="00000000" w:rsidR="00000000" w:rsidRPr="00000000">
        <w:rPr>
          <w:rFonts w:ascii="Lora" w:cs="Lora" w:eastAsia="Lora" w:hAnsi="Lora"/>
          <w:i w:val="0"/>
          <w:iCs w:val="0"/>
          <w:smallCaps w:val="0"/>
          <w:strike w:val="0"/>
          <w:color w:val="000000"/>
          <w:sz w:val="20"/>
          <w:szCs w:val="20"/>
          <w:u w:val="none"/>
          <w:shd w:fill="auto" w:val="clear"/>
          <w:vertAlign w:val="baseline"/>
          <w:rtl w:val="0"/>
        </w:rPr>
        <w:t xml:space="preserve">Total Transacciones: ¿cuántas ventas distintas se han registrado?</w:t>
      </w:r>
    </w:p>
    <w:p w:rsidR="00000000" w:rsidDel="00000000" w:rsidP="00000000" w:rsidRDefault="00000000" w:rsidRPr="00000000" w14:paraId="0000001D">
      <w:pPr>
        <w:spacing w:after="150" w:lineRule="auto"/>
        <w:rPr>
          <w:rFonts w:ascii="Lora" w:cs="Lora" w:eastAsia="Lora" w:hAnsi="Lora"/>
        </w:rPr>
      </w:pPr>
      <w:r w:rsidDel="00000000" w:rsidR="00000000" w:rsidRPr="00000000">
        <w:rPr>
          <w:rFonts w:ascii="Lora" w:cs="Lora" w:eastAsia="Lora" w:hAnsi="Lora"/>
          <w:rtl w:val="0"/>
        </w:rPr>
        <w:t xml:space="preserve">Los datos de origen de los cuatro KPI provienen de la columna </w:t>
      </w:r>
      <w:r w:rsidDel="00000000" w:rsidR="00000000" w:rsidRPr="00000000">
        <w:rPr>
          <w:rFonts w:ascii="Lora" w:cs="Lora" w:eastAsia="Lora" w:hAnsi="Lora"/>
          <w:rtl w:val="0"/>
        </w:rPr>
        <w:t xml:space="preserve">ImporteVenta</w:t>
      </w:r>
      <w:r w:rsidDel="00000000" w:rsidR="00000000" w:rsidRPr="00000000">
        <w:rPr>
          <w:rFonts w:ascii="Lora" w:cs="Lora" w:eastAsia="Lora" w:hAnsi="Lora"/>
          <w:rtl w:val="0"/>
        </w:rPr>
        <w:t xml:space="preserve"> y Cantidad de </w:t>
      </w:r>
      <w:r w:rsidDel="00000000" w:rsidR="00000000" w:rsidRPr="00000000">
        <w:rPr>
          <w:rFonts w:ascii="Lora" w:cs="Lora" w:eastAsia="Lora" w:hAnsi="Lora"/>
          <w:rtl w:val="0"/>
        </w:rPr>
        <w:t xml:space="preserve">FactVenta</w:t>
      </w:r>
      <w:r w:rsidDel="00000000" w:rsidR="00000000" w:rsidRPr="00000000">
        <w:rPr>
          <w:rFonts w:ascii="Lora" w:cs="Lora" w:eastAsia="Lora" w:hAnsi="Lora"/>
          <w:rtl w:val="0"/>
        </w:rPr>
        <w:t xml:space="preserve">, y del identificador IdVenta que agrupa las líneas de detalle de una misma venta.</w:t>
      </w:r>
    </w:p>
    <w:p w:rsidR="00000000" w:rsidDel="00000000" w:rsidP="00000000" w:rsidRDefault="00000000" w:rsidRPr="00000000" w14:paraId="0000001E">
      <w:pPr>
        <w:pStyle w:val="Heading2"/>
        <w:spacing w:after="150" w:before="300" w:lineRule="auto"/>
        <w:rPr>
          <w:rFonts w:ascii="Lora" w:cs="Lora" w:eastAsia="Lora" w:hAnsi="Lora"/>
        </w:rPr>
      </w:pPr>
      <w:r w:rsidDel="00000000" w:rsidR="00000000" w:rsidRPr="00000000">
        <w:rPr>
          <w:rFonts w:ascii="Lora" w:cs="Lora" w:eastAsia="Lora" w:hAnsi="Lora"/>
          <w:rtl w:val="0"/>
        </w:rPr>
        <w:t xml:space="preserve">Justificación técnica</w:t>
      </w:r>
    </w:p>
    <w:p w:rsidR="00000000" w:rsidDel="00000000" w:rsidP="00000000" w:rsidRDefault="00000000" w:rsidRPr="00000000" w14:paraId="0000001F">
      <w:pPr>
        <w:spacing w:after="150" w:lineRule="auto"/>
        <w:rPr>
          <w:rFonts w:ascii="Lora" w:cs="Lora" w:eastAsia="Lora" w:hAnsi="Lora"/>
        </w:rPr>
      </w:pPr>
      <w:r w:rsidDel="00000000" w:rsidR="00000000" w:rsidRPr="00000000">
        <w:rPr>
          <w:rFonts w:ascii="Lora" w:cs="Lora" w:eastAsia="Lora" w:hAnsi="Lora"/>
          <w:rtl w:val="0"/>
        </w:rPr>
        <w:t xml:space="preserve">Se implementaron como medidas (no como columnas calculadas) porque su valor depende del contexto de filtro activo en el reporte (por ejemplo, cambia según el año, la categoría o el cliente seleccionado), que es exactamente el comportamiento que ofrecen las medidas DAX frente a las columnas, que son estáticas fila por fila. Para Ticket Promedio se usó la función DIVIDE en lugar del operador '/' porque DIVIDE maneja de forma segura la división entre cero, devolviendo un valor en blanco en vez de un error cuando el filtro activo no tiene transacciones.</w:t>
      </w:r>
    </w:p>
    <w:p w:rsidR="00000000" w:rsidDel="00000000" w:rsidP="00000000" w:rsidRDefault="00000000" w:rsidRPr="00000000" w14:paraId="00000020">
      <w:pPr>
        <w:pStyle w:val="Heading2"/>
        <w:spacing w:after="150" w:before="300" w:lineRule="auto"/>
        <w:rPr>
          <w:rFonts w:ascii="Lora" w:cs="Lora" w:eastAsia="Lora" w:hAnsi="Lora"/>
        </w:rPr>
      </w:pPr>
      <w:r w:rsidDel="00000000" w:rsidR="00000000" w:rsidRPr="00000000">
        <w:rPr>
          <w:rFonts w:ascii="Lora" w:cs="Lora" w:eastAsia="Lora" w:hAnsi="Lora"/>
          <w:rtl w:val="0"/>
        </w:rPr>
        <w:t xml:space="preserve">Código / script desarrollado</w:t>
      </w:r>
    </w:p>
    <w:p w:rsidR="00000000" w:rsidDel="00000000" w:rsidP="00000000" w:rsidRDefault="00000000" w:rsidRPr="00000000" w14:paraId="00000021">
      <w:pPr>
        <w:pBdr>
          <w:top w:color="cccccc" w:space="0" w:sz="4" w:val="single"/>
          <w:left w:color="cccccc" w:space="0" w:sz="4" w:val="single"/>
          <w:bottom w:color="cccccc" w:space="0" w:sz="4" w:val="single"/>
          <w:right w:color="cccccc" w:space="0" w:sz="4" w:val="single"/>
        </w:pBdr>
        <w:shd w:fill="f2f2f2" w:val="clear"/>
        <w:spacing w:after="200" w:before="100" w:lineRule="auto"/>
        <w:rPr>
          <w:rFonts w:ascii="Lora" w:cs="Lora" w:eastAsia="Lora" w:hAnsi="Lora"/>
        </w:rPr>
      </w:pPr>
      <w:r w:rsidDel="00000000" w:rsidR="00000000" w:rsidRPr="00000000">
        <w:rPr>
          <w:rFonts w:ascii="Lora" w:cs="Lora" w:eastAsia="Lora" w:hAnsi="Lora"/>
          <w:sz w:val="18"/>
          <w:szCs w:val="18"/>
          <w:rtl w:val="0"/>
        </w:rPr>
        <w:t xml:space="preserve">Ventas Totales = SUM(</w:t>
      </w:r>
      <w:r w:rsidDel="00000000" w:rsidR="00000000" w:rsidRPr="00000000">
        <w:rPr>
          <w:rFonts w:ascii="Lora" w:cs="Lora" w:eastAsia="Lora" w:hAnsi="Lora"/>
          <w:sz w:val="18"/>
          <w:szCs w:val="18"/>
          <w:rtl w:val="0"/>
        </w:rPr>
        <w:t xml:space="preserve">FactVenta</w:t>
      </w:r>
      <w:r w:rsidDel="00000000" w:rsidR="00000000" w:rsidRPr="00000000">
        <w:rPr>
          <w:rFonts w:ascii="Lora" w:cs="Lora" w:eastAsia="Lora" w:hAnsi="Lora"/>
          <w:sz w:val="18"/>
          <w:szCs w:val="18"/>
          <w:rtl w:val="0"/>
        </w:rPr>
        <w:t xml:space="preserve">[</w:t>
      </w:r>
      <w:r w:rsidDel="00000000" w:rsidR="00000000" w:rsidRPr="00000000">
        <w:rPr>
          <w:rFonts w:ascii="Lora" w:cs="Lora" w:eastAsia="Lora" w:hAnsi="Lora"/>
          <w:sz w:val="18"/>
          <w:szCs w:val="18"/>
          <w:rtl w:val="0"/>
        </w:rPr>
        <w:t xml:space="preserve">ImporteVenta</w:t>
      </w:r>
      <w:r w:rsidDel="00000000" w:rsidR="00000000" w:rsidRPr="00000000">
        <w:rPr>
          <w:rFonts w:ascii="Lora" w:cs="Lora" w:eastAsia="Lora" w:hAnsi="Lora"/>
          <w:sz w:val="18"/>
          <w:szCs w:val="18"/>
          <w:rtl w:val="0"/>
        </w:rPr>
        <w:t xml:space="preserve">])</w:t>
        <w:br w:type="textWrapping"/>
        <w:br w:type="textWrapping"/>
        <w:t xml:space="preserve">Cantidad Vendida = SUM(</w:t>
      </w:r>
      <w:r w:rsidDel="00000000" w:rsidR="00000000" w:rsidRPr="00000000">
        <w:rPr>
          <w:rFonts w:ascii="Lora" w:cs="Lora" w:eastAsia="Lora" w:hAnsi="Lora"/>
          <w:sz w:val="18"/>
          <w:szCs w:val="18"/>
          <w:rtl w:val="0"/>
        </w:rPr>
        <w:t xml:space="preserve">FactVenta</w:t>
      </w:r>
      <w:r w:rsidDel="00000000" w:rsidR="00000000" w:rsidRPr="00000000">
        <w:rPr>
          <w:rFonts w:ascii="Lora" w:cs="Lora" w:eastAsia="Lora" w:hAnsi="Lora"/>
          <w:sz w:val="18"/>
          <w:szCs w:val="18"/>
          <w:rtl w:val="0"/>
        </w:rPr>
        <w:t xml:space="preserve">[Cantidad])</w:t>
        <w:br w:type="textWrapping"/>
        <w:br w:type="textWrapping"/>
        <w:t xml:space="preserve">Total Transacciones = DISTINCTCOUNT(</w:t>
      </w:r>
      <w:r w:rsidDel="00000000" w:rsidR="00000000" w:rsidRPr="00000000">
        <w:rPr>
          <w:rFonts w:ascii="Lora" w:cs="Lora" w:eastAsia="Lora" w:hAnsi="Lora"/>
          <w:sz w:val="18"/>
          <w:szCs w:val="18"/>
          <w:rtl w:val="0"/>
        </w:rPr>
        <w:t xml:space="preserve">FactVenta</w:t>
      </w:r>
      <w:r w:rsidDel="00000000" w:rsidR="00000000" w:rsidRPr="00000000">
        <w:rPr>
          <w:rFonts w:ascii="Lora" w:cs="Lora" w:eastAsia="Lora" w:hAnsi="Lora"/>
          <w:sz w:val="18"/>
          <w:szCs w:val="18"/>
          <w:rtl w:val="0"/>
        </w:rPr>
        <w:t xml:space="preserve">[IdVenta])</w:t>
        <w:br w:type="textWrapping"/>
        <w:br w:type="textWrapping"/>
        <w:t xml:space="preserve">Ticket Promedio = DIVIDE([Ventas Totales], [Total Transacciones])</w:t>
      </w:r>
      <w:r w:rsidDel="00000000" w:rsidR="00000000" w:rsidRPr="00000000">
        <w:rPr>
          <w:rtl w:val="0"/>
        </w:rPr>
      </w:r>
    </w:p>
    <w:p w:rsidR="00000000" w:rsidDel="00000000" w:rsidP="00000000" w:rsidRDefault="00000000" w:rsidRPr="00000000" w14:paraId="00000022">
      <w:pPr>
        <w:pStyle w:val="Heading2"/>
        <w:spacing w:after="150" w:before="300" w:lineRule="auto"/>
        <w:rPr>
          <w:rFonts w:ascii="Lora" w:cs="Lora" w:eastAsia="Lora" w:hAnsi="Lora"/>
        </w:rPr>
      </w:pPr>
      <w:r w:rsidDel="00000000" w:rsidR="00000000" w:rsidRPr="00000000">
        <w:rPr>
          <w:rFonts w:ascii="Lora" w:cs="Lora" w:eastAsia="Lora" w:hAnsi="Lora"/>
          <w:rtl w:val="0"/>
        </w:rPr>
        <w:t xml:space="preserve">Pruebas de funcionamiento</w:t>
      </w:r>
    </w:p>
    <w:p w:rsidR="00000000" w:rsidDel="00000000" w:rsidP="00000000" w:rsidRDefault="00000000" w:rsidRPr="00000000" w14:paraId="00000023">
      <w:pPr>
        <w:spacing w:after="150" w:lineRule="auto"/>
        <w:rPr>
          <w:rFonts w:ascii="Lora" w:cs="Lora" w:eastAsia="Lora" w:hAnsi="Lora"/>
        </w:rPr>
      </w:pPr>
      <w:r w:rsidDel="00000000" w:rsidR="00000000" w:rsidRPr="00000000">
        <w:rPr>
          <w:rFonts w:ascii="Lora" w:cs="Lora" w:eastAsia="Lora" w:hAnsi="Lora"/>
          <w:rtl w:val="0"/>
        </w:rPr>
        <w:t xml:space="preserve">Se verificó el valor de cada KPI directamente sobre un visual, confirmando que el detalle (tooltip) coincide con el total general del dashboard. Por ejemplo, al pasar el cursor sobre la categoría 'Sensor TPS' en el gráfico de barras se confirma el valor exacto que suma la medida Ventas Totales para esa categoría:</w:t>
      </w:r>
    </w:p>
    <w:p w:rsidR="00000000" w:rsidDel="00000000" w:rsidP="00000000" w:rsidRDefault="00000000" w:rsidRPr="00000000" w14:paraId="00000024">
      <w:pPr>
        <w:spacing w:after="100" w:before="100" w:lineRule="auto"/>
        <w:jc w:val="center"/>
        <w:rPr>
          <w:rFonts w:ascii="Lora" w:cs="Lora" w:eastAsia="Lora" w:hAnsi="Lora"/>
        </w:rPr>
      </w:pPr>
      <w:r w:rsidDel="00000000" w:rsidR="00000000" w:rsidRPr="00000000">
        <w:rPr>
          <w:rFonts w:ascii="Lora" w:cs="Lora" w:eastAsia="Lora" w:hAnsi="Lora"/>
        </w:rPr>
        <w:drawing>
          <wp:inline distB="0" distT="0" distL="0" distR="0">
            <wp:extent cx="4762500" cy="3171825"/>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625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50" w:lineRule="auto"/>
        <w:jc w:val="cente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Figura 2. Verificación de la medida Ventas Totales filtrada por categoría (tooltip)</w:t>
      </w:r>
    </w:p>
    <w:p w:rsidR="00000000" w:rsidDel="00000000" w:rsidP="00000000" w:rsidRDefault="00000000" w:rsidRPr="00000000" w14:paraId="00000026">
      <w:pPr>
        <w:spacing w:after="250" w:lineRule="auto"/>
        <w:jc w:val="center"/>
        <w:rPr>
          <w:rFonts w:ascii="Lora" w:cs="Lora" w:eastAsia="Lora" w:hAnsi="Lora"/>
          <w:i w:val="1"/>
          <w:iCs w:val="1"/>
        </w:rPr>
      </w:pPr>
      <w:r w:rsidDel="00000000" w:rsidR="00000000" w:rsidRPr="00000000">
        <w:rPr>
          <w:rtl w:val="0"/>
        </w:rPr>
      </w:r>
    </w:p>
    <w:p w:rsidR="00000000" w:rsidDel="00000000" w:rsidP="00000000" w:rsidRDefault="00000000" w:rsidRPr="00000000" w14:paraId="00000027">
      <w:pPr>
        <w:pStyle w:val="Heading2"/>
        <w:spacing w:after="150" w:before="300" w:lineRule="auto"/>
        <w:rPr>
          <w:rFonts w:ascii="Lora" w:cs="Lora" w:eastAsia="Lora" w:hAnsi="Lora"/>
        </w:rPr>
      </w:pPr>
      <w:r w:rsidDel="00000000" w:rsidR="00000000" w:rsidRPr="00000000">
        <w:rPr>
          <w:rFonts w:ascii="Lora" w:cs="Lora" w:eastAsia="Lora" w:hAnsi="Lora"/>
          <w:rtl w:val="0"/>
        </w:rPr>
        <w:t xml:space="preserve">Resultado y conclusión</w:t>
      </w:r>
    </w:p>
    <w:p w:rsidR="00000000" w:rsidDel="00000000" w:rsidP="00000000" w:rsidRDefault="00000000" w:rsidRPr="00000000" w14:paraId="00000028">
      <w:pPr>
        <w:spacing w:after="150" w:lineRule="auto"/>
        <w:rPr>
          <w:rFonts w:ascii="Lora" w:cs="Lora" w:eastAsia="Lora" w:hAnsi="Lora"/>
        </w:rPr>
      </w:pPr>
      <w:r w:rsidDel="00000000" w:rsidR="00000000" w:rsidRPr="00000000">
        <w:rPr>
          <w:rFonts w:ascii="Lora" w:cs="Lora" w:eastAsia="Lora" w:hAnsi="Lora"/>
          <w:rtl w:val="0"/>
        </w:rPr>
        <w:t xml:space="preserve">Los cuatro KPI responden correctamente al filtrado por categoría, fecha y otras dimensiones, y sus totales generales (S/ 75,953.90 / 307 unidades / S/ 247.41 / 100 transacciones) son consistentes entre las tarjetas y los gráficos del dashboard. Se concluye que las medidas DAX cubren las preguntas de negocio más relevantes para el área comercial de Comercial Vida con un número reducido de fórmulas, fáciles de mantener.</w:t>
      </w:r>
    </w:p>
    <w:tbl>
      <w:tblPr>
        <w:tblStyle w:val="Table2"/>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70"/>
        <w:tblGridChange w:id="0">
          <w:tblGrid>
            <w:gridCol w:w="8970"/>
          </w:tblGrid>
        </w:tblGridChange>
      </w:tblGrid>
      <w:tr>
        <w:trPr>
          <w:cantSplit w:val="0"/>
          <w:tblHeader w:val="0"/>
        </w:trPr>
        <w:tc>
          <w:tcPr>
            <w:shd w:fill="fff4e5" w:val="clear"/>
            <w:tcMar>
              <w:top w:w="150.0" w:type="dxa"/>
              <w:left w:w="150.0" w:type="dxa"/>
              <w:bottom w:w="150.0" w:type="dxa"/>
              <w:right w:w="150.0" w:type="dxa"/>
            </w:tcMar>
          </w:tcPr>
          <w:p w:rsidR="00000000" w:rsidDel="00000000" w:rsidP="00000000" w:rsidRDefault="00000000" w:rsidRPr="00000000" w14:paraId="00000029">
            <w:pPr>
              <w:spacing w:after="100" w:lineRule="auto"/>
              <w:rPr>
                <w:rFonts w:ascii="Lora" w:cs="Lora" w:eastAsia="Lora" w:hAnsi="Lora"/>
              </w:rPr>
            </w:pPr>
            <w:r w:rsidDel="00000000" w:rsidR="00000000" w:rsidRPr="00000000">
              <w:rPr>
                <w:rFonts w:ascii="Lora" w:cs="Lora" w:eastAsia="Lora" w:hAnsi="Lora"/>
                <w:b w:val="1"/>
                <w:bCs w:val="1"/>
                <w:rtl w:val="0"/>
              </w:rPr>
              <w:t xml:space="preserve">Riesgo identificado: </w:t>
            </w:r>
            <w:r w:rsidDel="00000000" w:rsidR="00000000" w:rsidRPr="00000000">
              <w:rPr>
                <w:rFonts w:ascii="Lora" w:cs="Lora" w:eastAsia="Lora" w:hAnsi="Lora"/>
                <w:rtl w:val="0"/>
              </w:rPr>
              <w:t xml:space="preserve">Si en el futuro una venta </w:t>
            </w:r>
            <w:r w:rsidDel="00000000" w:rsidR="00000000" w:rsidRPr="00000000">
              <w:rPr>
                <w:rFonts w:ascii="Lora" w:cs="Lora" w:eastAsia="Lora" w:hAnsi="Lora"/>
                <w:rtl w:val="0"/>
              </w:rPr>
              <w:t xml:space="preserve">quedara</w:t>
            </w:r>
            <w:r w:rsidDel="00000000" w:rsidR="00000000" w:rsidRPr="00000000">
              <w:rPr>
                <w:rFonts w:ascii="Lora" w:cs="Lora" w:eastAsia="Lora" w:hAnsi="Lora"/>
                <w:rtl w:val="0"/>
              </w:rPr>
              <w:t xml:space="preserve"> sin ninguna línea de detalle asociada en </w:t>
            </w:r>
            <w:r w:rsidDel="00000000" w:rsidR="00000000" w:rsidRPr="00000000">
              <w:rPr>
                <w:rFonts w:ascii="Lora" w:cs="Lora" w:eastAsia="Lora" w:hAnsi="Lora"/>
                <w:rtl w:val="0"/>
              </w:rPr>
              <w:t xml:space="preserve">FactVenta</w:t>
            </w:r>
            <w:r w:rsidDel="00000000" w:rsidR="00000000" w:rsidRPr="00000000">
              <w:rPr>
                <w:rFonts w:ascii="Lora" w:cs="Lora" w:eastAsia="Lora" w:hAnsi="Lora"/>
                <w:rtl w:val="0"/>
              </w:rPr>
              <w:t xml:space="preserve"> (por un error de carga en el ETL), esa venta no se contaría en Total Transacciones ni en Ventas Totales, subestimando los KPI sin que el dashboard muestre ningún error visible.</w:t>
            </w:r>
          </w:p>
          <w:p w:rsidR="00000000" w:rsidDel="00000000" w:rsidP="00000000" w:rsidRDefault="00000000" w:rsidRPr="00000000" w14:paraId="0000002A">
            <w:pPr>
              <w:rPr>
                <w:rFonts w:ascii="Lora" w:cs="Lora" w:eastAsia="Lora" w:hAnsi="Lora"/>
              </w:rPr>
            </w:pPr>
            <w:r w:rsidDel="00000000" w:rsidR="00000000" w:rsidRPr="00000000">
              <w:rPr>
                <w:rFonts w:ascii="Lora" w:cs="Lora" w:eastAsia="Lora" w:hAnsi="Lora"/>
                <w:b w:val="1"/>
                <w:bCs w:val="1"/>
                <w:rtl w:val="0"/>
              </w:rPr>
              <w:t xml:space="preserve">Control propuesto: </w:t>
            </w:r>
            <w:r w:rsidDel="00000000" w:rsidR="00000000" w:rsidRPr="00000000">
              <w:rPr>
                <w:rFonts w:ascii="Lora" w:cs="Lora" w:eastAsia="Lora" w:hAnsi="Lora"/>
                <w:rtl w:val="0"/>
              </w:rPr>
              <w:t xml:space="preserve">Agregar una medida de control 'Ventas sin detalle' que compare el conteo de IdVenta en la tabla transaccional original contra el conteo en </w:t>
            </w:r>
            <w:r w:rsidDel="00000000" w:rsidR="00000000" w:rsidRPr="00000000">
              <w:rPr>
                <w:rFonts w:ascii="Lora" w:cs="Lora" w:eastAsia="Lora" w:hAnsi="Lora"/>
                <w:rtl w:val="0"/>
              </w:rPr>
              <w:t xml:space="preserve">FactVenta</w:t>
            </w:r>
            <w:r w:rsidDel="00000000" w:rsidR="00000000" w:rsidRPr="00000000">
              <w:rPr>
                <w:rFonts w:ascii="Lora" w:cs="Lora" w:eastAsia="Lora" w:hAnsi="Lora"/>
                <w:rtl w:val="0"/>
              </w:rPr>
              <w:t xml:space="preserve">, y </w:t>
            </w:r>
            <w:r w:rsidDel="00000000" w:rsidR="00000000" w:rsidRPr="00000000">
              <w:rPr>
                <w:rFonts w:ascii="Lora" w:cs="Lora" w:eastAsia="Lora" w:hAnsi="Lora"/>
                <w:rtl w:val="0"/>
              </w:rPr>
              <w:t xml:space="preserve">revisarla periódicamente</w:t>
            </w:r>
            <w:r w:rsidDel="00000000" w:rsidR="00000000" w:rsidRPr="00000000">
              <w:rPr>
                <w:rFonts w:ascii="Lora" w:cs="Lora" w:eastAsia="Lora" w:hAnsi="Lora"/>
                <w:rtl w:val="0"/>
              </w:rPr>
              <w:t xml:space="preserve"> como parte de la validación de carga del ETL (ya contemplada en el punto 5).</w:t>
            </w:r>
          </w:p>
        </w:tc>
      </w:tr>
    </w:tbl>
    <w:p w:rsidR="00000000" w:rsidDel="00000000" w:rsidP="00000000" w:rsidRDefault="00000000" w:rsidRPr="00000000" w14:paraId="0000002B">
      <w:pPr>
        <w:pStyle w:val="Heading1"/>
        <w:spacing w:after="200" w:before="400" w:lineRule="auto"/>
        <w:rPr>
          <w:rFonts w:ascii="Lora" w:cs="Lora" w:eastAsia="Lora" w:hAnsi="Lora"/>
          <w:b w:val="1"/>
          <w:bCs w:val="1"/>
        </w:rPr>
      </w:pPr>
      <w:r w:rsidDel="00000000" w:rsidR="00000000" w:rsidRPr="00000000">
        <w:rPr>
          <w:rFonts w:ascii="Lora" w:cs="Lora" w:eastAsia="Lora" w:hAnsi="Lora"/>
          <w:b w:val="1"/>
          <w:bCs w:val="1"/>
          <w:rtl w:val="0"/>
        </w:rPr>
        <w:t xml:space="preserve">6.3 Creación de Operación OLAP</w:t>
      </w:r>
    </w:p>
    <w:p w:rsidR="00000000" w:rsidDel="00000000" w:rsidP="00000000" w:rsidRDefault="00000000" w:rsidRPr="00000000" w14:paraId="0000002C">
      <w:pPr>
        <w:pStyle w:val="Heading2"/>
        <w:spacing w:after="150" w:before="300" w:lineRule="auto"/>
        <w:rPr>
          <w:rFonts w:ascii="Lora" w:cs="Lora" w:eastAsia="Lora" w:hAnsi="Lora"/>
        </w:rPr>
      </w:pPr>
      <w:r w:rsidDel="00000000" w:rsidR="00000000" w:rsidRPr="00000000">
        <w:rPr>
          <w:rFonts w:ascii="Lora" w:cs="Lora" w:eastAsia="Lora" w:hAnsi="Lora"/>
          <w:rtl w:val="0"/>
        </w:rPr>
        <w:t xml:space="preserve">Explicación</w:t>
      </w:r>
    </w:p>
    <w:p w:rsidR="00000000" w:rsidDel="00000000" w:rsidP="00000000" w:rsidRDefault="00000000" w:rsidRPr="00000000" w14:paraId="0000002D">
      <w:pPr>
        <w:spacing w:after="150" w:lineRule="auto"/>
        <w:rPr>
          <w:rFonts w:ascii="Lora" w:cs="Lora" w:eastAsia="Lora" w:hAnsi="Lora"/>
        </w:rPr>
      </w:pPr>
      <w:sdt>
        <w:sdtPr>
          <w:id w:val="-1091523575"/>
          <w:tag w:val="goog_rdk_1"/>
        </w:sdtPr>
        <w:sdtContent>
          <w:r w:rsidDel="00000000" w:rsidR="00000000" w:rsidRPr="00000000">
            <w:rPr>
              <w:rFonts w:ascii="Nova Mono" w:cs="Nova Mono" w:eastAsia="Nova Mono" w:hAnsi="Nova Mono"/>
              <w:rtl w:val="0"/>
            </w:rPr>
            <w:t xml:space="preserve">Se implementó una operación OLAP de tipo roll-up / drill-down sobre la dimensión tiempo. Se construyó una jerarquía Año → Trimestre → Mes → Día a partir del campo </w:t>
          </w:r>
        </w:sdtContent>
      </w:sdt>
      <w:r w:rsidDel="00000000" w:rsidR="00000000" w:rsidRPr="00000000">
        <w:rPr>
          <w:rFonts w:ascii="Lora" w:cs="Lora" w:eastAsia="Lora" w:hAnsi="Lora"/>
          <w:rtl w:val="0"/>
        </w:rPr>
        <w:t xml:space="preserve">DimFecha</w:t>
      </w:r>
      <w:r w:rsidDel="00000000" w:rsidR="00000000" w:rsidRPr="00000000">
        <w:rPr>
          <w:rFonts w:ascii="Lora" w:cs="Lora" w:eastAsia="Lora" w:hAnsi="Lora"/>
          <w:rtl w:val="0"/>
        </w:rPr>
        <w:t xml:space="preserve">[Fecha], y se aplicó sobre la matriz de ventas y el gráfico de evolución temporal del dashboard. Esto permite al usuario del reporte navegar de un resumen anual agregado hacia el detalle diario (drill-down), o resumir el detalle diario de vuelta a totales trimestrales o anuales (roll-up), sin necesidad de crear reportes distintos para cada nivel de agregación.</w:t>
      </w:r>
    </w:p>
    <w:p w:rsidR="00000000" w:rsidDel="00000000" w:rsidP="00000000" w:rsidRDefault="00000000" w:rsidRPr="00000000" w14:paraId="0000002E">
      <w:pPr>
        <w:pStyle w:val="Heading2"/>
        <w:spacing w:after="150" w:before="300" w:lineRule="auto"/>
        <w:rPr>
          <w:rFonts w:ascii="Lora" w:cs="Lora" w:eastAsia="Lora" w:hAnsi="Lora"/>
        </w:rPr>
      </w:pPr>
      <w:r w:rsidDel="00000000" w:rsidR="00000000" w:rsidRPr="00000000">
        <w:rPr>
          <w:rFonts w:ascii="Lora" w:cs="Lora" w:eastAsia="Lora" w:hAnsi="Lora"/>
          <w:rtl w:val="0"/>
        </w:rPr>
        <w:t xml:space="preserve">Justificación técnica</w:t>
      </w:r>
    </w:p>
    <w:p w:rsidR="00000000" w:rsidDel="00000000" w:rsidP="00000000" w:rsidRDefault="00000000" w:rsidRPr="00000000" w14:paraId="0000002F">
      <w:pPr>
        <w:spacing w:after="150" w:lineRule="auto"/>
        <w:rPr>
          <w:rFonts w:ascii="Lora" w:cs="Lora" w:eastAsia="Lora" w:hAnsi="Lora"/>
        </w:rPr>
      </w:pPr>
      <w:r w:rsidDel="00000000" w:rsidR="00000000" w:rsidRPr="00000000">
        <w:rPr>
          <w:rFonts w:ascii="Lora" w:cs="Lora" w:eastAsia="Lora" w:hAnsi="Lora"/>
          <w:rtl w:val="0"/>
        </w:rPr>
        <w:t xml:space="preserve">Se optó por construir columnas calculadas propias (Año, Trimestre, Mes, Día) en lugar de usar la jerarquía automática de fecha de Power BI, porque la jerarquía automática genera una tabla de fechas oculta por cada campo de tipo fecha del modelo, duplicando lógica y dificultando el mantenimiento en un modelo con varias tablas de dimensión. Además, se separó Mes (nombre, para mostrar) de </w:t>
      </w:r>
      <w:r w:rsidDel="00000000" w:rsidR="00000000" w:rsidRPr="00000000">
        <w:rPr>
          <w:rFonts w:ascii="Lora" w:cs="Lora" w:eastAsia="Lora" w:hAnsi="Lora"/>
          <w:rtl w:val="0"/>
        </w:rPr>
        <w:t xml:space="preserve">MesNum</w:t>
      </w:r>
      <w:r w:rsidDel="00000000" w:rsidR="00000000" w:rsidRPr="00000000">
        <w:rPr>
          <w:rFonts w:ascii="Lora" w:cs="Lora" w:eastAsia="Lora" w:hAnsi="Lora"/>
          <w:rtl w:val="0"/>
        </w:rPr>
        <w:t xml:space="preserve"> (número, para ordenar) porque el orden alfabético por defecto de los nombres de mes en DAX es incorrecto (por ejemplo, 'abril' antes que 'enero').</w:t>
      </w:r>
    </w:p>
    <w:p w:rsidR="00000000" w:rsidDel="00000000" w:rsidP="00000000" w:rsidRDefault="00000000" w:rsidRPr="00000000" w14:paraId="00000030">
      <w:pPr>
        <w:pStyle w:val="Heading2"/>
        <w:spacing w:after="150" w:before="300" w:lineRule="auto"/>
        <w:rPr>
          <w:rFonts w:ascii="Lora" w:cs="Lora" w:eastAsia="Lora" w:hAnsi="Lora"/>
        </w:rPr>
      </w:pPr>
      <w:r w:rsidDel="00000000" w:rsidR="00000000" w:rsidRPr="00000000">
        <w:rPr>
          <w:rFonts w:ascii="Lora" w:cs="Lora" w:eastAsia="Lora" w:hAnsi="Lora"/>
          <w:rtl w:val="0"/>
        </w:rPr>
        <w:t xml:space="preserve">Código / script desarrollado</w:t>
      </w:r>
    </w:p>
    <w:p w:rsidR="00000000" w:rsidDel="00000000" w:rsidP="00000000" w:rsidRDefault="00000000" w:rsidRPr="00000000" w14:paraId="00000031">
      <w:pPr>
        <w:pBdr>
          <w:top w:color="cccccc" w:space="0" w:sz="4" w:val="single"/>
          <w:left w:color="cccccc" w:space="0" w:sz="4" w:val="single"/>
          <w:bottom w:color="cccccc" w:space="0" w:sz="4" w:val="single"/>
          <w:right w:color="cccccc" w:space="0" w:sz="4" w:val="single"/>
        </w:pBdr>
        <w:shd w:fill="f2f2f2" w:val="clear"/>
        <w:spacing w:after="200" w:before="100" w:lineRule="auto"/>
        <w:rPr>
          <w:rFonts w:ascii="Lora" w:cs="Lora" w:eastAsia="Lora" w:hAnsi="Lora"/>
          <w:b w:val="1"/>
          <w:bCs w:val="1"/>
        </w:rPr>
      </w:pPr>
      <w:r w:rsidDel="00000000" w:rsidR="00000000" w:rsidRPr="00000000">
        <w:rPr>
          <w:rFonts w:ascii="Lora" w:cs="Lora" w:eastAsia="Lora" w:hAnsi="Lora"/>
          <w:b w:val="1"/>
          <w:bCs w:val="1"/>
          <w:sz w:val="18"/>
          <w:szCs w:val="18"/>
          <w:rtl w:val="0"/>
        </w:rPr>
        <w:t xml:space="preserve">Año = YEAR(</w:t>
      </w:r>
      <w:r w:rsidDel="00000000" w:rsidR="00000000" w:rsidRPr="00000000">
        <w:rPr>
          <w:rFonts w:ascii="Lora" w:cs="Lora" w:eastAsia="Lora" w:hAnsi="Lora"/>
          <w:b w:val="1"/>
          <w:bCs w:val="1"/>
          <w:sz w:val="18"/>
          <w:szCs w:val="18"/>
          <w:rtl w:val="0"/>
        </w:rPr>
        <w:t xml:space="preserve">DimFecha</w:t>
      </w:r>
      <w:r w:rsidDel="00000000" w:rsidR="00000000" w:rsidRPr="00000000">
        <w:rPr>
          <w:rFonts w:ascii="Lora" w:cs="Lora" w:eastAsia="Lora" w:hAnsi="Lora"/>
          <w:b w:val="1"/>
          <w:bCs w:val="1"/>
          <w:sz w:val="18"/>
          <w:szCs w:val="18"/>
          <w:rtl w:val="0"/>
        </w:rPr>
        <w:t xml:space="preserve">[Fecha])</w:t>
        <w:br w:type="textWrapping"/>
        <w:br w:type="textWrapping"/>
        <w:t xml:space="preserve">Trimestre = "T" &amp; QUARTER(</w:t>
      </w:r>
      <w:r w:rsidDel="00000000" w:rsidR="00000000" w:rsidRPr="00000000">
        <w:rPr>
          <w:rFonts w:ascii="Lora" w:cs="Lora" w:eastAsia="Lora" w:hAnsi="Lora"/>
          <w:b w:val="1"/>
          <w:bCs w:val="1"/>
          <w:sz w:val="18"/>
          <w:szCs w:val="18"/>
          <w:rtl w:val="0"/>
        </w:rPr>
        <w:t xml:space="preserve">DimFecha</w:t>
      </w:r>
      <w:r w:rsidDel="00000000" w:rsidR="00000000" w:rsidRPr="00000000">
        <w:rPr>
          <w:rFonts w:ascii="Lora" w:cs="Lora" w:eastAsia="Lora" w:hAnsi="Lora"/>
          <w:b w:val="1"/>
          <w:bCs w:val="1"/>
          <w:sz w:val="18"/>
          <w:szCs w:val="18"/>
          <w:rtl w:val="0"/>
        </w:rPr>
        <w:t xml:space="preserve">[Fecha])</w:t>
        <w:br w:type="textWrapping"/>
        <w:br w:type="textWrapping"/>
      </w:r>
      <w:r w:rsidDel="00000000" w:rsidR="00000000" w:rsidRPr="00000000">
        <w:rPr>
          <w:rFonts w:ascii="Lora" w:cs="Lora" w:eastAsia="Lora" w:hAnsi="Lora"/>
          <w:b w:val="1"/>
          <w:bCs w:val="1"/>
          <w:sz w:val="18"/>
          <w:szCs w:val="18"/>
          <w:rtl w:val="0"/>
        </w:rPr>
        <w:t xml:space="preserve">MesNum</w:t>
      </w:r>
      <w:r w:rsidDel="00000000" w:rsidR="00000000" w:rsidRPr="00000000">
        <w:rPr>
          <w:rFonts w:ascii="Lora" w:cs="Lora" w:eastAsia="Lora" w:hAnsi="Lora"/>
          <w:b w:val="1"/>
          <w:bCs w:val="1"/>
          <w:sz w:val="18"/>
          <w:szCs w:val="18"/>
          <w:rtl w:val="0"/>
        </w:rPr>
        <w:t xml:space="preserve"> = MONTH(</w:t>
      </w:r>
      <w:r w:rsidDel="00000000" w:rsidR="00000000" w:rsidRPr="00000000">
        <w:rPr>
          <w:rFonts w:ascii="Lora" w:cs="Lora" w:eastAsia="Lora" w:hAnsi="Lora"/>
          <w:b w:val="1"/>
          <w:bCs w:val="1"/>
          <w:sz w:val="18"/>
          <w:szCs w:val="18"/>
          <w:rtl w:val="0"/>
        </w:rPr>
        <w:t xml:space="preserve">DimFecha</w:t>
      </w:r>
      <w:r w:rsidDel="00000000" w:rsidR="00000000" w:rsidRPr="00000000">
        <w:rPr>
          <w:rFonts w:ascii="Lora" w:cs="Lora" w:eastAsia="Lora" w:hAnsi="Lora"/>
          <w:b w:val="1"/>
          <w:bCs w:val="1"/>
          <w:sz w:val="18"/>
          <w:szCs w:val="18"/>
          <w:rtl w:val="0"/>
        </w:rPr>
        <w:t xml:space="preserve">[Fecha])</w:t>
        <w:br w:type="textWrapping"/>
        <w:br w:type="textWrapping"/>
        <w:t xml:space="preserve">Mes = FORMAT(</w:t>
      </w:r>
      <w:r w:rsidDel="00000000" w:rsidR="00000000" w:rsidRPr="00000000">
        <w:rPr>
          <w:rFonts w:ascii="Lora" w:cs="Lora" w:eastAsia="Lora" w:hAnsi="Lora"/>
          <w:b w:val="1"/>
          <w:bCs w:val="1"/>
          <w:sz w:val="18"/>
          <w:szCs w:val="18"/>
          <w:rtl w:val="0"/>
        </w:rPr>
        <w:t xml:space="preserve">DimFecha</w:t>
      </w:r>
      <w:r w:rsidDel="00000000" w:rsidR="00000000" w:rsidRPr="00000000">
        <w:rPr>
          <w:rFonts w:ascii="Lora" w:cs="Lora" w:eastAsia="Lora" w:hAnsi="Lora"/>
          <w:b w:val="1"/>
          <w:bCs w:val="1"/>
          <w:sz w:val="18"/>
          <w:szCs w:val="18"/>
          <w:rtl w:val="0"/>
        </w:rPr>
        <w:t xml:space="preserve">[Fecha], "MMMM")</w:t>
        <w:br w:type="textWrapping"/>
        <w:t xml:space="preserve">// Ordenado por columna </w:t>
      </w:r>
      <w:r w:rsidDel="00000000" w:rsidR="00000000" w:rsidRPr="00000000">
        <w:rPr>
          <w:rFonts w:ascii="Lora" w:cs="Lora" w:eastAsia="Lora" w:hAnsi="Lora"/>
          <w:b w:val="1"/>
          <w:bCs w:val="1"/>
          <w:sz w:val="18"/>
          <w:szCs w:val="18"/>
          <w:rtl w:val="0"/>
        </w:rPr>
        <w:t xml:space="preserve">MesNum</w:t>
      </w:r>
      <w:r w:rsidDel="00000000" w:rsidR="00000000" w:rsidRPr="00000000">
        <w:rPr>
          <w:rFonts w:ascii="Lora" w:cs="Lora" w:eastAsia="Lora" w:hAnsi="Lora"/>
          <w:b w:val="1"/>
          <w:bCs w:val="1"/>
          <w:sz w:val="18"/>
          <w:szCs w:val="18"/>
          <w:rtl w:val="0"/>
        </w:rPr>
        <w:br w:type="textWrapping"/>
        <w:br w:type="textWrapping"/>
        <w:t xml:space="preserve">Dia = DAY(</w:t>
      </w:r>
      <w:r w:rsidDel="00000000" w:rsidR="00000000" w:rsidRPr="00000000">
        <w:rPr>
          <w:rFonts w:ascii="Lora" w:cs="Lora" w:eastAsia="Lora" w:hAnsi="Lora"/>
          <w:b w:val="1"/>
          <w:bCs w:val="1"/>
          <w:sz w:val="18"/>
          <w:szCs w:val="18"/>
          <w:rtl w:val="0"/>
        </w:rPr>
        <w:t xml:space="preserve">DimFecha</w:t>
      </w:r>
      <w:r w:rsidDel="00000000" w:rsidR="00000000" w:rsidRPr="00000000">
        <w:rPr>
          <w:rFonts w:ascii="Lora" w:cs="Lora" w:eastAsia="Lora" w:hAnsi="Lora"/>
          <w:b w:val="1"/>
          <w:bCs w:val="1"/>
          <w:sz w:val="18"/>
          <w:szCs w:val="18"/>
          <w:rtl w:val="0"/>
        </w:rPr>
        <w:t xml:space="preserve">[Fecha])</w:t>
        <w:br w:type="textWrapping"/>
      </w:r>
      <w:r w:rsidDel="00000000" w:rsidR="00000000" w:rsidRPr="00000000">
        <w:rPr>
          <w:rFonts w:ascii="Lora" w:cs="Lora" w:eastAsia="Lora" w:hAnsi="Lora"/>
          <w:sz w:val="18"/>
          <w:szCs w:val="18"/>
          <w:rtl w:val="0"/>
        </w:rPr>
        <w:br w:type="textWrapping"/>
      </w:r>
      <w:r w:rsidDel="00000000" w:rsidR="00000000" w:rsidRPr="00000000">
        <w:rPr>
          <w:rFonts w:ascii="Lora" w:cs="Lora" w:eastAsia="Lora" w:hAnsi="Lora"/>
          <w:b w:val="1"/>
          <w:bCs w:val="1"/>
          <w:sz w:val="18"/>
          <w:szCs w:val="18"/>
          <w:rtl w:val="0"/>
        </w:rPr>
        <w:t xml:space="preserve">// Jerarquía creada en el modelo:</w:t>
        <w:br w:type="textWrapping"/>
        <w:t xml:space="preserve">// </w:t>
      </w:r>
      <w:r w:rsidDel="00000000" w:rsidR="00000000" w:rsidRPr="00000000">
        <w:rPr>
          <w:rFonts w:ascii="Lora" w:cs="Lora" w:eastAsia="Lora" w:hAnsi="Lora"/>
          <w:b w:val="1"/>
          <w:bCs w:val="1"/>
          <w:sz w:val="18"/>
          <w:szCs w:val="18"/>
          <w:rtl w:val="0"/>
        </w:rPr>
        <w:t xml:space="preserve">DimFecha</w:t>
      </w:r>
      <w:sdt>
        <w:sdtPr>
          <w:id w:val="-178790740"/>
          <w:tag w:val="goog_rdk_2"/>
        </w:sdtPr>
        <w:sdtContent>
          <w:r w:rsidDel="00000000" w:rsidR="00000000" w:rsidRPr="00000000">
            <w:rPr>
              <w:rFonts w:ascii="Nova Mono" w:cs="Nova Mono" w:eastAsia="Nova Mono" w:hAnsi="Nova Mono"/>
              <w:b w:val="1"/>
              <w:bCs w:val="1"/>
              <w:sz w:val="18"/>
              <w:szCs w:val="18"/>
              <w:rtl w:val="0"/>
            </w:rPr>
            <w:t xml:space="preserve"> → Jerarquía Fecha: Año &gt; Trimestre &gt; Mes &gt; </w:t>
          </w:r>
        </w:sdtContent>
      </w:sdt>
      <w:r w:rsidDel="00000000" w:rsidR="00000000" w:rsidRPr="00000000">
        <w:rPr>
          <w:rFonts w:ascii="Lora" w:cs="Lora" w:eastAsia="Lora" w:hAnsi="Lora"/>
          <w:b w:val="1"/>
          <w:bCs w:val="1"/>
          <w:sz w:val="18"/>
          <w:szCs w:val="18"/>
          <w:rtl w:val="0"/>
        </w:rPr>
        <w:t xml:space="preserve">Dia</w:t>
      </w:r>
      <w:r w:rsidDel="00000000" w:rsidR="00000000" w:rsidRPr="00000000">
        <w:rPr>
          <w:rtl w:val="0"/>
        </w:rPr>
      </w:r>
    </w:p>
    <w:p w:rsidR="00000000" w:rsidDel="00000000" w:rsidP="00000000" w:rsidRDefault="00000000" w:rsidRPr="00000000" w14:paraId="00000032">
      <w:pPr>
        <w:pStyle w:val="Heading2"/>
        <w:spacing w:after="150" w:before="300" w:lineRule="auto"/>
        <w:rPr>
          <w:rFonts w:ascii="Lora" w:cs="Lora" w:eastAsia="Lora" w:hAnsi="Lora"/>
        </w:rPr>
      </w:pPr>
      <w:r w:rsidDel="00000000" w:rsidR="00000000" w:rsidRPr="00000000">
        <w:rPr>
          <w:rFonts w:ascii="Lora" w:cs="Lora" w:eastAsia="Lora" w:hAnsi="Lora"/>
          <w:rtl w:val="0"/>
        </w:rPr>
        <w:t xml:space="preserve">Pruebas de funcionamiento</w:t>
      </w:r>
    </w:p>
    <w:p w:rsidR="00000000" w:rsidDel="00000000" w:rsidP="00000000" w:rsidRDefault="00000000" w:rsidRPr="00000000" w14:paraId="00000033">
      <w:pPr>
        <w:spacing w:after="150" w:lineRule="auto"/>
        <w:rPr>
          <w:rFonts w:ascii="Lora" w:cs="Lora" w:eastAsia="Lora" w:hAnsi="Lora"/>
        </w:rPr>
      </w:pPr>
      <w:r w:rsidDel="00000000" w:rsidR="00000000" w:rsidRPr="00000000">
        <w:rPr>
          <w:rFonts w:ascii="Lora" w:cs="Lora" w:eastAsia="Lora" w:hAnsi="Lora"/>
          <w:rtl w:val="0"/>
        </w:rPr>
        <w:t xml:space="preserve">Se muestra la secuencia completa de la operación OLAP, desde el nivel más agregado hasta el más detallado:</w:t>
      </w:r>
    </w:p>
    <w:p w:rsidR="00000000" w:rsidDel="00000000" w:rsidP="00000000" w:rsidRDefault="00000000" w:rsidRPr="00000000" w14:paraId="00000034">
      <w:pPr>
        <w:spacing w:after="100" w:before="100" w:lineRule="auto"/>
        <w:jc w:val="center"/>
        <w:rPr>
          <w:rFonts w:ascii="Lora" w:cs="Lora" w:eastAsia="Lora" w:hAnsi="Lora"/>
        </w:rPr>
      </w:pPr>
      <w:r w:rsidDel="00000000" w:rsidR="00000000" w:rsidRPr="00000000">
        <w:rPr>
          <w:rFonts w:ascii="Lora" w:cs="Lora" w:eastAsia="Lora" w:hAnsi="Lora"/>
        </w:rPr>
        <w:drawing>
          <wp:inline distB="0" distT="0" distL="0" distR="0">
            <wp:extent cx="3133725" cy="164782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3372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50" w:lineRule="auto"/>
        <w:jc w:val="center"/>
        <w:rPr>
          <w:rFonts w:ascii="Lora" w:cs="Lora" w:eastAsia="Lora" w:hAnsi="Lora"/>
        </w:rPr>
      </w:pPr>
      <w:r w:rsidDel="00000000" w:rsidR="00000000" w:rsidRPr="00000000">
        <w:rPr>
          <w:rFonts w:ascii="Lora" w:cs="Lora" w:eastAsia="Lora" w:hAnsi="Lora"/>
          <w:i w:val="1"/>
          <w:iCs w:val="1"/>
          <w:sz w:val="20"/>
          <w:szCs w:val="20"/>
          <w:rtl w:val="0"/>
        </w:rPr>
        <w:t xml:space="preserve">Figura 3. Nivel 1 — Año (agregado máximo)</w:t>
      </w:r>
      <w:r w:rsidDel="00000000" w:rsidR="00000000" w:rsidRPr="00000000">
        <w:rPr>
          <w:rtl w:val="0"/>
        </w:rPr>
      </w:r>
    </w:p>
    <w:p w:rsidR="00000000" w:rsidDel="00000000" w:rsidP="00000000" w:rsidRDefault="00000000" w:rsidRPr="00000000" w14:paraId="00000036">
      <w:pPr>
        <w:spacing w:after="100" w:before="100" w:lineRule="auto"/>
        <w:jc w:val="center"/>
        <w:rPr>
          <w:rFonts w:ascii="Lora" w:cs="Lora" w:eastAsia="Lora" w:hAnsi="Lora"/>
        </w:rPr>
      </w:pPr>
      <w:r w:rsidDel="00000000" w:rsidR="00000000" w:rsidRPr="00000000">
        <w:rPr>
          <w:rFonts w:ascii="Lora" w:cs="Lora" w:eastAsia="Lora" w:hAnsi="Lora"/>
        </w:rPr>
        <w:drawing>
          <wp:inline distB="0" distT="0" distL="0" distR="0">
            <wp:extent cx="2895600" cy="23622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895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50" w:lineRule="auto"/>
        <w:jc w:val="center"/>
        <w:rPr>
          <w:rFonts w:ascii="Lora" w:cs="Lora" w:eastAsia="Lora" w:hAnsi="Lora"/>
        </w:rPr>
      </w:pPr>
      <w:r w:rsidDel="00000000" w:rsidR="00000000" w:rsidRPr="00000000">
        <w:rPr>
          <w:rFonts w:ascii="Lora" w:cs="Lora" w:eastAsia="Lora" w:hAnsi="Lora"/>
          <w:i w:val="1"/>
          <w:iCs w:val="1"/>
          <w:sz w:val="20"/>
          <w:szCs w:val="20"/>
          <w:rtl w:val="0"/>
        </w:rPr>
        <w:t xml:space="preserve">Figura 4. Nivel 2 — Drill-down a Trimestre</w:t>
      </w:r>
      <w:r w:rsidDel="00000000" w:rsidR="00000000" w:rsidRPr="00000000">
        <w:rPr>
          <w:rtl w:val="0"/>
        </w:rPr>
      </w:r>
    </w:p>
    <w:p w:rsidR="00000000" w:rsidDel="00000000" w:rsidP="00000000" w:rsidRDefault="00000000" w:rsidRPr="00000000" w14:paraId="00000038">
      <w:pPr>
        <w:spacing w:after="100" w:before="100" w:lineRule="auto"/>
        <w:jc w:val="center"/>
        <w:rPr>
          <w:rFonts w:ascii="Lora" w:cs="Lora" w:eastAsia="Lora" w:hAnsi="Lora"/>
        </w:rPr>
      </w:pPr>
      <w:r w:rsidDel="00000000" w:rsidR="00000000" w:rsidRPr="00000000">
        <w:rPr>
          <w:rFonts w:ascii="Lora" w:cs="Lora" w:eastAsia="Lora" w:hAnsi="Lora"/>
        </w:rPr>
        <w:drawing>
          <wp:inline distB="0" distT="0" distL="0" distR="0">
            <wp:extent cx="3000375" cy="2905125"/>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00037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50" w:lineRule="auto"/>
        <w:jc w:val="center"/>
        <w:rPr>
          <w:rFonts w:ascii="Lora" w:cs="Lora" w:eastAsia="Lora" w:hAnsi="Lora"/>
        </w:rPr>
      </w:pPr>
      <w:r w:rsidDel="00000000" w:rsidR="00000000" w:rsidRPr="00000000">
        <w:rPr>
          <w:rFonts w:ascii="Lora" w:cs="Lora" w:eastAsia="Lora" w:hAnsi="Lora"/>
          <w:i w:val="1"/>
          <w:iCs w:val="1"/>
          <w:sz w:val="20"/>
          <w:szCs w:val="20"/>
          <w:rtl w:val="0"/>
        </w:rPr>
        <w:t xml:space="preserve">Figura 5. Nivel 3 — Drill-down a Mes</w:t>
      </w:r>
      <w:r w:rsidDel="00000000" w:rsidR="00000000" w:rsidRPr="00000000">
        <w:rPr>
          <w:rtl w:val="0"/>
        </w:rPr>
      </w:r>
    </w:p>
    <w:p w:rsidR="00000000" w:rsidDel="00000000" w:rsidP="00000000" w:rsidRDefault="00000000" w:rsidRPr="00000000" w14:paraId="0000003A">
      <w:pPr>
        <w:spacing w:after="100" w:before="100" w:lineRule="auto"/>
        <w:jc w:val="center"/>
        <w:rPr>
          <w:rFonts w:ascii="Lora" w:cs="Lora" w:eastAsia="Lora" w:hAnsi="Lora"/>
        </w:rPr>
      </w:pPr>
      <w:r w:rsidDel="00000000" w:rsidR="00000000" w:rsidRPr="00000000">
        <w:rPr>
          <w:rFonts w:ascii="Lora" w:cs="Lora" w:eastAsia="Lora" w:hAnsi="Lora"/>
        </w:rPr>
        <w:drawing>
          <wp:inline distB="0" distT="0" distL="0" distR="0">
            <wp:extent cx="2143125" cy="40386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14312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50" w:lineRule="auto"/>
        <w:jc w:val="center"/>
        <w:rPr>
          <w:rFonts w:ascii="Lora" w:cs="Lora" w:eastAsia="Lora" w:hAnsi="Lora"/>
        </w:rPr>
      </w:pPr>
      <w:r w:rsidDel="00000000" w:rsidR="00000000" w:rsidRPr="00000000">
        <w:rPr>
          <w:rFonts w:ascii="Lora" w:cs="Lora" w:eastAsia="Lora" w:hAnsi="Lora"/>
          <w:i w:val="1"/>
          <w:iCs w:val="1"/>
          <w:sz w:val="20"/>
          <w:szCs w:val="20"/>
          <w:rtl w:val="0"/>
        </w:rPr>
        <w:t xml:space="preserve">Figura 6. Nivel 4 — Drill-down a Día (máximo detalle)</w:t>
      </w:r>
      <w:r w:rsidDel="00000000" w:rsidR="00000000" w:rsidRPr="00000000">
        <w:rPr>
          <w:rtl w:val="0"/>
        </w:rPr>
      </w:r>
    </w:p>
    <w:p w:rsidR="00000000" w:rsidDel="00000000" w:rsidP="00000000" w:rsidRDefault="00000000" w:rsidRPr="00000000" w14:paraId="0000003C">
      <w:pPr>
        <w:pStyle w:val="Heading2"/>
        <w:spacing w:after="150" w:before="300" w:lineRule="auto"/>
        <w:rPr>
          <w:rFonts w:ascii="Lora" w:cs="Lora" w:eastAsia="Lora" w:hAnsi="Lora"/>
        </w:rPr>
      </w:pPr>
      <w:r w:rsidDel="00000000" w:rsidR="00000000" w:rsidRPr="00000000">
        <w:rPr>
          <w:rFonts w:ascii="Lora" w:cs="Lora" w:eastAsia="Lora" w:hAnsi="Lora"/>
          <w:rtl w:val="0"/>
        </w:rPr>
        <w:t xml:space="preserve">Resultado y conclusión</w:t>
      </w:r>
    </w:p>
    <w:p w:rsidR="00000000" w:rsidDel="00000000" w:rsidP="00000000" w:rsidRDefault="00000000" w:rsidRPr="00000000" w14:paraId="0000003D">
      <w:pPr>
        <w:spacing w:after="150" w:lineRule="auto"/>
        <w:rPr>
          <w:rFonts w:ascii="Lora" w:cs="Lora" w:eastAsia="Lora" w:hAnsi="Lora"/>
        </w:rPr>
      </w:pPr>
      <w:sdt>
        <w:sdtPr>
          <w:id w:val="1072215333"/>
          <w:tag w:val="goog_rdk_3"/>
        </w:sdtPr>
        <w:sdtContent>
          <w:r w:rsidDel="00000000" w:rsidR="00000000" w:rsidRPr="00000000">
            <w:rPr>
              <w:rFonts w:ascii="Nova Mono" w:cs="Nova Mono" w:eastAsia="Nova Mono" w:hAnsi="Nova Mono"/>
              <w:rtl w:val="0"/>
            </w:rPr>
            <w:t xml:space="preserve">La jerarquía funciona correctamente en los cuatro niveles: al expandir 2026 se listan los cuatro trimestres, al expandir un trimestre se listan sus meses, y al expandir un mes se listan los días con ventas registradas, cada uno con su total. Leída en sentido inverso (día → mes → trimestre → año), la misma jerarquía demuestra la operación de roll-up. Se concluye que la dimensión tiempo del Data Warehouse soporta correctamente análisis multinivel, cumpliendo el requisito de una operación OLAP demostrable.</w:t>
          </w:r>
        </w:sdtContent>
      </w:sdt>
    </w:p>
    <w:tbl>
      <w:tblPr>
        <w:tblStyle w:val="Table3"/>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blHeader w:val="0"/>
        </w:trPr>
        <w:tc>
          <w:tcPr>
            <w:shd w:fill="fff4e5" w:val="clear"/>
            <w:tcMar>
              <w:top w:w="150.0" w:type="dxa"/>
              <w:left w:w="150.0" w:type="dxa"/>
              <w:bottom w:w="150.0" w:type="dxa"/>
              <w:right w:w="150.0" w:type="dxa"/>
            </w:tcMar>
          </w:tcPr>
          <w:p w:rsidR="00000000" w:rsidDel="00000000" w:rsidP="00000000" w:rsidRDefault="00000000" w:rsidRPr="00000000" w14:paraId="0000003E">
            <w:pPr>
              <w:spacing w:after="100" w:lineRule="auto"/>
              <w:rPr>
                <w:rFonts w:ascii="Lora" w:cs="Lora" w:eastAsia="Lora" w:hAnsi="Lora"/>
              </w:rPr>
            </w:pPr>
            <w:r w:rsidDel="00000000" w:rsidR="00000000" w:rsidRPr="00000000">
              <w:rPr>
                <w:rFonts w:ascii="Lora" w:cs="Lora" w:eastAsia="Lora" w:hAnsi="Lora"/>
                <w:b w:val="1"/>
                <w:bCs w:val="1"/>
                <w:rtl w:val="0"/>
              </w:rPr>
              <w:t xml:space="preserve">Riesgo identificado: </w:t>
            </w:r>
            <w:r w:rsidDel="00000000" w:rsidR="00000000" w:rsidRPr="00000000">
              <w:rPr>
                <w:rFonts w:ascii="Lora" w:cs="Lora" w:eastAsia="Lora" w:hAnsi="Lora"/>
                <w:rtl w:val="0"/>
              </w:rPr>
              <w:t xml:space="preserve">La tabla </w:t>
            </w:r>
            <w:r w:rsidDel="00000000" w:rsidR="00000000" w:rsidRPr="00000000">
              <w:rPr>
                <w:rFonts w:ascii="Lora" w:cs="Lora" w:eastAsia="Lora" w:hAnsi="Lora"/>
                <w:rtl w:val="0"/>
              </w:rPr>
              <w:t xml:space="preserve">DimFecha</w:t>
            </w:r>
            <w:r w:rsidDel="00000000" w:rsidR="00000000" w:rsidRPr="00000000">
              <w:rPr>
                <w:rFonts w:ascii="Lora" w:cs="Lora" w:eastAsia="Lora" w:hAnsi="Lora"/>
                <w:rtl w:val="0"/>
              </w:rPr>
              <w:t xml:space="preserve"> </w:t>
            </w:r>
            <w:r w:rsidDel="00000000" w:rsidR="00000000" w:rsidRPr="00000000">
              <w:rPr>
                <w:rFonts w:ascii="Lora" w:cs="Lora" w:eastAsia="Lora" w:hAnsi="Lora"/>
                <w:rtl w:val="0"/>
              </w:rPr>
              <w:t xml:space="preserve">solo</w:t>
            </w:r>
            <w:r w:rsidDel="00000000" w:rsidR="00000000" w:rsidRPr="00000000">
              <w:rPr>
                <w:rFonts w:ascii="Lora" w:cs="Lora" w:eastAsia="Lora" w:hAnsi="Lora"/>
                <w:rtl w:val="0"/>
              </w:rPr>
              <w:t xml:space="preserve"> contiene las fechas en las que efectivamente hubo una venta registrada (columna Fecha con restricción UNIQUE, poblada desde el ETL a partir de </w:t>
            </w:r>
            <w:r w:rsidDel="00000000" w:rsidR="00000000" w:rsidRPr="00000000">
              <w:rPr>
                <w:rFonts w:ascii="Lora" w:cs="Lora" w:eastAsia="Lora" w:hAnsi="Lora"/>
                <w:rtl w:val="0"/>
              </w:rPr>
              <w:t xml:space="preserve">FactVenta</w:t>
            </w:r>
            <w:r w:rsidDel="00000000" w:rsidR="00000000" w:rsidRPr="00000000">
              <w:rPr>
                <w:rFonts w:ascii="Lora" w:cs="Lora" w:eastAsia="Lora" w:hAnsi="Lora"/>
                <w:rtl w:val="0"/>
              </w:rPr>
              <w:t xml:space="preserve">), y no un calendario continuo. Esto significa que los días sin ventas simplemente no aparecen en la jerarquía, en vez de aparecer con valor cero, lo que puede dar una impresión visual incompleta de la evolución en el tiempo.</w:t>
            </w:r>
          </w:p>
          <w:p w:rsidR="00000000" w:rsidDel="00000000" w:rsidP="00000000" w:rsidRDefault="00000000" w:rsidRPr="00000000" w14:paraId="0000003F">
            <w:pPr>
              <w:rPr>
                <w:rFonts w:ascii="Lora" w:cs="Lora" w:eastAsia="Lora" w:hAnsi="Lora"/>
              </w:rPr>
            </w:pPr>
            <w:r w:rsidDel="00000000" w:rsidR="00000000" w:rsidRPr="00000000">
              <w:rPr>
                <w:rFonts w:ascii="Lora" w:cs="Lora" w:eastAsia="Lora" w:hAnsi="Lora"/>
                <w:b w:val="1"/>
                <w:bCs w:val="1"/>
                <w:rtl w:val="0"/>
              </w:rPr>
              <w:t xml:space="preserve">Control propuesto: </w:t>
            </w:r>
            <w:r w:rsidDel="00000000" w:rsidR="00000000" w:rsidRPr="00000000">
              <w:rPr>
                <w:rFonts w:ascii="Lora" w:cs="Lora" w:eastAsia="Lora" w:hAnsi="Lora"/>
                <w:rtl w:val="0"/>
              </w:rPr>
              <w:t xml:space="preserve">Para un análisis de tendencia más riguroso, ampliar </w:t>
            </w:r>
            <w:r w:rsidDel="00000000" w:rsidR="00000000" w:rsidRPr="00000000">
              <w:rPr>
                <w:rFonts w:ascii="Lora" w:cs="Lora" w:eastAsia="Lora" w:hAnsi="Lora"/>
                <w:rtl w:val="0"/>
              </w:rPr>
              <w:t xml:space="preserve">DimFecha</w:t>
            </w:r>
            <w:r w:rsidDel="00000000" w:rsidR="00000000" w:rsidRPr="00000000">
              <w:rPr>
                <w:rFonts w:ascii="Lora" w:cs="Lora" w:eastAsia="Lora" w:hAnsi="Lora"/>
                <w:rtl w:val="0"/>
              </w:rPr>
              <w:t xml:space="preserve"> a una tabla calendario completa (todas las fechas del rango del negocio, tengan o no ventas) y usar DIVIDE/relaciones para que los días sin venta se </w:t>
            </w:r>
            <w:r w:rsidDel="00000000" w:rsidR="00000000" w:rsidRPr="00000000">
              <w:rPr>
                <w:rFonts w:ascii="Lora" w:cs="Lora" w:eastAsia="Lora" w:hAnsi="Lora"/>
                <w:rtl w:val="0"/>
              </w:rPr>
              <w:t xml:space="preserve">muestren</w:t>
            </w:r>
            <w:r w:rsidDel="00000000" w:rsidR="00000000" w:rsidRPr="00000000">
              <w:rPr>
                <w:rFonts w:ascii="Lora" w:cs="Lora" w:eastAsia="Lora" w:hAnsi="Lora"/>
                <w:rtl w:val="0"/>
              </w:rPr>
              <w:t xml:space="preserve"> como cero en lugar de ausentes.</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OLb0nOaWeAweUvtTrr1h0Ie5Qg==">CgMxLjAaHAoBMBIXChUIB0IRCgRMb3JhEglOb3ZhIE1vbm8aHAoBMRIXChUIB0IRCgRMb3JhEglOb3ZhIE1vbm8aHAoBMhIXChUIB0IRCgRMb3JhEglOb3ZhIE1vbm8aHAoBMxIXChUIB0IRCgRMb3JhEglOb3ZhIE1vbm84AHIhMTFXODB1aXVlaC1zUXVINkpydXJyR0tsWkZadWJEaFFY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2026-09-22T03:16:33.128Z</dcterms:created>
  <dc:creator>Un-named</dc:creator>
</cp:coreProperties>
</file>

<file path=docProps/custom.xml><?xml version="1.0" encoding="utf-8"?>
<Properties xmlns="http://schemas.openxmlformats.org/officeDocument/2006/custom-properties" xmlns:vt="http://schemas.openxmlformats.org/officeDocument/2006/docPropsVTypes"/>
</file>