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0B6FB8"/>
          <w:spacing w:val="20"/>
          <w:sz w:val="20"/>
          <w:szCs w:val="20"/>
        </w:rPr>
        <w:t xml:space="preserve">SEGURANÇA DIGITAL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Curso de Sistemas de Informação — 6º semestre — Turma Noturna</w:t>
      </w:r>
    </w:p>
    <w:p>
      <w:pPr>
        <w:pStyle w:val="Title"/>
        <w:spacing w:after="60"/>
        <w:jc w:val="center"/>
      </w:pPr>
      <w:r>
        <w:rPr>
          <w:b/>
          <w:bCs/>
          <w:color w:val="0B2A45"/>
          <w:sz w:val="34"/>
          <w:szCs w:val="34"/>
        </w:rPr>
        <w:t xml:space="preserve">Lista de Exercícios para Avaliação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Unidade 1 — Segurança de redes locais e de longa distância  ·  Subunidade 1.1 — Introdução a testes de invasão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shd w:fill="F2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do(a) aluno(a): </w:t>
            </w:r>
            <w:r>
              <w:rPr>
                <w:sz w:val="20"/>
                <w:szCs w:val="20"/>
              </w:rPr>
              <w:t xml:space="preserve">_____________________________________</w:t>
            </w:r>
          </w:p>
        </w:tc>
        <w:tc>
          <w:tcPr>
            <w:tcW w:type="dxa" w:w="4850"/>
            <w:shd w:fill="F2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Data: </w:t>
            </w:r>
            <w:r>
              <w:rPr>
                <w:sz w:val="20"/>
                <w:szCs w:val="20"/>
              </w:rPr>
              <w:t xml:space="preserve">____ / ____ / ______</w:t>
            </w:r>
          </w:p>
        </w:tc>
      </w:tr>
      <w:tr>
        <w:tc>
          <w:tcPr>
            <w:tcW w:type="dxa" w:w="4850"/>
            <w:shd w:fill="F2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Professor: </w:t>
            </w:r>
            <w:r>
              <w:rPr>
                <w:sz w:val="20"/>
                <w:szCs w:val="20"/>
              </w:rPr>
              <w:t xml:space="preserve">José Carlos Neto</w:t>
            </w:r>
          </w:p>
        </w:tc>
        <w:tc>
          <w:tcPr>
            <w:tcW w:type="dxa" w:w="4850"/>
            <w:shd w:fill="F2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Valor: </w:t>
            </w:r>
            <w:r>
              <w:rPr>
                <w:sz w:val="20"/>
                <w:szCs w:val="20"/>
              </w:rPr>
              <w:t xml:space="preserve">3,0 pontos (Listas/Prática — Av1)</w:t>
            </w:r>
          </w:p>
        </w:tc>
      </w:tr>
    </w:tbl>
    <w:p>
      <w:pPr>
        <w:spacing w:after="60" w:before="260"/>
      </w:pPr>
      <w:r>
        <w:rPr>
          <w:b/>
          <w:bCs/>
          <w:color w:val="0B2A45"/>
          <w:sz w:val="22"/>
          <w:szCs w:val="22"/>
        </w:rPr>
        <w:t xml:space="preserve">Instruções</w:t>
      </w:r>
    </w:p>
    <w:p>
      <w:pPr>
        <w:spacing w:after="60"/>
      </w:pPr>
      <w:r>
        <w:rPr>
          <w:sz w:val="21"/>
          <w:szCs w:val="21"/>
        </w:rPr>
        <w:t xml:space="preserve">Responda a todas as questões de forma individual, com justificativa quando solicitado. Cálculos devem ser demonstrados — a resposta final sem o desenvolvimento não pontua integralmente. Consultas ao material de aula são permitidas; consulta a colegas, não.</w:t>
      </w:r>
    </w:p>
    <w:p>
      <w:pPr>
        <w:pStyle w:val="Heading2"/>
        <w:pBdr>
          <w:bottom w:val="single" w:color="0B6FB8" w:sz="6"/>
        </w:pBdr>
        <w:spacing w:after="160" w:before="400"/>
      </w:pPr>
      <w:r>
        <w:rPr>
          <w:b/>
          <w:bCs/>
          <w:color w:val="0B2A45"/>
          <w:sz w:val="26"/>
          <w:szCs w:val="26"/>
        </w:rPr>
        <w:t xml:space="preserve">Parte 1 — Conceitos de rede</w:t>
      </w:r>
    </w:p>
    <w:p>
      <w:pPr>
        <w:spacing w:after="60" w:before="260"/>
      </w:pPr>
      <w:r>
        <w:rPr>
          <w:b/>
          <w:bCs/>
          <w:color w:val="0B2A45"/>
          <w:sz w:val="24"/>
          <w:szCs w:val="24"/>
        </w:rPr>
        <w:t xml:space="preserve">1. </w:t>
      </w:r>
      <w:r>
        <w:rPr>
          <w:b/>
          <w:bCs/>
          <w:i/>
          <w:iCs/>
          <w:color w:val="0B6FB8"/>
          <w:sz w:val="20"/>
          <w:szCs w:val="20"/>
        </w:rPr>
        <w:t xml:space="preserve">[Conceitual]  </w:t>
      </w:r>
      <w:r>
        <w:rPr>
          <w:sz w:val="24"/>
          <w:szCs w:val="24"/>
        </w:rPr>
        <w:t xml:space="preserve">Explique a função de cada uma das quatro camadas do modelo TCP/IP, citando um protocolo de exemplo para cada uma.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spacing w:after="60" w:before="260"/>
      </w:pPr>
      <w:r>
        <w:rPr>
          <w:b/>
          <w:bCs/>
          <w:color w:val="0B2A45"/>
          <w:sz w:val="24"/>
          <w:szCs w:val="24"/>
        </w:rPr>
        <w:t xml:space="preserve">2. </w:t>
      </w:r>
      <w:r>
        <w:rPr>
          <w:b/>
          <w:bCs/>
          <w:i/>
          <w:iCs/>
          <w:color w:val="0B6FB8"/>
          <w:sz w:val="20"/>
          <w:szCs w:val="20"/>
        </w:rPr>
        <w:t xml:space="preserve">[Conceitual]  </w:t>
      </w:r>
      <w:r>
        <w:rPr>
          <w:sz w:val="24"/>
          <w:szCs w:val="24"/>
        </w:rPr>
        <w:t xml:space="preserve">Diferencie TCP e UDP, citando ao menos duas características de cada um e um exemplo de aplicação que utiliza cada protocolo.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spacing w:after="60" w:before="260"/>
      </w:pPr>
      <w:r>
        <w:rPr>
          <w:b/>
          <w:bCs/>
          <w:color w:val="0B2A45"/>
          <w:sz w:val="24"/>
          <w:szCs w:val="24"/>
        </w:rPr>
        <w:t xml:space="preserve">3. </w:t>
      </w:r>
      <w:r>
        <w:rPr>
          <w:b/>
          <w:bCs/>
          <w:i/>
          <w:iCs/>
          <w:color w:val="0B6FB8"/>
          <w:sz w:val="20"/>
          <w:szCs w:val="20"/>
        </w:rPr>
        <w:t xml:space="preserve">[Conceitual]  </w:t>
      </w:r>
      <w:r>
        <w:rPr>
          <w:sz w:val="24"/>
          <w:szCs w:val="24"/>
        </w:rPr>
        <w:t xml:space="preserve">O que é NAT e por que ele continua sendo necessário na maioria das redes atuais, mesmo com a existência do IPv6?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0B6FB8" w:sz="6"/>
        </w:pBdr>
        <w:spacing w:after="160" w:before="400"/>
      </w:pPr>
      <w:r>
        <w:rPr>
          <w:b/>
          <w:bCs/>
          <w:color w:val="0B2A45"/>
          <w:sz w:val="26"/>
          <w:szCs w:val="26"/>
        </w:rPr>
        <w:t xml:space="preserve">Parte 2 — Endereçamento e cálculo de sub-redes</w:t>
      </w:r>
    </w:p>
    <w:p>
      <w:pPr>
        <w:spacing w:after="60" w:before="260"/>
      </w:pPr>
      <w:r>
        <w:rPr>
          <w:b/>
          <w:bCs/>
          <w:color w:val="0B2A45"/>
          <w:sz w:val="24"/>
          <w:szCs w:val="24"/>
        </w:rPr>
        <w:t xml:space="preserve">4. </w:t>
      </w:r>
      <w:r>
        <w:rPr>
          <w:b/>
          <w:bCs/>
          <w:i/>
          <w:iCs/>
          <w:color w:val="0B6FB8"/>
          <w:sz w:val="20"/>
          <w:szCs w:val="20"/>
        </w:rPr>
        <w:t xml:space="preserve">[Cálculo]  </w:t>
      </w:r>
      <w:r>
        <w:rPr>
          <w:sz w:val="24"/>
          <w:szCs w:val="24"/>
        </w:rPr>
        <w:t xml:space="preserve">Para o bloco 172.16.0.0/22, calcule: (a) a máscara de sub-rede em notação decimal; (b) a quantidade de hosts utilizáveis; (c) o endereço de broadcast.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spacing w:after="60" w:before="260"/>
      </w:pPr>
      <w:r>
        <w:rPr>
          <w:b/>
          <w:bCs/>
          <w:color w:val="0B2A45"/>
          <w:sz w:val="24"/>
          <w:szCs w:val="24"/>
        </w:rPr>
        <w:t xml:space="preserve">5. </w:t>
      </w:r>
      <w:r>
        <w:rPr>
          <w:b/>
          <w:bCs/>
          <w:i/>
          <w:iCs/>
          <w:color w:val="0B6FB8"/>
          <w:sz w:val="20"/>
          <w:szCs w:val="20"/>
        </w:rPr>
        <w:t xml:space="preserve">[Cálculo]  </w:t>
      </w:r>
      <w:r>
        <w:rPr>
          <w:sz w:val="24"/>
          <w:szCs w:val="24"/>
        </w:rPr>
        <w:t xml:space="preserve">Divida o bloco 200.10.5.0/24 em 8 sub-redes de tamanho igual. Indique a nova máscara (CIDR) e liste os 8 blocos resultantes.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spacing w:after="60" w:before="260"/>
      </w:pPr>
      <w:r>
        <w:rPr>
          <w:b/>
          <w:bCs/>
          <w:color w:val="0B2A45"/>
          <w:sz w:val="24"/>
          <w:szCs w:val="24"/>
        </w:rPr>
        <w:t xml:space="preserve">6. </w:t>
      </w:r>
      <w:r>
        <w:rPr>
          <w:b/>
          <w:bCs/>
          <w:i/>
          <w:iCs/>
          <w:color w:val="0B6FB8"/>
          <w:sz w:val="20"/>
          <w:szCs w:val="20"/>
        </w:rPr>
        <w:t xml:space="preserve">[Cálculo]  </w:t>
      </w:r>
      <w:r>
        <w:rPr>
          <w:sz w:val="24"/>
          <w:szCs w:val="24"/>
        </w:rPr>
        <w:t xml:space="preserve">Os hosts 10.20.30.10/28 e 10.20.30.30/28 estão na mesma sub-rede? Demonstre o cálculo que justifica sua resposta.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0B6FB8" w:sz="6"/>
        </w:pBdr>
        <w:spacing w:after="160" w:before="400"/>
      </w:pPr>
      <w:r>
        <w:rPr>
          <w:b/>
          <w:bCs/>
          <w:color w:val="0B2A45"/>
          <w:sz w:val="26"/>
          <w:szCs w:val="26"/>
        </w:rPr>
        <w:t xml:space="preserve">Parte 3 — Serviços, ataques e testes de invasão</w:t>
      </w:r>
    </w:p>
    <w:p>
      <w:pPr>
        <w:spacing w:after="100" w:before="260"/>
      </w:pPr>
      <w:r>
        <w:rPr>
          <w:b/>
          <w:bCs/>
          <w:color w:val="0B2A45"/>
          <w:sz w:val="24"/>
          <w:szCs w:val="24"/>
        </w:rPr>
        <w:t xml:space="preserve">7. </w:t>
      </w:r>
      <w:r>
        <w:rPr>
          <w:b/>
          <w:bCs/>
          <w:i/>
          <w:iCs/>
          <w:color w:val="0B6FB8"/>
          <w:sz w:val="20"/>
          <w:szCs w:val="20"/>
        </w:rPr>
        <w:t xml:space="preserve">[Aplicação]  </w:t>
      </w:r>
      <w:r>
        <w:rPr>
          <w:sz w:val="24"/>
          <w:szCs w:val="24"/>
        </w:rPr>
        <w:t xml:space="preserve">Complete a tabela abaixo com o protocolo de transporte (TCP ou UDP) e o serviço correspondente a cada porta.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900"/>
      </w:tblGrid>
      <w:tr>
        <w:tc>
          <w:tcPr>
            <w:tcW w:type="dxa" w:w="1900"/>
            <w:shd w:fill="0B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900"/>
            <w:shd w:fill="0B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Protocolo (TCP/UDP)</w:t>
            </w:r>
          </w:p>
        </w:tc>
        <w:tc>
          <w:tcPr>
            <w:tcW w:type="dxa" w:w="4900"/>
            <w:shd w:fill="0B2A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900"/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900"/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143</w:t>
            </w:r>
          </w:p>
        </w:tc>
        <w:tc>
          <w:tcPr>
            <w:tcW w:type="dxa" w:w="2900"/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900"/>
            <w:shd w:fill="F2F5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3306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260"/>
      </w:pPr>
      <w:r>
        <w:rPr>
          <w:b/>
          <w:bCs/>
          <w:color w:val="0B2A45"/>
          <w:sz w:val="24"/>
          <w:szCs w:val="24"/>
        </w:rPr>
        <w:t xml:space="preserve">8. </w:t>
      </w:r>
      <w:r>
        <w:rPr>
          <w:b/>
          <w:bCs/>
          <w:i/>
          <w:iCs/>
          <w:color w:val="0B6FB8"/>
          <w:sz w:val="20"/>
          <w:szCs w:val="20"/>
        </w:rPr>
        <w:t xml:space="preserve">[Conceitual]  </w:t>
      </w:r>
      <w:r>
        <w:rPr>
          <w:sz w:val="24"/>
          <w:szCs w:val="24"/>
        </w:rPr>
        <w:t xml:space="preserve">Diferencie os três tipos de teste de invasão — black box, grey box e white box — e indique uma situação em que cada um seria o mais indicado.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spacing w:after="60" w:before="260"/>
      </w:pPr>
      <w:r>
        <w:rPr>
          <w:b/>
          <w:bCs/>
          <w:color w:val="0B2A45"/>
          <w:sz w:val="24"/>
          <w:szCs w:val="24"/>
        </w:rPr>
        <w:t xml:space="preserve">9. </w:t>
      </w:r>
      <w:r>
        <w:rPr>
          <w:b/>
          <w:bCs/>
          <w:i/>
          <w:iCs/>
          <w:color w:val="0B6FB8"/>
          <w:sz w:val="20"/>
          <w:szCs w:val="20"/>
        </w:rPr>
        <w:t xml:space="preserve">[Conceitual]  </w:t>
      </w:r>
      <w:r>
        <w:rPr>
          <w:sz w:val="24"/>
          <w:szCs w:val="24"/>
        </w:rPr>
        <w:t xml:space="preserve">Segundo a Lei 12.737/2012, por que um teste de invasão realizado sem autorização formal é considerado crime, mesmo quando feito com boas intenções?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spacing w:after="60" w:before="260"/>
      </w:pPr>
      <w:r>
        <w:rPr>
          <w:b/>
          <w:bCs/>
          <w:color w:val="0B2A45"/>
          <w:sz w:val="24"/>
          <w:szCs w:val="24"/>
        </w:rPr>
        <w:t xml:space="preserve">10. </w:t>
      </w:r>
      <w:r>
        <w:rPr>
          <w:b/>
          <w:bCs/>
          <w:i/>
          <w:iCs/>
          <w:color w:val="0B6FB8"/>
          <w:sz w:val="20"/>
          <w:szCs w:val="20"/>
        </w:rPr>
        <w:t xml:space="preserve">[Dissertativa]  </w:t>
      </w:r>
      <w:r>
        <w:rPr>
          <w:sz w:val="24"/>
          <w:szCs w:val="24"/>
        </w:rPr>
        <w:t xml:space="preserve">Cite dois controles de rede vistos em aula (por exemplo: firewall, VLAN, MFA, segmentação) e explique como cada um reduz a superfície de ataque em uma rede corporativa.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pPr>
        <w:pBdr>
          <w:bottom w:val="single" w:color="AAAAAA" w:sz="4"/>
        </w:pBdr>
        <w:spacing w:after="40"/>
      </w:pPr>
      <w:r>
        <w:rPr>
          <w:sz w:val="24"/>
          <w:szCs w:val="24"/>
        </w:rPr>
        <w:t xml:space="preserve"> 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B00020"/>
          <w:sz w:val="26"/>
          <w:szCs w:val="26"/>
        </w:rPr>
        <w:t xml:space="preserve">GABARITO — USO DO PROFESSOR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Referências de correção — aceitar respostas equivalentes, desde que corretamente justificadas.</w:t>
      </w:r>
    </w:p>
    <w:p>
      <w:pPr>
        <w:spacing w:after="60" w:before="200"/>
      </w:pPr>
      <w:r>
        <w:rPr>
          <w:b/>
          <w:bCs/>
          <w:color w:val="0B2A45"/>
          <w:sz w:val="22"/>
          <w:szCs w:val="22"/>
        </w:rPr>
        <w:t xml:space="preserve">1. Camadas do TCP/IP</w:t>
      </w:r>
    </w:p>
    <w:p>
      <w:r>
        <w:rPr>
          <w:sz w:val="21"/>
          <w:szCs w:val="21"/>
        </w:rPr>
        <w:t xml:space="preserve">Aplicação (HTTP, DNS, SSH, FTP) — troca de dados entre programas; Transporte (TCP, UDP) — entrega entre processos, com ou sem garantia; Internet/Rede (IP, ICMP) — endereçamento e roteamento entre redes; Acesso à rede (Ethernet, Wi-Fi) — transmissão física dos bits.</w:t>
      </w:r>
    </w:p>
    <w:p>
      <w:pPr>
        <w:spacing w:after="60" w:before="200"/>
      </w:pPr>
      <w:r>
        <w:rPr>
          <w:b/>
          <w:bCs/>
          <w:color w:val="0B2A45"/>
          <w:sz w:val="22"/>
          <w:szCs w:val="22"/>
        </w:rPr>
        <w:t xml:space="preserve">2. TCP x UDP</w:t>
      </w:r>
    </w:p>
    <w:p>
      <w:r>
        <w:rPr>
          <w:sz w:val="21"/>
          <w:szCs w:val="21"/>
        </w:rPr>
        <w:t xml:space="preserve">TCP: confiável, orientado a conexão, garante ordem e entrega (three-way handshake) — ex.: HTTP, SSH. UDP: sem conexão, mais rápido, não garante entrega/ordem — ex.: DNS, streaming, VoIP.</w:t>
      </w:r>
    </w:p>
    <w:p>
      <w:pPr>
        <w:spacing w:after="60" w:before="200"/>
      </w:pPr>
      <w:r>
        <w:rPr>
          <w:b/>
          <w:bCs/>
          <w:color w:val="0B2A45"/>
          <w:sz w:val="22"/>
          <w:szCs w:val="22"/>
        </w:rPr>
        <w:t xml:space="preserve">3. NAT</w:t>
      </w:r>
    </w:p>
    <w:p>
      <w:r>
        <w:rPr>
          <w:sz w:val="21"/>
          <w:szCs w:val="21"/>
        </w:rPr>
        <w:t xml:space="preserve">Traduz endereços privados internos em um único IP público, permitindo que vários dispositivos compartilhem um IPv4 — ainda essencial pelo esgotamento do IPv4 e pela adoção parcial/gradual do IPv6.</w:t>
      </w:r>
    </w:p>
    <w:p>
      <w:pPr>
        <w:spacing w:after="60" w:before="200"/>
      </w:pPr>
      <w:r>
        <w:rPr>
          <w:b/>
          <w:bCs/>
          <w:color w:val="0B2A45"/>
          <w:sz w:val="22"/>
          <w:szCs w:val="22"/>
        </w:rPr>
        <w:t xml:space="preserve">4. 172.16.0.0/22</w:t>
      </w:r>
    </w:p>
    <w:p>
      <w:r>
        <w:rPr>
          <w:sz w:val="21"/>
          <w:szCs w:val="21"/>
        </w:rPr>
        <w:t xml:space="preserve">(a) Máscara: 255.255.252.0.  (b) Hosts utilizáveis: 2¹⁰ − 2 = 1022.  (c) Broadcast: 172.16.3.255.</w:t>
      </w:r>
    </w:p>
    <w:p>
      <w:pPr>
        <w:spacing w:after="60" w:before="200"/>
      </w:pPr>
      <w:r>
        <w:rPr>
          <w:b/>
          <w:bCs/>
          <w:color w:val="0B2A45"/>
          <w:sz w:val="22"/>
          <w:szCs w:val="22"/>
        </w:rPr>
        <w:t xml:space="preserve">5. 200.10.5.0/24 em 8 sub-redes</w:t>
      </w:r>
    </w:p>
    <w:p>
      <w:r>
        <w:rPr>
          <w:sz w:val="21"/>
          <w:szCs w:val="21"/>
        </w:rPr>
        <w:t xml:space="preserve">Nova máscara: /27. Blocos: 200.10.5.0/27, .32/27, .64/27, .96/27, .128/27, .160/27, .192/27, .224/27.</w:t>
      </w:r>
    </w:p>
    <w:p>
      <w:pPr>
        <w:spacing w:after="60" w:before="200"/>
      </w:pPr>
      <w:r>
        <w:rPr>
          <w:b/>
          <w:bCs/>
          <w:color w:val="0B2A45"/>
          <w:sz w:val="22"/>
          <w:szCs w:val="22"/>
        </w:rPr>
        <w:t xml:space="preserve">6. 10.20.30.10/28 e 10.20.30.30/28</w:t>
      </w:r>
    </w:p>
    <w:p>
      <w:r>
        <w:rPr>
          <w:sz w:val="21"/>
          <w:szCs w:val="21"/>
        </w:rPr>
        <w:t xml:space="preserve">Não estão na mesma sub-rede: cada bloco /28 tem 16 endereços; 10.20.30.10 pertence a 10.20.30.0/28 (0–15) e 10.20.30.30 pertence a 10.20.30.16/28 (16–31).</w:t>
      </w:r>
    </w:p>
    <w:p>
      <w:pPr>
        <w:spacing w:after="60" w:before="200"/>
      </w:pPr>
      <w:r>
        <w:rPr>
          <w:b/>
          <w:bCs/>
          <w:color w:val="0B2A45"/>
          <w:sz w:val="22"/>
          <w:szCs w:val="22"/>
        </w:rPr>
        <w:t xml:space="preserve">7. Tabela de portas</w:t>
      </w:r>
    </w:p>
    <w:p>
      <w:r>
        <w:rPr>
          <w:sz w:val="21"/>
          <w:szCs w:val="21"/>
        </w:rPr>
        <w:t xml:space="preserve">21 → TCP → FTP (controle)   ·   25 → TCP → SMTP (envio de e-mail)   ·   110 → TCP → POP3   ·   143 → TCP → IMAP   ·   3306 → TCP → MySQL</w:t>
      </w:r>
    </w:p>
    <w:p>
      <w:pPr>
        <w:spacing w:after="60" w:before="200"/>
      </w:pPr>
      <w:r>
        <w:rPr>
          <w:b/>
          <w:bCs/>
          <w:color w:val="0B2A45"/>
          <w:sz w:val="22"/>
          <w:szCs w:val="22"/>
        </w:rPr>
        <w:t xml:space="preserve">8. Tipos de teste de invasão</w:t>
      </w:r>
    </w:p>
    <w:p>
      <w:r>
        <w:rPr>
          <w:sz w:val="21"/>
          <w:szCs w:val="21"/>
        </w:rPr>
        <w:t xml:space="preserve">Black box: nenhuma informação prévia — simula atacante externo. Grey box: informação parcial (ex.: conta comum) — simula ameaça interna limitada. White box: acesso completo — foca profundidade, não descoberta.</w:t>
      </w:r>
    </w:p>
    <w:p>
      <w:pPr>
        <w:spacing w:after="60" w:before="200"/>
      </w:pPr>
      <w:r>
        <w:rPr>
          <w:b/>
          <w:bCs/>
          <w:color w:val="0B2A45"/>
          <w:sz w:val="22"/>
          <w:szCs w:val="22"/>
        </w:rPr>
        <w:t xml:space="preserve">9. Lei 12.737/2012</w:t>
      </w:r>
    </w:p>
    <w:p>
      <w:r>
        <w:rPr>
          <w:sz w:val="21"/>
          <w:szCs w:val="21"/>
        </w:rPr>
        <w:t xml:space="preserve">A lei tipifica como crime a invasão de dispositivo informático mediante violação indevida de mecanismo de segurança — a intenção declarada não afasta o crime; só a autorização formal do responsável pelo sistema o faz.</w:t>
      </w:r>
    </w:p>
    <w:p>
      <w:pPr>
        <w:spacing w:after="60" w:before="200"/>
      </w:pPr>
      <w:r>
        <w:rPr>
          <w:b/>
          <w:bCs/>
          <w:color w:val="0B2A45"/>
          <w:sz w:val="22"/>
          <w:szCs w:val="22"/>
        </w:rPr>
        <w:t xml:space="preserve">10. Controles de rede (resposta aberta)</w:t>
      </w:r>
    </w:p>
    <w:p>
      <w:r>
        <w:rPr>
          <w:sz w:val="21"/>
          <w:szCs w:val="21"/>
        </w:rPr>
        <w:t xml:space="preserve">Aceitar qualquer combinação coerente — ex.: Firewall/ACL filtram tráfego por regra; VLAN isola segmentos e limita movimento lateral; MFA reduz o impacto de uma senha vazada; segmentação limita o alcance de um host comprometido.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2026-08-02T17:34:41.520Z</dcterms:created>
  <dcterms:modified xsi:type="dcterms:W3CDTF">2026-08-02T17:34:41.520Z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