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c3148"/>
          </w:tcPr>
          <w:p>
            <w:pPr>
              <w:spacing w:before="80" w:after="40"/>
              <w:jc w:val="left"/>
            </w:pPr>
            <w:r>
              <w:rPr>
                <w:rFonts w:ascii="Calibri" w:hAnsi="Calibri"/>
                <w:b/>
                <w:color w:val="AABBCC"/>
                <w:sz w:val="18"/>
              </w:rPr>
              <w:t>STANDARD OPERATING PROCEDURE</w:t>
            </w:r>
          </w:p>
          <w:p>
            <w:pPr>
              <w:spacing w:before="0" w:after="160"/>
              <w:jc w:val="left"/>
            </w:pPr>
            <w:r>
              <w:rPr>
                <w:rFonts w:ascii="Calibri" w:hAnsi="Calibri"/>
                <w:b/>
                <w:color w:val="FFFFFF"/>
                <w:sz w:val="36"/>
              </w:rPr>
              <w:t>Global Property Stocks Tracker</w:t>
            </w:r>
          </w:p>
        </w:tc>
      </w:tr>
    </w:tbl>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04C61"/>
          </w:tcPr>
          <w:p>
            <w:pPr>
              <w:spacing w:before="80" w:after="80"/>
            </w:pPr>
            <w:r>
              <w:rPr>
                <w:rFonts w:ascii="Calibri" w:hAnsi="Calibri"/>
                <w:b w:val="0"/>
                <w:color w:val="CCD8E0"/>
                <w:sz w:val="18"/>
              </w:rPr>
              <w:t xml:space="preserve">Person Responsible: </w:t>
            </w:r>
            <w:r>
              <w:rPr>
                <w:rFonts w:ascii="Calibri" w:hAnsi="Calibri"/>
                <w:b/>
                <w:color w:val="FFFFFF"/>
                <w:sz w:val="18"/>
              </w:rPr>
              <w:t>David</w:t>
            </w:r>
          </w:p>
        </w:tc>
        <w:tc>
          <w:tcPr>
            <w:tcW w:type="dxa" w:w="2351"/>
            <w:shd w:val="clear" w:color="auto" w:fill="304C61"/>
          </w:tcPr>
          <w:p>
            <w:pPr>
              <w:spacing w:before="80" w:after="80"/>
            </w:pPr>
            <w:r>
              <w:rPr>
                <w:rFonts w:ascii="Calibri" w:hAnsi="Calibri"/>
                <w:b w:val="0"/>
                <w:color w:val="CCD8E0"/>
                <w:sz w:val="18"/>
              </w:rPr>
              <w:t xml:space="preserve">Version: </w:t>
            </w:r>
            <w:r>
              <w:rPr>
                <w:rFonts w:ascii="Calibri" w:hAnsi="Calibri"/>
                <w:b/>
                <w:color w:val="FFFFFF"/>
                <w:sz w:val="18"/>
              </w:rPr>
              <w:t>1.0</w:t>
            </w:r>
          </w:p>
        </w:tc>
        <w:tc>
          <w:tcPr>
            <w:tcW w:type="dxa" w:w="2351"/>
            <w:shd w:val="clear" w:color="auto" w:fill="304C61"/>
          </w:tcPr>
          <w:p>
            <w:pPr>
              <w:spacing w:before="80" w:after="80"/>
            </w:pPr>
            <w:r>
              <w:rPr>
                <w:rFonts w:ascii="Calibri" w:hAnsi="Calibri"/>
                <w:b w:val="0"/>
                <w:color w:val="CCD8E0"/>
                <w:sz w:val="18"/>
              </w:rPr>
              <w:t xml:space="preserve">Date: </w:t>
            </w:r>
            <w:r>
              <w:rPr>
                <w:rFonts w:ascii="Calibri" w:hAnsi="Calibri"/>
                <w:b/>
                <w:color w:val="FFFFFF"/>
                <w:sz w:val="18"/>
              </w:rPr>
              <w:t>26 May 2026</w:t>
            </w:r>
          </w:p>
        </w:tc>
        <w:tc>
          <w:tcPr>
            <w:tcW w:type="dxa" w:w="2351"/>
            <w:shd w:val="clear" w:color="auto" w:fill="304C61"/>
          </w:tcPr>
          <w:p>
            <w:pPr>
              <w:spacing w:before="80" w:after="80"/>
            </w:pPr>
            <w:r>
              <w:rPr>
                <w:rFonts w:ascii="Calibri" w:hAnsi="Calibri"/>
                <w:b w:val="0"/>
                <w:color w:val="CCD8E0"/>
                <w:sz w:val="18"/>
              </w:rPr>
              <w:t xml:space="preserve">Frequency: </w:t>
            </w:r>
            <w:r>
              <w:rPr>
                <w:rFonts w:ascii="Calibri" w:hAnsi="Calibri"/>
                <w:b/>
                <w:color w:val="FFFFFF"/>
                <w:sz w:val="18"/>
              </w:rPr>
              <w:t>Monthly</w:t>
            </w:r>
          </w:p>
        </w:tc>
      </w:tr>
    </w:tbl>
    <w:p/>
    <w:p>
      <w:pPr>
        <w:spacing w:before="280" w:after="80"/>
        <w:pBdr>
          <w:bottom w:val="single" w:sz="6" w:space="1" w:color="304C61"/>
        </w:pBdr>
      </w:pPr>
      <w:r>
        <w:rPr>
          <w:rFonts w:ascii="Calibri" w:hAnsi="Calibri"/>
          <w:b/>
          <w:color w:val="1C3148"/>
          <w:sz w:val="28"/>
        </w:rPr>
        <w:t>Resource Section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TITLE</w:t>
            </w:r>
          </w:p>
        </w:tc>
        <w:tc>
          <w:tcPr>
            <w:tcW w:type="dxa" w:w="3135"/>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LINK / LOCATION</w:t>
            </w:r>
          </w:p>
        </w:tc>
        <w:tc>
          <w:tcPr>
            <w:tcW w:type="dxa" w:w="3135"/>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DETAILS</w:t>
            </w:r>
          </w:p>
        </w:tc>
      </w:tr>
      <w:tr>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Yahoo Finance</w:t>
            </w:r>
          </w:p>
        </w:tc>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finance.yahoo.com</w:t>
            </w:r>
          </w:p>
        </w:tc>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Platform used to build and view the comparison chart</w:t>
            </w:r>
          </w:p>
        </w:tc>
      </w:tr>
      <w:tr>
        <w:tc>
          <w:tcPr>
            <w:tcW w:type="dxa" w:w="3135"/>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Stock List</w:t>
            </w:r>
          </w:p>
        </w:tc>
        <w:tc>
          <w:tcPr>
            <w:tcW w:type="dxa" w:w="3135"/>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See Stock Reference Table below</w:t>
            </w:r>
          </w:p>
        </w:tc>
        <w:tc>
          <w:tcPr>
            <w:tcW w:type="dxa" w:w="3135"/>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Ticker codes for AU, UK, and US property stocks</w:t>
            </w:r>
          </w:p>
        </w:tc>
      </w:tr>
      <w:tr>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Monthly Catch-Up Notes</w:t>
            </w:r>
          </w:p>
        </w:tc>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Google Drive / shared folder</w:t>
            </w:r>
          </w:p>
        </w:tc>
        <w:tc>
          <w:tcPr>
            <w:tcW w:type="dxa" w:w="3135"/>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2"/>
              </w:rPr>
              <w:t>Paste the chart share link here each month</w:t>
            </w:r>
          </w:p>
        </w:tc>
      </w:tr>
    </w:tbl>
    <w:p/>
    <w:tbl>
      <w:tblPr>
        <w:tblStyle w:val="TableGrid"/>
        <w:tblW w:type="auto" w:w="0"/>
        <w:tblLook w:firstColumn="1" w:firstRow="1" w:lastColumn="0" w:lastRow="0" w:noHBand="0" w:noVBand="1" w:val="04A0"/>
      </w:tblPr>
      <w:tblGrid>
        <w:gridCol w:w="9406"/>
      </w:tblGrid>
      <w:tr>
        <w:tc>
          <w:tcPr>
            <w:tcW w:type="dxa" w:w="9406"/>
            <w:shd w:val="clear" w:color="auto" w:fill="F0F3F5"/>
            <w:tcBorders>
              <w:left w:val="single" w:sz="24" w:space="0" w:color="304C61"/>
            </w:tcBorders>
          </w:tcPr>
          <w:p>
            <w:pPr>
              <w:spacing w:before="80" w:after="40"/>
            </w:pPr>
            <w:r>
              <w:rPr>
                <w:rFonts w:ascii="Calibri" w:hAnsi="Calibri"/>
                <w:b/>
                <w:color w:val="304C61"/>
                <w:sz w:val="18"/>
              </w:rPr>
              <w:t>GOAL STATEMENT</w:t>
            </w:r>
          </w:p>
          <w:p>
            <w:pPr>
              <w:spacing w:before="0" w:after="120"/>
            </w:pPr>
            <w:r>
              <w:rPr>
                <w:rFonts w:ascii="Calibri" w:hAnsi="Calibri"/>
                <w:b w:val="0"/>
                <w:color w:val="304C61"/>
                <w:sz w:val="22"/>
              </w:rPr>
              <w:t>The purpose of this SOP is to guide David through building and updating a single comparison chart on Yahoo Finance that tracks the top global property stocks across Australia, UK, and the US. This chart is reviewed monthly to monitor the direction of real estate stocks worldwide, helping identify the top of the land cycle and inform when to adjust property strategy for clients.</w:t>
            </w:r>
          </w:p>
        </w:tc>
      </w:tr>
    </w:tbl>
    <w:p/>
    <w:tbl>
      <w:tblPr>
        <w:tblStyle w:val="TableGrid"/>
        <w:tblW w:type="auto" w:w="0"/>
        <w:tblLook w:firstColumn="1" w:firstRow="1" w:lastColumn="0" w:lastRow="0" w:noHBand="0" w:noVBand="1" w:val="04A0"/>
      </w:tblPr>
      <w:tblGrid>
        <w:gridCol w:w="9406"/>
      </w:tblGrid>
      <w:tr>
        <w:tc>
          <w:tcPr>
            <w:tcW w:type="dxa" w:w="9406"/>
            <w:shd w:val="clear" w:color="auto" w:fill="F0F3F5"/>
            <w:tcBorders>
              <w:left w:val="single" w:sz="24" w:space="0" w:color="304C61"/>
            </w:tcBorders>
          </w:tcPr>
          <w:p>
            <w:pPr>
              <w:spacing w:before="80" w:after="40"/>
            </w:pPr>
            <w:r>
              <w:rPr>
                <w:rFonts w:ascii="Calibri" w:hAnsi="Calibri"/>
                <w:b/>
                <w:color w:val="304C61"/>
                <w:sz w:val="18"/>
              </w:rPr>
              <w:t>IMPORTANCE</w:t>
            </w:r>
          </w:p>
          <w:p>
            <w:pPr>
              <w:spacing w:before="0" w:after="120"/>
            </w:pPr>
            <w:r>
              <w:rPr>
                <w:rFonts w:ascii="Calibri" w:hAnsi="Calibri"/>
                <w:b w:val="0"/>
                <w:color w:val="304C61"/>
                <w:sz w:val="22"/>
              </w:rPr>
              <w:t>Global REIT and property stock performance is a leading indicator of where the broader land cycle is heading. By combining AU, UK, and US stocks onto one chart, patterns emerge that are invisible when looking at individual markets. Completing this review monthly - and sharing the link at catch-ups - keeps the whole team aligned on macro property market direction and supports better timing advice for clients buying, selling, or holding.</w:t>
            </w:r>
          </w:p>
        </w:tc>
      </w:tr>
    </w:tbl>
    <w:p/>
    <w:p>
      <w:pPr>
        <w:spacing w:before="280" w:after="80"/>
        <w:pBdr>
          <w:bottom w:val="single" w:sz="6" w:space="1" w:color="304C61"/>
        </w:pBdr>
      </w:pPr>
      <w:r>
        <w:rPr>
          <w:rFonts w:ascii="Calibri" w:hAnsi="Calibri"/>
          <w:b/>
          <w:color w:val="1C3148"/>
          <w:sz w:val="28"/>
        </w:rPr>
        <w:t>Stock Reference Table</w:t>
      </w:r>
    </w:p>
    <w:p>
      <w:pPr>
        <w:spacing w:before="0" w:after="120"/>
      </w:pPr>
      <w:r>
        <w:rPr>
          <w:rFonts w:ascii="Calibri" w:hAnsi="Calibri"/>
          <w:b w:val="0"/>
          <w:color w:val="1A1A1A"/>
          <w:sz w:val="22"/>
        </w:rPr>
        <w:t>Use these ticker codes to build the comparison chart. Add all stocks from the list each month.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w:t>
            </w:r>
          </w:p>
        </w:tc>
        <w:tc>
          <w:tcPr>
            <w:tcW w:type="dxa" w:w="1881"/>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STOCK NAME</w:t>
            </w:r>
          </w:p>
        </w:tc>
        <w:tc>
          <w:tcPr>
            <w:tcW w:type="dxa" w:w="1881"/>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TICKER</w:t>
            </w:r>
          </w:p>
        </w:tc>
        <w:tc>
          <w:tcPr>
            <w:tcW w:type="dxa" w:w="1881"/>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MARKET</w:t>
            </w:r>
          </w:p>
        </w:tc>
        <w:tc>
          <w:tcPr>
            <w:tcW w:type="dxa" w:w="1881"/>
            <w:shd w:val="clear" w:color="auto" w:fill="304C61"/>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FFFFFF"/>
                <w:sz w:val="18"/>
              </w:rPr>
              <w:t>SECTOR</w:t>
            </w:r>
          </w:p>
        </w:tc>
      </w:tr>
      <w:tr>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1</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Charter Hall Group</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1C3148"/>
                <w:sz w:val="22"/>
              </w:rPr>
              <w:t>CHC</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AU - ASX</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Diversified REIT</w:t>
            </w:r>
          </w:p>
        </w:tc>
      </w:tr>
      <w:tr>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2</w:t>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National Storage REIT</w:t>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1C3148"/>
                <w:sz w:val="22"/>
              </w:rPr>
              <w:t>NSR</w:t>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AU - ASX</w:t>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Storage REIT</w:t>
            </w:r>
          </w:p>
        </w:tc>
      </w:tr>
      <w:tr>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3</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AEW UK REIT</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color w:val="1C3148"/>
                <w:sz w:val="22"/>
              </w:rPr>
              <w:t>AEWU</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UK - LSE</w:t>
            </w:r>
          </w:p>
        </w:tc>
        <w:tc>
          <w:tcPr>
            <w:tcW w:type="dxa" w:w="1881"/>
            <w:shd w:val="clear" w:color="auto" w:fill="FFFFFF"/>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1A1A1A"/>
                <w:sz w:val="20"/>
              </w:rPr>
              <w:t>Diversified REIT</w:t>
            </w:r>
          </w:p>
        </w:tc>
      </w:tr>
      <w:tr>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72818B"/>
                <w:sz w:val="20"/>
              </w:rPr>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72818B"/>
                <w:sz w:val="20"/>
              </w:rPr>
              <w:t>Add additional stocks from the full list as provided</w:t>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72818B"/>
                <w:sz w:val="20"/>
              </w:rPr>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72818B"/>
                <w:sz w:val="20"/>
              </w:rPr>
            </w:r>
          </w:p>
        </w:tc>
        <w:tc>
          <w:tcPr>
            <w:tcW w:type="dxa" w:w="1881"/>
            <w:shd w:val="clear" w:color="auto" w:fill="F9F9F9"/>
            <w:tcBorders>
              <w:top w:val="single" w:sz="4" w:space="0" w:color="E8E8E8"/>
              <w:left w:val="single" w:sz="4" w:space="0" w:color="E8E8E8"/>
              <w:bottom w:val="single" w:sz="4" w:space="0" w:color="E8E8E8"/>
              <w:right w:val="single" w:sz="4" w:space="0" w:color="E8E8E8"/>
              <w:insideH w:val="single" w:sz="4" w:space="0" w:color="E8E8E8"/>
              <w:insideV w:val="single" w:sz="4" w:space="0" w:color="E8E8E8"/>
            </w:tcBorders>
          </w:tcPr>
          <w:p>
            <w:pPr>
              <w:spacing w:before="80" w:after="80"/>
            </w:pPr>
            <w:r>
              <w:rPr>
                <w:rFonts w:ascii="Calibri" w:hAnsi="Calibri"/>
                <w:b w:val="0"/>
                <w:color w:val="72818B"/>
                <w:sz w:val="20"/>
              </w:rPr>
            </w:r>
          </w:p>
        </w:tc>
      </w:tr>
    </w:tbl>
    <w:p/>
    <w:p>
      <w:pPr>
        <w:spacing w:before="280" w:after="80"/>
        <w:pBdr>
          <w:bottom w:val="single" w:sz="6" w:space="1" w:color="304C61"/>
        </w:pBdr>
      </w:pPr>
      <w:r>
        <w:rPr>
          <w:rFonts w:ascii="Calibri" w:hAnsi="Calibri"/>
          <w:b/>
          <w:color w:val="1C3148"/>
          <w:sz w:val="28"/>
        </w:rPr>
        <w:t>Step-by-Step Process</w:t>
      </w:r>
    </w:p>
    <w:p>
      <w:pPr>
        <w:spacing w:before="0" w:after="160"/>
      </w:pPr>
      <w:r>
        <w:rPr>
          <w:rFonts w:ascii="Calibri" w:hAnsi="Calibri"/>
          <w:b w:val="0"/>
          <w:color w:val="1A1A1A"/>
          <w:sz w:val="22"/>
        </w:rPr>
        <w:t>Complete all steps in one sitting. The full process takes 10-15 minutes. Do this on the first business day of each month.</w:t>
      </w:r>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1</w:t>
            </w:r>
          </w:p>
        </w:tc>
        <w:tc>
          <w:tcPr>
            <w:tcW w:type="dxa" w:w="4703"/>
          </w:tcPr>
          <w:p>
            <w:pPr>
              <w:spacing w:before="80" w:after="40"/>
            </w:pPr>
            <w:r>
              <w:rPr>
                <w:rFonts w:ascii="Calibri" w:hAnsi="Calibri"/>
                <w:b/>
                <w:color w:val="1C3148"/>
                <w:sz w:val="26"/>
              </w:rPr>
              <w:t>Open Yahoo Finance</w:t>
            </w:r>
          </w:p>
          <w:p>
            <w:pPr>
              <w:pStyle w:val="ListBullet"/>
              <w:spacing w:before="20" w:after="20"/>
            </w:pPr>
            <w:r>
              <w:rPr>
                <w:rFonts w:ascii="Calibri" w:hAnsi="Calibri"/>
                <w:b w:val="0"/>
                <w:color w:val="1A1A1A"/>
                <w:sz w:val="22"/>
              </w:rPr>
              <w:t>Navigate to finance.yahoo.com in your browser.</w:t>
            </w:r>
          </w:p>
          <w:p>
            <w:pPr>
              <w:pStyle w:val="ListBullet"/>
              <w:spacing w:before="20" w:after="20"/>
            </w:pPr>
            <w:r>
              <w:rPr>
                <w:rFonts w:ascii="Calibri" w:hAnsi="Calibri"/>
                <w:b w:val="0"/>
                <w:color w:val="1A1A1A"/>
                <w:sz w:val="22"/>
              </w:rPr>
              <w:t>In the search bar at the top, type the first ticker code: CHC</w:t>
            </w:r>
          </w:p>
          <w:p>
            <w:pPr>
              <w:pStyle w:val="ListBullet"/>
              <w:spacing w:before="20" w:after="20"/>
            </w:pPr>
            <w:r>
              <w:rPr>
                <w:rFonts w:ascii="Calibri" w:hAnsi="Calibri"/>
                <w:b w:val="0"/>
                <w:color w:val="1A1A1A"/>
                <w:sz w:val="22"/>
              </w:rPr>
              <w:t>Select Charter Hall Group from the dropdown results (ASX listing).</w:t>
            </w:r>
          </w:p>
          <w:p>
            <w:pPr>
              <w:spacing w:before="40" w:after="80"/>
            </w:pPr>
            <w:r>
              <w:rPr>
                <w:rFonts w:ascii="Calibri" w:hAnsi="Calibri"/>
                <w:b/>
                <w:color w:val="5A4520"/>
                <w:sz w:val="20"/>
              </w:rPr>
              <w:t xml:space="preserve">TIP: </w:t>
            </w:r>
            <w:r>
              <w:rPr>
                <w:rFonts w:ascii="Calibri" w:hAnsi="Calibri"/>
                <w:b w:val="0"/>
                <w:color w:val="5A4520"/>
                <w:sz w:val="20"/>
              </w:rPr>
              <w:t>If multiple results appear, look for the one labelled ASX for Australian stocks, LSE for UK stocks, and NYSE or NASDAQ for US stocks.</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2</w:t>
            </w:r>
          </w:p>
        </w:tc>
        <w:tc>
          <w:tcPr>
            <w:tcW w:type="dxa" w:w="4703"/>
          </w:tcPr>
          <w:p>
            <w:pPr>
              <w:spacing w:before="80" w:after="40"/>
            </w:pPr>
            <w:r>
              <w:rPr>
                <w:rFonts w:ascii="Calibri" w:hAnsi="Calibri"/>
                <w:b/>
                <w:color w:val="1C3148"/>
                <w:sz w:val="26"/>
              </w:rPr>
              <w:t>Set Up the Chart View</w:t>
            </w:r>
          </w:p>
          <w:p>
            <w:pPr>
              <w:pStyle w:val="ListBullet"/>
              <w:spacing w:before="20" w:after="20"/>
            </w:pPr>
            <w:r>
              <w:rPr>
                <w:rFonts w:ascii="Calibri" w:hAnsi="Calibri"/>
                <w:b w:val="0"/>
                <w:color w:val="1A1A1A"/>
                <w:sz w:val="22"/>
              </w:rPr>
              <w:t>On the stock page, click the chart area to open it in full screen.</w:t>
            </w:r>
          </w:p>
          <w:p>
            <w:pPr>
              <w:pStyle w:val="ListBullet"/>
              <w:spacing w:before="20" w:after="20"/>
            </w:pPr>
            <w:r>
              <w:rPr>
                <w:rFonts w:ascii="Calibri" w:hAnsi="Calibri"/>
                <w:b w:val="0"/>
                <w:color w:val="1A1A1A"/>
                <w:sz w:val="22"/>
              </w:rPr>
              <w:t>Set the following three options on the chart toolbar:</w:t>
            </w:r>
          </w:p>
          <w:p>
            <w:pPr>
              <w:pStyle w:val="ListBullet"/>
              <w:spacing w:before="20" w:after="20"/>
            </w:pPr>
            <w:r>
              <w:rPr>
                <w:rFonts w:ascii="Calibri" w:hAnsi="Calibri"/>
                <w:b/>
                <w:color w:val="1C3148"/>
                <w:sz w:val="22"/>
              </w:rPr>
              <w:t xml:space="preserve">Time period: </w:t>
            </w:r>
            <w:r>
              <w:rPr>
                <w:rFonts w:ascii="Calibri" w:hAnsi="Calibri"/>
                <w:b w:val="0"/>
                <w:color w:val="1A1A1A"/>
                <w:sz w:val="22"/>
              </w:rPr>
              <w:t>1 Year</w:t>
            </w:r>
          </w:p>
          <w:p>
            <w:pPr>
              <w:pStyle w:val="ListBullet"/>
              <w:spacing w:before="20" w:after="20"/>
            </w:pPr>
            <w:r>
              <w:rPr>
                <w:rFonts w:ascii="Calibri" w:hAnsi="Calibri"/>
                <w:b/>
                <w:color w:val="1C3148"/>
                <w:sz w:val="22"/>
              </w:rPr>
              <w:t xml:space="preserve">Chart type: </w:t>
            </w:r>
            <w:r>
              <w:rPr>
                <w:rFonts w:ascii="Calibri" w:hAnsi="Calibri"/>
                <w:b w:val="0"/>
                <w:color w:val="1A1A1A"/>
                <w:sz w:val="22"/>
              </w:rPr>
              <w:t>Area</w:t>
            </w:r>
          </w:p>
          <w:p>
            <w:pPr>
              <w:pStyle w:val="ListBullet"/>
              <w:spacing w:before="20" w:after="20"/>
            </w:pPr>
            <w:r>
              <w:rPr>
                <w:rFonts w:ascii="Calibri" w:hAnsi="Calibri"/>
                <w:b/>
                <w:color w:val="1C3148"/>
                <w:sz w:val="22"/>
              </w:rPr>
              <w:t xml:space="preserve">Interval: </w:t>
            </w:r>
            <w:r>
              <w:rPr>
                <w:rFonts w:ascii="Calibri" w:hAnsi="Calibri"/>
                <w:b w:val="0"/>
                <w:color w:val="1A1A1A"/>
                <w:sz w:val="22"/>
              </w:rPr>
              <w:t>1 Day</w:t>
            </w:r>
          </w:p>
          <w:p>
            <w:pPr>
              <w:pStyle w:val="ListBullet"/>
              <w:spacing w:before="20" w:after="20"/>
            </w:pPr>
            <w:r>
              <w:rPr>
                <w:rFonts w:ascii="Calibri" w:hAnsi="Calibri"/>
                <w:b w:val="0"/>
                <w:color w:val="1A1A1A"/>
                <w:sz w:val="22"/>
              </w:rPr>
              <w:t>This gives you a clean 12-month view of the stock performance that is easy to compare across all stocks.</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3</w:t>
            </w:r>
          </w:p>
        </w:tc>
        <w:tc>
          <w:tcPr>
            <w:tcW w:type="dxa" w:w="4703"/>
          </w:tcPr>
          <w:p>
            <w:pPr>
              <w:spacing w:before="80" w:after="40"/>
            </w:pPr>
            <w:r>
              <w:rPr>
                <w:rFonts w:ascii="Calibri" w:hAnsi="Calibri"/>
                <w:b/>
                <w:color w:val="1C3148"/>
                <w:sz w:val="26"/>
              </w:rPr>
              <w:t>Add All Comparison Stocks</w:t>
            </w:r>
          </w:p>
          <w:p>
            <w:pPr>
              <w:pStyle w:val="ListBullet"/>
              <w:spacing w:before="20" w:after="20"/>
            </w:pPr>
            <w:r>
              <w:rPr>
                <w:rFonts w:ascii="Calibri" w:hAnsi="Calibri"/>
                <w:b w:val="0"/>
                <w:color w:val="1A1A1A"/>
                <w:sz w:val="22"/>
              </w:rPr>
              <w:t>Click the Comparison button on the chart.</w:t>
            </w:r>
          </w:p>
          <w:p>
            <w:pPr>
              <w:pStyle w:val="ListBullet"/>
              <w:spacing w:before="20" w:after="20"/>
            </w:pPr>
            <w:r>
              <w:rPr>
                <w:rFonts w:ascii="Calibri" w:hAnsi="Calibri"/>
                <w:b w:val="0"/>
                <w:color w:val="1A1A1A"/>
                <w:sz w:val="22"/>
              </w:rPr>
              <w:t>Type the next ticker code from the stock list (e.g. NSR) and select the correct result.</w:t>
            </w:r>
          </w:p>
          <w:p>
            <w:pPr>
              <w:pStyle w:val="ListBullet"/>
              <w:spacing w:before="20" w:after="20"/>
            </w:pPr>
            <w:r>
              <w:rPr>
                <w:rFonts w:ascii="Calibri" w:hAnsi="Calibri"/>
                <w:b w:val="0"/>
                <w:color w:val="1A1A1A"/>
                <w:sz w:val="22"/>
              </w:rPr>
              <w:t>Choose the following settings for each new stock:</w:t>
            </w:r>
          </w:p>
          <w:p>
            <w:pPr>
              <w:pStyle w:val="ListBullet"/>
              <w:spacing w:before="20" w:after="20"/>
            </w:pPr>
            <w:r>
              <w:rPr>
                <w:rFonts w:ascii="Calibri" w:hAnsi="Calibri"/>
                <w:b/>
                <w:color w:val="1C3148"/>
                <w:sz w:val="22"/>
              </w:rPr>
              <w:t xml:space="preserve">Line style: </w:t>
            </w:r>
            <w:r>
              <w:rPr>
                <w:rFonts w:ascii="Calibri" w:hAnsi="Calibri"/>
                <w:b w:val="0"/>
                <w:color w:val="1A1A1A"/>
                <w:sz w:val="22"/>
              </w:rPr>
              <w:t>Medium fat line</w:t>
            </w:r>
          </w:p>
          <w:p>
            <w:pPr>
              <w:pStyle w:val="ListBullet"/>
              <w:spacing w:before="20" w:after="20"/>
            </w:pPr>
            <w:r>
              <w:rPr>
                <w:rFonts w:ascii="Calibri" w:hAnsi="Calibri"/>
                <w:b/>
                <w:color w:val="1C3148"/>
                <w:sz w:val="22"/>
              </w:rPr>
              <w:t xml:space="preserve">Colour: </w:t>
            </w:r>
            <w:r>
              <w:rPr>
                <w:rFonts w:ascii="Calibri" w:hAnsi="Calibri"/>
                <w:b w:val="0"/>
                <w:color w:val="1A1A1A"/>
                <w:sz w:val="22"/>
              </w:rPr>
              <w:t>A different colour for every stock - do not repeat colours</w:t>
            </w:r>
          </w:p>
          <w:p>
            <w:pPr>
              <w:pStyle w:val="ListBullet"/>
              <w:spacing w:before="20" w:after="20"/>
            </w:pPr>
            <w:r>
              <w:rPr>
                <w:rFonts w:ascii="Calibri" w:hAnsi="Calibri"/>
                <w:b w:val="0"/>
                <w:color w:val="1A1A1A"/>
                <w:sz w:val="22"/>
              </w:rPr>
              <w:t>Click Save after adding each stock.</w:t>
            </w:r>
          </w:p>
          <w:p>
            <w:pPr>
              <w:pStyle w:val="ListBullet"/>
              <w:spacing w:before="20" w:after="20"/>
            </w:pPr>
            <w:r>
              <w:rPr>
                <w:rFonts w:ascii="Calibri" w:hAnsi="Calibri"/>
                <w:b w:val="0"/>
                <w:color w:val="1A1A1A"/>
                <w:sz w:val="22"/>
              </w:rPr>
              <w:t>Repeat for every stock in the reference table above.</w:t>
            </w:r>
          </w:p>
          <w:p>
            <w:pPr>
              <w:spacing w:before="40" w:after="80"/>
            </w:pPr>
            <w:r>
              <w:rPr>
                <w:rFonts w:ascii="Calibri" w:hAnsi="Calibri"/>
                <w:b/>
                <w:color w:val="5A4520"/>
                <w:sz w:val="20"/>
              </w:rPr>
              <w:t xml:space="preserve">TIP: </w:t>
            </w:r>
            <w:r>
              <w:rPr>
                <w:rFonts w:ascii="Calibri" w:hAnsi="Calibri"/>
                <w:b w:val="0"/>
                <w:color w:val="5A4520"/>
                <w:sz w:val="20"/>
              </w:rPr>
              <w:t>Keep a note of which colour you assigned to each stock. Use the same colour for the same stock every month so the chart is consistent and easy to read at catch-ups.</w:t>
            </w:r>
          </w:p>
          <w:p>
            <w:pPr>
              <w:spacing w:before="120" w:after="40"/>
            </w:pPr>
            <w:r>
              <w:rPr>
                <w:rFonts w:ascii="Calibri" w:hAnsi="Calibri"/>
                <w:b/>
                <w:color w:val="304C61"/>
                <w:sz w:val="22"/>
              </w:rPr>
              <w:t>Suggested Colour Assignments</w:t>
            </w:r>
          </w:p>
          <w:p>
            <w:pPr>
              <w:pStyle w:val="ListBullet"/>
              <w:spacing w:before="20" w:after="20"/>
            </w:pPr>
            <w:r>
              <w:rPr>
                <w:rFonts w:ascii="Calibri" w:hAnsi="Calibri"/>
                <w:b w:val="0"/>
                <w:color w:val="1A1A1A"/>
                <w:sz w:val="22"/>
              </w:rPr>
              <w:t>CHC - Blue</w:t>
            </w:r>
          </w:p>
          <w:p>
            <w:pPr>
              <w:pStyle w:val="ListBullet"/>
              <w:spacing w:before="20" w:after="20"/>
            </w:pPr>
            <w:r>
              <w:rPr>
                <w:rFonts w:ascii="Calibri" w:hAnsi="Calibri"/>
                <w:b w:val="0"/>
                <w:color w:val="1A1A1A"/>
                <w:sz w:val="22"/>
              </w:rPr>
              <w:t>NSR - Purple</w:t>
            </w:r>
          </w:p>
          <w:p>
            <w:pPr>
              <w:pStyle w:val="ListBullet"/>
              <w:spacing w:before="20" w:after="20"/>
            </w:pPr>
            <w:r>
              <w:rPr>
                <w:rFonts w:ascii="Calibri" w:hAnsi="Calibri"/>
                <w:b w:val="0"/>
                <w:color w:val="1A1A1A"/>
                <w:sz w:val="22"/>
              </w:rPr>
              <w:t>AEWU - Green</w:t>
            </w:r>
          </w:p>
          <w:p>
            <w:pPr>
              <w:pStyle w:val="ListBullet"/>
              <w:spacing w:before="20" w:after="20"/>
            </w:pPr>
            <w:r>
              <w:rPr>
                <w:rFonts w:ascii="Calibri" w:hAnsi="Calibri"/>
                <w:b w:val="0"/>
                <w:color w:val="1A1A1A"/>
                <w:sz w:val="22"/>
              </w:rPr>
              <w:t>Additional stocks - Red, Orange, Teal (in order)</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4</w:t>
            </w:r>
          </w:p>
        </w:tc>
        <w:tc>
          <w:tcPr>
            <w:tcW w:type="dxa" w:w="4703"/>
          </w:tcPr>
          <w:p>
            <w:pPr>
              <w:spacing w:before="80" w:after="40"/>
            </w:pPr>
            <w:r>
              <w:rPr>
                <w:rFonts w:ascii="Calibri" w:hAnsi="Calibri"/>
                <w:b/>
                <w:color w:val="1C3148"/>
                <w:sz w:val="26"/>
              </w:rPr>
              <w:t>Review the Chart</w:t>
            </w:r>
          </w:p>
          <w:p>
            <w:pPr>
              <w:pStyle w:val="ListBullet"/>
              <w:spacing w:before="20" w:after="20"/>
            </w:pPr>
            <w:r>
              <w:rPr>
                <w:rFonts w:ascii="Calibri" w:hAnsi="Calibri"/>
                <w:b w:val="0"/>
                <w:color w:val="1A1A1A"/>
                <w:sz w:val="22"/>
              </w:rPr>
              <w:t>Before sharing, spend 2-3 minutes reviewing the chart and noting observations. Look for:</w:t>
            </w:r>
          </w:p>
          <w:p>
            <w:pPr>
              <w:pStyle w:val="ListBullet"/>
              <w:spacing w:before="20" w:after="20"/>
            </w:pPr>
            <w:r>
              <w:rPr>
                <w:rFonts w:ascii="Calibri" w:hAnsi="Calibri"/>
                <w:b w:val="0"/>
                <w:color w:val="1A1A1A"/>
                <w:sz w:val="22"/>
              </w:rPr>
              <w:t>Which stocks are trending up, flat, or down</w:t>
            </w:r>
          </w:p>
          <w:p>
            <w:pPr>
              <w:pStyle w:val="ListBullet"/>
              <w:spacing w:before="20" w:after="20"/>
            </w:pPr>
            <w:r>
              <w:rPr>
                <w:rFonts w:ascii="Calibri" w:hAnsi="Calibri"/>
                <w:b w:val="0"/>
                <w:color w:val="1A1A1A"/>
                <w:sz w:val="22"/>
              </w:rPr>
              <w:t>Any stocks hitting new highs or approaching 12-month lows</w:t>
            </w:r>
          </w:p>
          <w:p>
            <w:pPr>
              <w:pStyle w:val="ListBullet"/>
              <w:spacing w:before="20" w:after="20"/>
            </w:pPr>
            <w:r>
              <w:rPr>
                <w:rFonts w:ascii="Calibri" w:hAnsi="Calibri"/>
                <w:b w:val="0"/>
                <w:color w:val="1A1A1A"/>
                <w:sz w:val="22"/>
              </w:rPr>
              <w:t>Whether AU, UK, and US stocks are moving together or diverging</w:t>
            </w:r>
          </w:p>
          <w:p>
            <w:pPr>
              <w:pStyle w:val="ListBullet"/>
              <w:spacing w:before="20" w:after="20"/>
            </w:pPr>
            <w:r>
              <w:rPr>
                <w:rFonts w:ascii="Calibri" w:hAnsi="Calibri"/>
                <w:b w:val="0"/>
                <w:color w:val="1A1A1A"/>
                <w:sz w:val="22"/>
              </w:rPr>
              <w:t>Any signs of a broad peak - multiple stocks reversing after highs simultaneously</w:t>
            </w:r>
          </w:p>
          <w:p>
            <w:pPr>
              <w:pStyle w:val="ListBullet"/>
              <w:spacing w:before="20" w:after="20"/>
            </w:pPr>
            <w:r>
              <w:rPr>
                <w:rFonts w:ascii="Calibri" w:hAnsi="Calibri"/>
                <w:b w:val="0"/>
                <w:color w:val="1A1A1A"/>
                <w:sz w:val="22"/>
              </w:rPr>
              <w:t>Signs of recovery - stocks bouncing from lows and trending upward consistently</w:t>
            </w:r>
          </w:p>
          <w:p>
            <w:pPr>
              <w:spacing w:before="40" w:after="80"/>
            </w:pPr>
            <w:r>
              <w:rPr>
                <w:rFonts w:ascii="Calibri" w:hAnsi="Calibri"/>
                <w:b/>
                <w:color w:val="5A4520"/>
                <w:sz w:val="20"/>
              </w:rPr>
              <w:t xml:space="preserve">TIP: </w:t>
            </w:r>
            <w:r>
              <w:rPr>
                <w:rFonts w:ascii="Calibri" w:hAnsi="Calibri"/>
                <w:b w:val="0"/>
                <w:color w:val="5A4520"/>
                <w:sz w:val="20"/>
              </w:rPr>
              <w:t>A rapid rise from a 12-month low across multiple markets (e.g. CHC moving from $8 to $12) signals an entry window. Stocks hitting all-time highs and reversing together signals a potential market top.</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5</w:t>
            </w:r>
          </w:p>
        </w:tc>
        <w:tc>
          <w:tcPr>
            <w:tcW w:type="dxa" w:w="4703"/>
          </w:tcPr>
          <w:p>
            <w:pPr>
              <w:spacing w:before="80" w:after="40"/>
            </w:pPr>
            <w:r>
              <w:rPr>
                <w:rFonts w:ascii="Calibri" w:hAnsi="Calibri"/>
                <w:b/>
                <w:color w:val="1C3148"/>
                <w:sz w:val="26"/>
              </w:rPr>
              <w:t>Share the Chart</w:t>
            </w:r>
          </w:p>
          <w:p>
            <w:pPr>
              <w:pStyle w:val="ListBullet"/>
              <w:spacing w:before="20" w:after="20"/>
            </w:pPr>
            <w:r>
              <w:rPr>
                <w:rFonts w:ascii="Calibri" w:hAnsi="Calibri"/>
                <w:b w:val="0"/>
                <w:color w:val="1A1A1A"/>
                <w:sz w:val="22"/>
              </w:rPr>
              <w:t>Once all stocks are added and the chart is complete, click the Share button on the chart toolbar.</w:t>
            </w:r>
          </w:p>
          <w:p>
            <w:pPr>
              <w:pStyle w:val="ListBullet"/>
              <w:spacing w:before="20" w:after="20"/>
            </w:pPr>
            <w:r>
              <w:rPr>
                <w:rFonts w:ascii="Calibri" w:hAnsi="Calibri"/>
                <w:b w:val="0"/>
                <w:color w:val="1A1A1A"/>
                <w:sz w:val="22"/>
              </w:rPr>
              <w:t>Click Copy link.</w:t>
            </w:r>
          </w:p>
          <w:p>
            <w:pPr>
              <w:pStyle w:val="ListBullet"/>
              <w:spacing w:before="20" w:after="20"/>
            </w:pPr>
            <w:r>
              <w:rPr>
                <w:rFonts w:ascii="Calibri" w:hAnsi="Calibri"/>
                <w:b w:val="0"/>
                <w:color w:val="1A1A1A"/>
                <w:sz w:val="22"/>
              </w:rPr>
              <w:t>Paste the link into the monthly catch-up notes or shared Google Drive folder.</w:t>
            </w:r>
          </w:p>
          <w:p>
            <w:pPr>
              <w:pStyle w:val="ListBullet"/>
              <w:spacing w:before="20" w:after="20"/>
            </w:pPr>
            <w:r>
              <w:rPr>
                <w:rFonts w:ascii="Calibri" w:hAnsi="Calibri"/>
                <w:b w:val="0"/>
                <w:color w:val="1A1A1A"/>
                <w:sz w:val="22"/>
              </w:rPr>
              <w:t>Share the link with the team at the monthly market review.</w:t>
            </w:r>
          </w:p>
          <w:p>
            <w:pPr>
              <w:spacing w:before="40" w:after="80"/>
            </w:pPr>
            <w:r>
              <w:rPr>
                <w:rFonts w:ascii="Calibri" w:hAnsi="Calibri"/>
                <w:b/>
                <w:color w:val="5A4520"/>
                <w:sz w:val="20"/>
              </w:rPr>
              <w:t xml:space="preserve">TIP: </w:t>
            </w:r>
            <w:r>
              <w:rPr>
                <w:rFonts w:ascii="Calibri" w:hAnsi="Calibri"/>
                <w:b w:val="0"/>
                <w:color w:val="5A4520"/>
                <w:sz w:val="20"/>
              </w:rPr>
              <w:t>The share link opens the live chart for anyone who clicks it - they do not need a Yahoo Finance account. Always use the Share button rather than copying the URL from the browser address bar.</w:t>
            </w:r>
          </w:p>
        </w:tc>
      </w:tr>
    </w:tbl>
    <w:p/>
    <w:p>
      <w:pPr>
        <w:spacing w:before="280" w:after="80"/>
        <w:pBdr>
          <w:bottom w:val="single" w:sz="6" w:space="1" w:color="304C61"/>
        </w:pBdr>
      </w:pPr>
      <w:r>
        <w:rPr>
          <w:rFonts w:ascii="Calibri" w:hAnsi="Calibri"/>
          <w:b/>
          <w:color w:val="1C3148"/>
          <w:sz w:val="28"/>
        </w:rPr>
        <w:t>Quick Reference Checklist</w:t>
      </w:r>
    </w:p>
    <w:p>
      <w:pPr>
        <w:spacing w:before="0" w:after="120"/>
      </w:pPr>
      <w:r>
        <w:rPr>
          <w:rFonts w:ascii="Calibri" w:hAnsi="Calibri"/>
          <w:b w:val="0"/>
          <w:color w:val="1A1A1A"/>
          <w:sz w:val="22"/>
        </w:rPr>
        <w:t>Use this as a monthly checklist each time you complete the tracker update.</w:t>
      </w:r>
    </w:p>
    <w:p>
      <w:pPr>
        <w:spacing w:before="20" w:after="20"/>
      </w:pPr>
      <w:r>
        <w:rPr>
          <w:rFonts w:ascii="Calibri" w:hAnsi="Calibri"/>
          <w:b w:val="0"/>
          <w:color w:val="304C61"/>
          <w:sz w:val="22"/>
        </w:rPr>
        <w:t xml:space="preserve">☐  </w:t>
      </w:r>
      <w:r>
        <w:rPr>
          <w:rFonts w:ascii="Calibri" w:hAnsi="Calibri"/>
          <w:b w:val="0"/>
          <w:color w:val="1A1A1A"/>
          <w:sz w:val="22"/>
        </w:rPr>
        <w:t>Opened Yahoo Finance and searched first ticker (CHC)</w:t>
      </w:r>
    </w:p>
    <w:p>
      <w:pPr>
        <w:spacing w:before="20" w:after="20"/>
      </w:pPr>
      <w:r>
        <w:rPr>
          <w:rFonts w:ascii="Calibri" w:hAnsi="Calibri"/>
          <w:b w:val="0"/>
          <w:color w:val="304C61"/>
          <w:sz w:val="22"/>
        </w:rPr>
        <w:t xml:space="preserve">☐  </w:t>
      </w:r>
      <w:r>
        <w:rPr>
          <w:rFonts w:ascii="Calibri" w:hAnsi="Calibri"/>
          <w:b w:val="0"/>
          <w:color w:val="1A1A1A"/>
          <w:sz w:val="22"/>
        </w:rPr>
        <w:t>Set chart to 1 Year / Area / 1 Day</w:t>
      </w:r>
    </w:p>
    <w:p>
      <w:pPr>
        <w:spacing w:before="20" w:after="20"/>
      </w:pPr>
      <w:r>
        <w:rPr>
          <w:rFonts w:ascii="Calibri" w:hAnsi="Calibri"/>
          <w:b w:val="0"/>
          <w:color w:val="304C61"/>
          <w:sz w:val="22"/>
        </w:rPr>
        <w:t xml:space="preserve">☐  </w:t>
      </w:r>
      <w:r>
        <w:rPr>
          <w:rFonts w:ascii="Calibri" w:hAnsi="Calibri"/>
          <w:b w:val="0"/>
          <w:color w:val="1A1A1A"/>
          <w:sz w:val="22"/>
        </w:rPr>
        <w:t>Added all comparison stocks using correct ticker codes</w:t>
      </w:r>
    </w:p>
    <w:p>
      <w:pPr>
        <w:spacing w:before="20" w:after="20"/>
      </w:pPr>
      <w:r>
        <w:rPr>
          <w:rFonts w:ascii="Calibri" w:hAnsi="Calibri"/>
          <w:b w:val="0"/>
          <w:color w:val="304C61"/>
          <w:sz w:val="22"/>
        </w:rPr>
        <w:t xml:space="preserve">☐  </w:t>
      </w:r>
      <w:r>
        <w:rPr>
          <w:rFonts w:ascii="Calibri" w:hAnsi="Calibri"/>
          <w:b w:val="0"/>
          <w:color w:val="1A1A1A"/>
          <w:sz w:val="22"/>
        </w:rPr>
        <w:t>Assigned a different colour to each stock</w:t>
      </w:r>
    </w:p>
    <w:p>
      <w:pPr>
        <w:spacing w:before="20" w:after="20"/>
      </w:pPr>
      <w:r>
        <w:rPr>
          <w:rFonts w:ascii="Calibri" w:hAnsi="Calibri"/>
          <w:b w:val="0"/>
          <w:color w:val="304C61"/>
          <w:sz w:val="22"/>
        </w:rPr>
        <w:t xml:space="preserve">☐  </w:t>
      </w:r>
      <w:r>
        <w:rPr>
          <w:rFonts w:ascii="Calibri" w:hAnsi="Calibri"/>
          <w:b w:val="0"/>
          <w:color w:val="1A1A1A"/>
          <w:sz w:val="22"/>
        </w:rPr>
        <w:t>Clicked Save after each stock was added</w:t>
      </w:r>
    </w:p>
    <w:p>
      <w:pPr>
        <w:spacing w:before="20" w:after="20"/>
      </w:pPr>
      <w:r>
        <w:rPr>
          <w:rFonts w:ascii="Calibri" w:hAnsi="Calibri"/>
          <w:b w:val="0"/>
          <w:color w:val="304C61"/>
          <w:sz w:val="22"/>
        </w:rPr>
        <w:t xml:space="preserve">☐  </w:t>
      </w:r>
      <w:r>
        <w:rPr>
          <w:rFonts w:ascii="Calibri" w:hAnsi="Calibri"/>
          <w:b w:val="0"/>
          <w:color w:val="1A1A1A"/>
          <w:sz w:val="22"/>
        </w:rPr>
        <w:t>Reviewed chart for trends, peaks, and divergence</w:t>
      </w:r>
    </w:p>
    <w:p>
      <w:pPr>
        <w:spacing w:before="20" w:after="20"/>
      </w:pPr>
      <w:r>
        <w:rPr>
          <w:rFonts w:ascii="Calibri" w:hAnsi="Calibri"/>
          <w:b w:val="0"/>
          <w:color w:val="304C61"/>
          <w:sz w:val="22"/>
        </w:rPr>
        <w:t xml:space="preserve">☐  </w:t>
      </w:r>
      <w:r>
        <w:rPr>
          <w:rFonts w:ascii="Calibri" w:hAnsi="Calibri"/>
          <w:b w:val="0"/>
          <w:color w:val="1A1A1A"/>
          <w:sz w:val="22"/>
        </w:rPr>
        <w:t>Noted key observations for catch-up discussion</w:t>
      </w:r>
    </w:p>
    <w:p>
      <w:pPr>
        <w:spacing w:before="20" w:after="20"/>
      </w:pPr>
      <w:r>
        <w:rPr>
          <w:rFonts w:ascii="Calibri" w:hAnsi="Calibri"/>
          <w:b w:val="0"/>
          <w:color w:val="304C61"/>
          <w:sz w:val="22"/>
        </w:rPr>
        <w:t xml:space="preserve">☐  </w:t>
      </w:r>
      <w:r>
        <w:rPr>
          <w:rFonts w:ascii="Calibri" w:hAnsi="Calibri"/>
          <w:b w:val="0"/>
          <w:color w:val="1A1A1A"/>
          <w:sz w:val="22"/>
        </w:rPr>
        <w:t>Clicked Share button and copied the chart link</w:t>
      </w:r>
    </w:p>
    <w:p>
      <w:pPr>
        <w:spacing w:before="20" w:after="20"/>
      </w:pPr>
      <w:r>
        <w:rPr>
          <w:rFonts w:ascii="Calibri" w:hAnsi="Calibri"/>
          <w:b w:val="0"/>
          <w:color w:val="304C61"/>
          <w:sz w:val="22"/>
        </w:rPr>
        <w:t xml:space="preserve">☐  </w:t>
      </w:r>
      <w:r>
        <w:rPr>
          <w:rFonts w:ascii="Calibri" w:hAnsi="Calibri"/>
          <w:b w:val="0"/>
          <w:color w:val="1A1A1A"/>
          <w:sz w:val="22"/>
        </w:rPr>
        <w:t>Pasted link into monthly catch-up notes or shared folder</w:t>
      </w:r>
    </w:p>
    <w:p/>
    <w:tbl>
      <w:tblPr>
        <w:tblStyle w:val="TableGrid"/>
        <w:tblW w:type="auto" w:w="0"/>
        <w:tblLook w:firstColumn="1" w:firstRow="1" w:lastColumn="0" w:lastRow="0" w:noHBand="0" w:noVBand="1" w:val="04A0"/>
      </w:tblPr>
      <w:tblGrid>
        <w:gridCol w:w="4703"/>
        <w:gridCol w:w="4703"/>
      </w:tblGrid>
      <w:tr>
        <w:tc>
          <w:tcPr>
            <w:tcW w:type="dxa" w:w="4703"/>
            <w:shd w:val="clear" w:color="auto" w:fill="1c3148"/>
          </w:tcPr>
          <w:p>
            <w:pPr>
              <w:spacing w:before="80" w:after="80"/>
              <w:jc w:val="left"/>
            </w:pPr>
            <w:r>
              <w:rPr>
                <w:rFonts w:ascii="Calibri" w:hAnsi="Calibri"/>
                <w:b w:val="0"/>
                <w:color w:val="AAAAAA"/>
                <w:sz w:val="18"/>
              </w:rPr>
              <w:t>Timar Buyers Agency - Internal SOP</w:t>
            </w:r>
          </w:p>
        </w:tc>
        <w:tc>
          <w:tcPr>
            <w:tcW w:type="dxa" w:w="4703"/>
            <w:shd w:val="clear" w:color="auto" w:fill="1c3148"/>
          </w:tcPr>
          <w:p>
            <w:pPr>
              <w:spacing w:before="80" w:after="80"/>
              <w:jc w:val="right"/>
            </w:pPr>
            <w:r>
              <w:rPr>
                <w:rFonts w:ascii="Calibri" w:hAnsi="Calibri"/>
                <w:b w:val="0"/>
                <w:color w:val="AAAAAA"/>
                <w:sz w:val="18"/>
              </w:rPr>
              <w:t>Global Property Stocks Tracker v1.0 - 26 May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