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406"/>
      </w:tblGrid>
      <w:tr>
        <w:tc>
          <w:tcPr>
            <w:tcW w:type="dxa" w:w="9360"/>
            <w:shd w:val="clear" w:color="auto" w:fill="1c3148"/>
          </w:tcPr>
          <w:p>
            <w:pPr>
              <w:spacing w:before="200" w:after="40"/>
              <w:jc w:val="left"/>
            </w:pPr>
            <w:r>
              <w:rPr>
                <w:rFonts w:ascii="Calibri" w:hAnsi="Calibri"/>
                <w:b/>
                <w:color w:val="AABBCC"/>
                <w:sz w:val="18"/>
              </w:rPr>
              <w:t>STANDARD OPERATING PROCEDURE</w:t>
            </w:r>
          </w:p>
          <w:p>
            <w:pPr>
              <w:spacing w:before="0" w:after="200"/>
            </w:pPr>
            <w:r>
              <w:rPr>
                <w:rFonts w:ascii="Calibri" w:hAnsi="Calibri"/>
                <w:b/>
                <w:color w:val="FFFFFF"/>
                <w:sz w:val="36"/>
              </w:rPr>
              <w:t>Post Contract Steps</w:t>
            </w:r>
          </w:p>
        </w:tc>
      </w:tr>
    </w:tbl>
    <w:p/>
    <w:tbl>
      <w:tblPr>
        <w:tblW w:type="auto" w:w="0"/>
        <w:jc w:val="center"/>
        <w:tblLook w:firstColumn="1" w:firstRow="1" w:lastColumn="0" w:lastRow="0" w:noHBand="0" w:noVBand="1" w:val="04A0"/>
      </w:tblPr>
      <w:tblGrid>
        <w:gridCol w:w="3135"/>
        <w:gridCol w:w="3135"/>
        <w:gridCol w:w="3135"/>
      </w:tblGrid>
      <w:tr>
        <w:tc>
          <w:tcPr>
            <w:tcW w:type="dxa" w:w="3135"/>
            <w:shd w:val="clear" w:color="auto" w:fill="304C61"/>
          </w:tcPr>
          <w:p>
            <w:pPr>
              <w:spacing w:before="120" w:after="120"/>
            </w:pPr>
            <w:r>
              <w:rPr>
                <w:rFonts w:ascii="Calibri" w:hAnsi="Calibri"/>
                <w:b w:val="0"/>
                <w:color w:val="BBCCDD"/>
                <w:sz w:val="18"/>
              </w:rPr>
              <w:t xml:space="preserve">Person Responsible: </w:t>
            </w:r>
            <w:r>
              <w:rPr>
                <w:rFonts w:ascii="Calibri" w:hAnsi="Calibri"/>
                <w:b/>
                <w:color w:val="FFFFFF"/>
                <w:sz w:val="18"/>
              </w:rPr>
              <w:t>David / Ben</w:t>
            </w:r>
          </w:p>
        </w:tc>
        <w:tc>
          <w:tcPr>
            <w:tcW w:type="dxa" w:w="3135"/>
            <w:shd w:val="clear" w:color="auto" w:fill="304C61"/>
          </w:tcPr>
          <w:p>
            <w:pPr>
              <w:spacing w:before="120" w:after="120"/>
            </w:pPr>
            <w:r>
              <w:rPr>
                <w:rFonts w:ascii="Calibri" w:hAnsi="Calibri"/>
                <w:b w:val="0"/>
                <w:color w:val="BBCCDD"/>
                <w:sz w:val="18"/>
              </w:rPr>
              <w:t xml:space="preserve">Version: </w:t>
            </w:r>
            <w:r>
              <w:rPr>
                <w:rFonts w:ascii="Calibri" w:hAnsi="Calibri"/>
                <w:b/>
                <w:color w:val="FFFFFF"/>
                <w:sz w:val="18"/>
              </w:rPr>
              <w:t>1.0</w:t>
            </w:r>
          </w:p>
        </w:tc>
        <w:tc>
          <w:tcPr>
            <w:tcW w:type="dxa" w:w="3135"/>
            <w:shd w:val="clear" w:color="auto" w:fill="304C61"/>
          </w:tcPr>
          <w:p>
            <w:pPr>
              <w:spacing w:before="120" w:after="120"/>
            </w:pPr>
            <w:r>
              <w:rPr>
                <w:rFonts w:ascii="Calibri" w:hAnsi="Calibri"/>
                <w:b w:val="0"/>
                <w:color w:val="BBCCDD"/>
                <w:sz w:val="18"/>
              </w:rPr>
              <w:t xml:space="preserve">Date: </w:t>
            </w:r>
            <w:r>
              <w:rPr>
                <w:rFonts w:ascii="Calibri" w:hAnsi="Calibri"/>
                <w:b/>
                <w:color w:val="FFFFFF"/>
                <w:sz w:val="18"/>
              </w:rPr>
              <w:t>24 May 2026</w:t>
            </w:r>
          </w:p>
        </w:tc>
      </w:tr>
    </w:tbl>
    <w:p/>
    <w:p>
      <w:pPr>
        <w:spacing w:before="360" w:after="120"/>
        <w:pBdr>
          <w:bottom w:val="single" w:sz="6" w:space="4" w:color="304C61"/>
        </w:pBdr>
      </w:pPr>
      <w:r>
        <w:rPr>
          <w:rFonts w:ascii="Calibri" w:hAnsi="Calibri"/>
          <w:b/>
          <w:color w:val="1C3148"/>
          <w:sz w:val="28"/>
        </w:rPr>
        <w:t>Resource Section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304C61"/>
          </w:tcPr>
          <w:p>
            <w:r>
              <w:rPr>
                <w:rFonts w:ascii="Calibri" w:hAnsi="Calibri"/>
                <w:b/>
                <w:color w:val="FFFFFF"/>
                <w:sz w:val="18"/>
              </w:rPr>
              <w:t>Title</w:t>
            </w:r>
          </w:p>
        </w:tc>
        <w:tc>
          <w:tcPr>
            <w:tcW w:type="dxa" w:w="3135"/>
            <w:shd w:val="clear" w:color="auto" w:fill="304C61"/>
          </w:tcPr>
          <w:p>
            <w:r>
              <w:rPr>
                <w:rFonts w:ascii="Calibri" w:hAnsi="Calibri"/>
                <w:b/>
                <w:color w:val="FFFFFF"/>
                <w:sz w:val="18"/>
              </w:rPr>
              <w:t>Link / Location</w:t>
            </w:r>
          </w:p>
        </w:tc>
        <w:tc>
          <w:tcPr>
            <w:tcW w:type="dxa" w:w="3135"/>
            <w:shd w:val="clear" w:color="auto" w:fill="304C61"/>
          </w:tcPr>
          <w:p>
            <w:r>
              <w:rPr>
                <w:rFonts w:ascii="Calibri" w:hAnsi="Calibri"/>
                <w:b/>
                <w:color w:val="FFFFFF"/>
                <w:sz w:val="18"/>
              </w:rPr>
              <w:t>Details</w:t>
            </w:r>
          </w:p>
        </w:tc>
      </w:tr>
      <w:tr>
        <w:tc>
          <w:tcPr>
            <w:tcW w:type="dxa" w:w="3135"/>
            <w:shd w:val="clear" w:color="auto" w:fill="FFFFFF"/>
          </w:tcPr>
          <w:p>
            <w:r>
              <w:rPr>
                <w:rFonts w:ascii="Calibri" w:hAnsi="Calibri"/>
                <w:b w:val="0"/>
                <w:color w:val="1A1A1A"/>
                <w:sz w:val="19"/>
              </w:rPr>
              <w:t>Congratulations Email Template</w:t>
            </w:r>
          </w:p>
        </w:tc>
        <w:tc>
          <w:tcPr>
            <w:tcW w:type="dxa" w:w="3135"/>
            <w:shd w:val="clear" w:color="auto" w:fill="FFFFFF"/>
          </w:tcPr>
          <w:p>
            <w:r>
              <w:rPr>
                <w:rFonts w:ascii="Calibri" w:hAnsi="Calibri"/>
                <w:b w:val="0"/>
                <w:color w:val="1A1A1A"/>
                <w:sz w:val="19"/>
              </w:rPr>
              <w:t>Drafts / Templates (Gmail)</w:t>
            </w:r>
          </w:p>
        </w:tc>
        <w:tc>
          <w:tcPr>
            <w:tcW w:type="dxa" w:w="3135"/>
            <w:shd w:val="clear" w:color="auto" w:fill="FFFFFF"/>
          </w:tcPr>
          <w:p>
            <w:r>
              <w:rPr>
                <w:rFonts w:ascii="Calibri" w:hAnsi="Calibri"/>
                <w:b w:val="0"/>
                <w:color w:val="1A1A1A"/>
                <w:sz w:val="19"/>
              </w:rPr>
              <w:t>Template: "Congratulations your offer has been accepted"</w:t>
            </w:r>
          </w:p>
        </w:tc>
      </w:tr>
      <w:tr>
        <w:tc>
          <w:tcPr>
            <w:tcW w:type="dxa" w:w="3135"/>
            <w:shd w:val="clear" w:color="auto" w:fill="F9F9F9"/>
          </w:tcPr>
          <w:p>
            <w:r>
              <w:rPr>
                <w:rFonts w:ascii="Calibri" w:hAnsi="Calibri"/>
                <w:b w:val="0"/>
                <w:color w:val="1A1A1A"/>
                <w:sz w:val="19"/>
              </w:rPr>
              <w:t>Building Inspection Request Template</w:t>
            </w:r>
          </w:p>
        </w:tc>
        <w:tc>
          <w:tcPr>
            <w:tcW w:type="dxa" w:w="3135"/>
            <w:shd w:val="clear" w:color="auto" w:fill="F9F9F9"/>
          </w:tcPr>
          <w:p>
            <w:r>
              <w:rPr>
                <w:rFonts w:ascii="Calibri" w:hAnsi="Calibri"/>
                <w:b w:val="0"/>
                <w:color w:val="1A1A1A"/>
                <w:sz w:val="19"/>
              </w:rPr>
              <w:t>Drafts / Templates (Gmail)</w:t>
            </w:r>
          </w:p>
        </w:tc>
        <w:tc>
          <w:tcPr>
            <w:tcW w:type="dxa" w:w="3135"/>
            <w:shd w:val="clear" w:color="auto" w:fill="F9F9F9"/>
          </w:tcPr>
          <w:p>
            <w:r>
              <w:rPr>
                <w:rFonts w:ascii="Calibri" w:hAnsi="Calibri"/>
                <w:b w:val="0"/>
                <w:color w:val="1A1A1A"/>
                <w:sz w:val="19"/>
              </w:rPr>
              <w:t>Template for contacting building inspector</w:t>
            </w:r>
          </w:p>
        </w:tc>
      </w:tr>
      <w:tr>
        <w:tc>
          <w:tcPr>
            <w:tcW w:type="dxa" w:w="3135"/>
            <w:shd w:val="clear" w:color="auto" w:fill="FFFFFF"/>
          </w:tcPr>
          <w:p>
            <w:r>
              <w:rPr>
                <w:rFonts w:ascii="Calibri" w:hAnsi="Calibri"/>
                <w:b w:val="0"/>
                <w:color w:val="1A1A1A"/>
                <w:sz w:val="19"/>
              </w:rPr>
              <w:t>PropVault</w:t>
            </w:r>
          </w:p>
        </w:tc>
        <w:tc>
          <w:tcPr>
            <w:tcW w:type="dxa" w:w="3135"/>
            <w:shd w:val="clear" w:color="auto" w:fill="FFFFFF"/>
          </w:tcPr>
          <w:p>
            <w:r>
              <w:rPr>
                <w:rFonts w:ascii="Calibri" w:hAnsi="Calibri"/>
                <w:b w:val="0"/>
                <w:color w:val="1A1A1A"/>
                <w:sz w:val="19"/>
              </w:rPr>
              <w:t>PropVault login</w:t>
            </w:r>
          </w:p>
        </w:tc>
        <w:tc>
          <w:tcPr>
            <w:tcW w:type="dxa" w:w="3135"/>
            <w:shd w:val="clear" w:color="auto" w:fill="FFFFFF"/>
          </w:tcPr>
          <w:p>
            <w:r>
              <w:rPr>
                <w:rFonts w:ascii="Calibri" w:hAnsi="Calibri"/>
                <w:b w:val="0"/>
                <w:color w:val="1A1A1A"/>
                <w:sz w:val="19"/>
              </w:rPr>
              <w:t>Log contract details and track conditions</w:t>
            </w:r>
          </w:p>
        </w:tc>
      </w:tr>
      <w:tr>
        <w:tc>
          <w:tcPr>
            <w:tcW w:type="dxa" w:w="3135"/>
            <w:shd w:val="clear" w:color="auto" w:fill="F9F9F9"/>
          </w:tcPr>
          <w:p>
            <w:r>
              <w:rPr>
                <w:rFonts w:ascii="Calibri" w:hAnsi="Calibri"/>
                <w:b w:val="0"/>
                <w:color w:val="1A1A1A"/>
                <w:sz w:val="19"/>
              </w:rPr>
              <w:t>WayHub (GoHighLevel)</w:t>
            </w:r>
          </w:p>
        </w:tc>
        <w:tc>
          <w:tcPr>
            <w:tcW w:type="dxa" w:w="3135"/>
            <w:shd w:val="clear" w:color="auto" w:fill="F9F9F9"/>
          </w:tcPr>
          <w:p>
            <w:r>
              <w:rPr>
                <w:rFonts w:ascii="Calibri" w:hAnsi="Calibri"/>
                <w:b w:val="0"/>
                <w:color w:val="1A1A1A"/>
                <w:sz w:val="19"/>
              </w:rPr>
              <w:t>WayHub login</w:t>
            </w:r>
          </w:p>
        </w:tc>
        <w:tc>
          <w:tcPr>
            <w:tcW w:type="dxa" w:w="3135"/>
            <w:shd w:val="clear" w:color="auto" w:fill="F9F9F9"/>
          </w:tcPr>
          <w:p>
            <w:r>
              <w:rPr>
                <w:rFonts w:ascii="Calibri" w:hAnsi="Calibri"/>
                <w:b w:val="0"/>
                <w:color w:val="1A1A1A"/>
                <w:sz w:val="19"/>
              </w:rPr>
              <w:t>Find all buyer email addresses via Fact Finder form</w:t>
            </w:r>
          </w:p>
        </w:tc>
      </w:tr>
      <w:tr>
        <w:tc>
          <w:tcPr>
            <w:tcW w:type="dxa" w:w="3135"/>
            <w:shd w:val="clear" w:color="auto" w:fill="FFFFFF"/>
          </w:tcPr>
          <w:p>
            <w:r>
              <w:rPr>
                <w:rFonts w:ascii="Calibri" w:hAnsi="Calibri"/>
                <w:b w:val="0"/>
                <w:color w:val="1A1A1A"/>
                <w:sz w:val="19"/>
              </w:rPr>
              <w:t>Loom Video Walkthrough</w:t>
            </w:r>
          </w:p>
        </w:tc>
        <w:tc>
          <w:tcPr>
            <w:tcW w:type="dxa" w:w="3135"/>
            <w:shd w:val="clear" w:color="auto" w:fill="FFFFFF"/>
          </w:tcPr>
          <w:p>
            <w:r>
              <w:rPr>
                <w:rFonts w:ascii="Calibri" w:hAnsi="Calibri"/>
                <w:b w:val="0"/>
                <w:color w:val="1A1A1A"/>
                <w:sz w:val="19"/>
              </w:rPr>
              <w:t>LINK</w:t>
            </w:r>
          </w:p>
        </w:tc>
        <w:tc>
          <w:tcPr>
            <w:tcW w:type="dxa" w:w="3135"/>
            <w:shd w:val="clear" w:color="auto" w:fill="FFFFFF"/>
          </w:tcPr>
          <w:p>
            <w:r>
              <w:rPr>
                <w:rFonts w:ascii="Calibri" w:hAnsi="Calibri"/>
                <w:b w:val="0"/>
                <w:color w:val="1A1A1A"/>
                <w:sz w:val="19"/>
              </w:rPr>
              <w:t>Screen recording of full post-contract process</w:t>
            </w:r>
          </w:p>
        </w:tc>
      </w:tr>
    </w:tbl>
    <w:p/>
    <w:p>
      <w:pPr>
        <w:spacing w:before="360" w:after="120"/>
        <w:pBdr>
          <w:bottom w:val="single" w:sz="6" w:space="4" w:color="304C61"/>
        </w:pBdr>
      </w:pPr>
      <w:r>
        <w:rPr>
          <w:rFonts w:ascii="Calibri" w:hAnsi="Calibri"/>
          <w:b/>
          <w:color w:val="1C3148"/>
          <w:sz w:val="28"/>
        </w:rPr>
        <w:t>Goal Statement</w:t>
      </w:r>
    </w:p>
    <w:tbl>
      <w:tblPr>
        <w:tblW w:type="auto" w:w="0"/>
        <w:jc w:val="center"/>
        <w:tblLook w:firstColumn="1" w:firstRow="1" w:lastColumn="0" w:lastRow="0" w:noHBand="0" w:noVBand="1" w:val="04A0"/>
      </w:tblPr>
      <w:tblGrid>
        <w:gridCol w:w="9406"/>
      </w:tblGrid>
      <w:tr>
        <w:tc>
          <w:tcPr>
            <w:tcW w:type="dxa" w:w="9406"/>
            <w:shd w:val="clear" w:color="auto" w:fill="EDF1F4"/>
          </w:tcPr>
          <w:p>
            <w:pPr>
              <w:spacing w:before="160" w:after="160"/>
            </w:pPr>
            <w:r>
              <w:rPr>
                <w:rFonts w:ascii="Calibri" w:hAnsi="Calibri"/>
                <w:b w:val="0"/>
                <w:color w:val="304C61"/>
                <w:sz w:val="21"/>
              </w:rPr>
              <w:t>The purpose of this SOP is to guide the designated team member (David or Ben) through the steps that must be completed immediately after a contract of sale is signed by the buyer. It covers sending the congratulations email, working out key dates, arranging a building inspection, confirming the deposit, and updating PropVault. This ensures every client receives consistent, professional communication and that all legal and contractual obligations are tracked from day one of the settlement process.</w:t>
            </w:r>
          </w:p>
        </w:tc>
      </w:tr>
    </w:tbl>
    <w:p/>
    <w:p>
      <w:pPr>
        <w:spacing w:before="360" w:after="120"/>
        <w:pBdr>
          <w:bottom w:val="single" w:sz="6" w:space="4" w:color="304C61"/>
        </w:pBdr>
      </w:pPr>
      <w:r>
        <w:rPr>
          <w:rFonts w:ascii="Calibri" w:hAnsi="Calibri"/>
          <w:b/>
          <w:color w:val="1C3148"/>
          <w:sz w:val="28"/>
        </w:rPr>
        <w:t>Importance</w:t>
      </w:r>
    </w:p>
    <w:tbl>
      <w:tblPr>
        <w:tblW w:type="auto" w:w="0"/>
        <w:jc w:val="center"/>
        <w:tblLook w:firstColumn="1" w:firstRow="1" w:lastColumn="0" w:lastRow="0" w:noHBand="0" w:noVBand="1" w:val="04A0"/>
      </w:tblPr>
      <w:tblGrid>
        <w:gridCol w:w="9406"/>
      </w:tblGrid>
      <w:tr>
        <w:tc>
          <w:tcPr>
            <w:tcW w:type="dxa" w:w="9406"/>
            <w:shd w:val="clear" w:color="auto" w:fill="EDF1F4"/>
          </w:tcPr>
          <w:p>
            <w:pPr>
              <w:spacing w:before="160" w:after="160"/>
            </w:pPr>
            <w:r>
              <w:rPr>
                <w:rFonts w:ascii="Calibri" w:hAnsi="Calibri"/>
                <w:b w:val="0"/>
                <w:color w:val="304C61"/>
                <w:sz w:val="21"/>
              </w:rPr>
              <w:t>The period immediately following contract signing is time-critical. Deposits have strict due dates (typically 3 business days), building inspections must be booked within clause timeframes (often 7 days), and finance approval must be tracked to the unconditional date. Errors or delays at this stage can expose the client to risk or breach of contract. A consistent, templated process ensures nothing is missed and the client feels fully informed and supported throughout settlement.</w:t>
            </w:r>
          </w:p>
        </w:tc>
      </w:tr>
    </w:tbl>
    <w:p/>
    <w:p>
      <w:pPr>
        <w:spacing w:before="360" w:after="120"/>
        <w:pBdr>
          <w:bottom w:val="single" w:sz="6" w:space="4" w:color="304C61"/>
        </w:pBdr>
      </w:pPr>
      <w:r>
        <w:rPr>
          <w:rFonts w:ascii="Calibri" w:hAnsi="Calibri"/>
          <w:b/>
          <w:color w:val="1C3148"/>
          <w:sz w:val="28"/>
        </w:rPr>
        <w:t>Post Contract Steps Process</w:t>
      </w:r>
    </w:p>
    <w:p>
      <w:pPr>
        <w:spacing w:after="80"/>
      </w:pPr>
      <w:r>
        <w:rPr>
          <w:rFonts w:ascii="Calibri" w:hAnsi="Calibri"/>
          <w:b w:val="0"/>
          <w:color w:val="1A1A1A"/>
          <w:sz w:val="21"/>
        </w:rPr>
        <w:t>Complete all steps on the same day where possible. Steps 1-3 are the priority.</w:t>
      </w:r>
    </w:p>
    <w:p>
      <w:pPr>
        <w:spacing w:before="360" w:after="120"/>
      </w:pPr>
      <w:r>
        <w:rPr>
          <w:rFonts w:ascii="Calibri" w:hAnsi="Calibri"/>
          <w:b/>
          <w:color w:val="304C61"/>
          <w:sz w:val="24"/>
        </w:rPr>
        <w:t>Step 1 — Get a Copy of the Signed Contract</w:t>
      </w:r>
    </w:p>
    <w:p>
      <w:pPr>
        <w:pStyle w:val="ListBullet"/>
        <w:spacing w:after="40"/>
        <w:ind w:left="283"/>
      </w:pPr>
      <w:r>
        <w:rPr>
          <w:rFonts w:ascii="Calibri" w:hAnsi="Calibri"/>
          <w:b w:val="0"/>
          <w:color w:val="1A1A1A"/>
          <w:sz w:val="21"/>
        </w:rPr>
        <w:t>Obtain the fully executed contract from the selling agent as soon as it is signed by both parties.</w:t>
      </w:r>
    </w:p>
    <w:p>
      <w:pPr>
        <w:pStyle w:val="ListBullet"/>
        <w:spacing w:after="40"/>
        <w:ind w:left="283"/>
      </w:pPr>
      <w:r>
        <w:rPr>
          <w:rFonts w:ascii="Calibri" w:hAnsi="Calibri"/>
          <w:b w:val="0"/>
          <w:color w:val="1A1A1A"/>
          <w:sz w:val="21"/>
        </w:rPr>
        <w:t>Download and save a copy to the client's Google Drive folder.</w:t>
      </w:r>
    </w:p>
    <w:p>
      <w:pPr>
        <w:pStyle w:val="ListBullet"/>
        <w:spacing w:after="40"/>
        <w:ind w:left="283"/>
      </w:pPr>
      <w:r>
        <w:rPr>
          <w:rFonts w:ascii="Calibri" w:hAnsi="Calibri"/>
          <w:b w:val="0"/>
          <w:color w:val="1A1A1A"/>
          <w:sz w:val="21"/>
        </w:rPr>
        <w:t>Open the contract and keep it accessible — you will refer to it throughout the following steps.</w:t>
      </w:r>
    </w:p>
    <w:p>
      <w:pPr>
        <w:spacing w:before="360" w:after="120"/>
      </w:pPr>
      <w:r>
        <w:rPr>
          <w:rFonts w:ascii="Calibri" w:hAnsi="Calibri"/>
          <w:b/>
          <w:color w:val="304C61"/>
          <w:sz w:val="24"/>
        </w:rPr>
        <w:t>Step 2 — Calculate Key Dates</w:t>
      </w:r>
    </w:p>
    <w:p>
      <w:pPr>
        <w:spacing w:after="80"/>
      </w:pPr>
      <w:r>
        <w:rPr>
          <w:rFonts w:ascii="Calibri" w:hAnsi="Calibri"/>
          <w:b w:val="0"/>
          <w:color w:val="1A1A1A"/>
          <w:sz w:val="21"/>
        </w:rPr>
        <w:t>Before drafting any emails, work out the key dates directly from the contract. You will need these in the congratulations email.</w:t>
      </w:r>
    </w:p>
    <w:p>
      <w:pPr>
        <w:pStyle w:val="ListBullet"/>
        <w:spacing w:after="40"/>
        <w:ind w:left="283"/>
      </w:pPr>
      <w:r>
        <w:rPr>
          <w:rFonts w:ascii="Calibri" w:hAnsi="Calibri"/>
          <w:b/>
          <w:color w:val="1C3148"/>
          <w:sz w:val="21"/>
        </w:rPr>
        <w:t xml:space="preserve">Contract date: </w:t>
      </w:r>
      <w:r>
        <w:rPr>
          <w:rFonts w:ascii="Calibri" w:hAnsi="Calibri"/>
          <w:b w:val="0"/>
          <w:color w:val="1A1A1A"/>
          <w:sz w:val="21"/>
        </w:rPr>
        <w:t>The date both parties signed.</w:t>
      </w:r>
    </w:p>
    <w:p>
      <w:pPr>
        <w:pStyle w:val="ListBullet"/>
        <w:spacing w:after="40"/>
        <w:ind w:left="283"/>
      </w:pPr>
      <w:r>
        <w:rPr>
          <w:rFonts w:ascii="Calibri" w:hAnsi="Calibri"/>
          <w:b/>
          <w:color w:val="1C3148"/>
          <w:sz w:val="21"/>
        </w:rPr>
        <w:t xml:space="preserve">Unconditional date: </w:t>
      </w:r>
      <w:r>
        <w:rPr>
          <w:rFonts w:ascii="Calibri" w:hAnsi="Calibri"/>
          <w:b w:val="0"/>
          <w:color w:val="1A1A1A"/>
          <w:sz w:val="21"/>
        </w:rPr>
        <w:t>Count forward from the contract date by the longest special clause period. Check the contract for the finance clause period (e.g., 21 days) and the building inspection clause period (e.g., 7 days). Use whichever is longer.</w:t>
      </w:r>
    </w:p>
    <w:p>
      <w:pPr>
        <w:pStyle w:val="ListBullet"/>
        <w:spacing w:after="40"/>
        <w:ind w:left="283"/>
      </w:pPr>
      <w:r>
        <w:rPr>
          <w:rFonts w:ascii="Calibri" w:hAnsi="Calibri"/>
          <w:b/>
          <w:color w:val="1C3148"/>
          <w:sz w:val="21"/>
        </w:rPr>
        <w:t xml:space="preserve">Settlement date: </w:t>
      </w:r>
      <w:r>
        <w:rPr>
          <w:rFonts w:ascii="Calibri" w:hAnsi="Calibri"/>
          <w:b w:val="0"/>
          <w:color w:val="1A1A1A"/>
          <w:sz w:val="21"/>
        </w:rPr>
        <w:t>Refer to the completion clause at the bottom of the contract. Typically: unconditional date + 30 days.</w:t>
      </w:r>
    </w:p>
    <w:p>
      <w:pPr>
        <w:pStyle w:val="ListBullet"/>
        <w:spacing w:after="40"/>
        <w:ind w:left="283"/>
      </w:pPr>
      <w:r>
        <w:rPr>
          <w:rFonts w:ascii="Calibri" w:hAnsi="Calibri"/>
          <w:b/>
          <w:color w:val="1C3148"/>
          <w:sz w:val="21"/>
        </w:rPr>
        <w:t xml:space="preserve">Deposit due date: </w:t>
      </w:r>
      <w:r>
        <w:rPr>
          <w:rFonts w:ascii="Calibri" w:hAnsi="Calibri"/>
          <w:b w:val="0"/>
          <w:color w:val="1A1A1A"/>
          <w:sz w:val="21"/>
        </w:rPr>
        <w:t>Typically 3 business days from the contract date. Use a calendar and skip weekends and public holidays. Example: signed Friday 21 May — Day 1 = Fri 22, Day 2 = Mon 25, Day 3 = Tue 26 May.</w:t>
      </w:r>
    </w:p>
    <w:p/>
    <w:tbl>
      <w:tblPr>
        <w:tblW w:type="auto" w:w="0"/>
        <w:tblLook w:firstColumn="1" w:firstRow="1" w:lastColumn="0" w:lastRow="0" w:noHBand="0" w:noVBand="1" w:val="04A0"/>
      </w:tblPr>
      <w:tblGrid>
        <w:gridCol w:w="9406"/>
      </w:tblGrid>
      <w:tr>
        <w:tc>
          <w:tcPr>
            <w:tcW w:type="dxa" w:w="9406"/>
            <w:shd w:val="clear" w:color="auto" w:fill="FFF8EC"/>
          </w:tcPr>
          <w:p>
            <w:pPr>
              <w:spacing w:before="120" w:after="120"/>
            </w:pPr>
            <w:r>
              <w:rPr>
                <w:rFonts w:ascii="Calibri" w:hAnsi="Calibri"/>
                <w:b/>
                <w:color w:val="5A4520"/>
                <w:sz w:val="20"/>
              </w:rPr>
              <w:t xml:space="preserve">TIP: </w:t>
            </w:r>
            <w:r>
              <w:rPr>
                <w:rFonts w:ascii="Calibri" w:hAnsi="Calibri"/>
                <w:b w:val="0"/>
                <w:color w:val="5A4520"/>
                <w:sz w:val="20"/>
              </w:rPr>
              <w:t>Use your phone or computer calendar to count forward accurately. Do not guess or calculate mentally.</w:t>
            </w:r>
          </w:p>
        </w:tc>
      </w:tr>
    </w:tbl>
    <w:p/>
    <w:p>
      <w:pPr>
        <w:spacing w:before="360" w:after="120"/>
      </w:pPr>
      <w:r>
        <w:rPr>
          <w:rFonts w:ascii="Calibri" w:hAnsi="Calibri"/>
          <w:b/>
          <w:color w:val="304C61"/>
          <w:sz w:val="24"/>
        </w:rPr>
        <w:t>Step 3 — Send the Congratulations Email to the Client</w:t>
      </w:r>
    </w:p>
    <w:p>
      <w:pPr>
        <w:pStyle w:val="ListBullet"/>
        <w:spacing w:after="40"/>
        <w:ind w:left="283"/>
      </w:pPr>
      <w:r>
        <w:rPr>
          <w:rFonts w:ascii="Calibri" w:hAnsi="Calibri"/>
          <w:b w:val="0"/>
          <w:color w:val="1A1A1A"/>
          <w:sz w:val="21"/>
        </w:rPr>
        <w:t>Go to Drafts / Templates in Gmail and open the "Congratulations your offer has been accepted" template.</w:t>
      </w:r>
    </w:p>
    <w:p>
      <w:pPr>
        <w:pStyle w:val="ListBullet"/>
        <w:spacing w:after="40"/>
        <w:ind w:left="283"/>
      </w:pPr>
      <w:r>
        <w:rPr>
          <w:rFonts w:ascii="Calibri" w:hAnsi="Calibri"/>
          <w:b w:val="0"/>
          <w:color w:val="1A1A1A"/>
          <w:sz w:val="21"/>
        </w:rPr>
        <w:t>Copy the template into a new email. Do not reply from within the template.</w:t>
      </w:r>
    </w:p>
    <w:p>
      <w:pPr>
        <w:spacing w:before="160" w:after="40"/>
      </w:pPr>
      <w:r>
        <w:rPr>
          <w:rFonts w:ascii="Calibri" w:hAnsi="Calibri"/>
          <w:b/>
          <w:color w:val="1C3148"/>
          <w:sz w:val="21"/>
        </w:rPr>
        <w:t>Email Heading</w:t>
      </w:r>
    </w:p>
    <w:p>
      <w:pPr>
        <w:pStyle w:val="ListBullet"/>
        <w:spacing w:after="40"/>
        <w:ind w:left="283"/>
      </w:pPr>
      <w:r>
        <w:rPr>
          <w:rFonts w:ascii="Calibri" w:hAnsi="Calibri"/>
          <w:b w:val="0"/>
          <w:color w:val="1A1A1A"/>
          <w:sz w:val="21"/>
        </w:rPr>
        <w:t>Use the heading format: Congratulations. You're off to [street address].</w:t>
      </w:r>
    </w:p>
    <w:p>
      <w:pPr>
        <w:pStyle w:val="ListBullet"/>
        <w:spacing w:after="40"/>
        <w:ind w:left="283"/>
      </w:pPr>
      <w:r>
        <w:rPr>
          <w:rFonts w:ascii="Calibri" w:hAnsi="Calibri"/>
          <w:b w:val="0"/>
          <w:color w:val="1A1A1A"/>
          <w:sz w:val="21"/>
        </w:rPr>
        <w:t>Double-check the spelling of the property address carefully.</w:t>
      </w:r>
    </w:p>
    <w:p>
      <w:pPr>
        <w:pStyle w:val="ListBullet"/>
        <w:spacing w:after="40"/>
        <w:ind w:left="283"/>
      </w:pPr>
      <w:r>
        <w:rPr>
          <w:rFonts w:ascii="Calibri" w:hAnsi="Calibri"/>
          <w:b w:val="0"/>
          <w:color w:val="1A1A1A"/>
          <w:sz w:val="21"/>
        </w:rPr>
        <w:t>Include a link to the property listing.</w:t>
      </w:r>
    </w:p>
    <w:p>
      <w:pPr>
        <w:spacing w:before="160" w:after="40"/>
      </w:pPr>
      <w:r>
        <w:rPr>
          <w:rFonts w:ascii="Calibri" w:hAnsi="Calibri"/>
          <w:b/>
          <w:color w:val="1C3148"/>
          <w:sz w:val="21"/>
        </w:rPr>
        <w:t>Agreement Terms Summary</w:t>
      </w:r>
    </w:p>
    <w:p>
      <w:pPr>
        <w:pStyle w:val="ListBullet"/>
        <w:spacing w:after="40"/>
        <w:ind w:left="283"/>
      </w:pPr>
      <w:r>
        <w:rPr>
          <w:rFonts w:ascii="Calibri" w:hAnsi="Calibri"/>
          <w:b/>
          <w:color w:val="1C3148"/>
          <w:sz w:val="21"/>
        </w:rPr>
        <w:t xml:space="preserve">Purchase price: </w:t>
      </w:r>
      <w:r>
        <w:rPr>
          <w:rFonts w:ascii="Calibri" w:hAnsi="Calibri"/>
          <w:b w:val="0"/>
          <w:color w:val="1A1A1A"/>
          <w:sz w:val="21"/>
        </w:rPr>
        <w:t>Confirm from the contract (e.g., $700,000). Bold this in the email.</w:t>
      </w:r>
    </w:p>
    <w:p>
      <w:pPr>
        <w:pStyle w:val="ListBullet"/>
        <w:spacing w:after="40"/>
        <w:ind w:left="283"/>
      </w:pPr>
      <w:r>
        <w:rPr>
          <w:rFonts w:ascii="Calibri" w:hAnsi="Calibri"/>
          <w:b/>
          <w:color w:val="1C3148"/>
          <w:sz w:val="21"/>
        </w:rPr>
        <w:t xml:space="preserve">Deposit: </w:t>
      </w:r>
      <w:r>
        <w:rPr>
          <w:rFonts w:ascii="Calibri" w:hAnsi="Calibri"/>
          <w:b w:val="0"/>
          <w:color w:val="1A1A1A"/>
          <w:sz w:val="21"/>
        </w:rPr>
        <w:t>Amount and payee (e.g., "$10,000 payable to [Selling Agency] Trust Account").</w:t>
      </w:r>
    </w:p>
    <w:p>
      <w:pPr>
        <w:pStyle w:val="ListBullet"/>
        <w:spacing w:after="40"/>
        <w:ind w:left="283"/>
      </w:pPr>
      <w:r>
        <w:rPr>
          <w:rFonts w:ascii="Calibri" w:hAnsi="Calibri"/>
          <w:b/>
          <w:color w:val="1C3148"/>
          <w:sz w:val="21"/>
        </w:rPr>
        <w:t xml:space="preserve">Unconditional date: </w:t>
      </w:r>
      <w:r>
        <w:rPr>
          <w:rFonts w:ascii="Calibri" w:hAnsi="Calibri"/>
          <w:b w:val="0"/>
          <w:color w:val="1A1A1A"/>
          <w:sz w:val="21"/>
        </w:rPr>
        <w:t>Date calculated in Step 2. Bold this.</w:t>
      </w:r>
    </w:p>
    <w:p>
      <w:pPr>
        <w:pStyle w:val="ListBullet"/>
        <w:spacing w:after="40"/>
        <w:ind w:left="283"/>
      </w:pPr>
      <w:r>
        <w:rPr>
          <w:rFonts w:ascii="Calibri" w:hAnsi="Calibri"/>
          <w:b/>
          <w:color w:val="1C3148"/>
          <w:sz w:val="21"/>
        </w:rPr>
        <w:t xml:space="preserve">Settlement date: </w:t>
      </w:r>
      <w:r>
        <w:rPr>
          <w:rFonts w:ascii="Calibri" w:hAnsi="Calibri"/>
          <w:b w:val="0"/>
          <w:color w:val="1A1A1A"/>
          <w:sz w:val="21"/>
        </w:rPr>
        <w:t>Date calculated in Step 2. Bold this.</w:t>
      </w:r>
    </w:p>
    <w:p>
      <w:pPr>
        <w:spacing w:before="160" w:after="40"/>
      </w:pPr>
      <w:r>
        <w:rPr>
          <w:rFonts w:ascii="Calibri" w:hAnsi="Calibri"/>
          <w:b/>
          <w:color w:val="1C3148"/>
          <w:sz w:val="21"/>
        </w:rPr>
        <w:t>Special Conditions</w:t>
      </w:r>
    </w:p>
    <w:p>
      <w:pPr>
        <w:pStyle w:val="ListBullet"/>
        <w:spacing w:after="40"/>
        <w:ind w:left="283"/>
      </w:pPr>
      <w:r>
        <w:rPr>
          <w:rFonts w:ascii="Calibri" w:hAnsi="Calibri"/>
          <w:b/>
          <w:color w:val="1C3148"/>
          <w:sz w:val="21"/>
        </w:rPr>
        <w:t xml:space="preserve">Finance clause: </w:t>
      </w:r>
      <w:r>
        <w:rPr>
          <w:rFonts w:ascii="Calibri" w:hAnsi="Calibri"/>
          <w:b w:val="0"/>
          <w:color w:val="1A1A1A"/>
          <w:sz w:val="21"/>
        </w:rPr>
        <w:t>[X] days from contract date, signed [date]. Bold as a dot point.</w:t>
      </w:r>
    </w:p>
    <w:p>
      <w:pPr>
        <w:pStyle w:val="ListBullet"/>
        <w:spacing w:after="40"/>
        <w:ind w:left="283"/>
      </w:pPr>
      <w:r>
        <w:rPr>
          <w:rFonts w:ascii="Calibri" w:hAnsi="Calibri"/>
          <w:b/>
          <w:color w:val="1C3148"/>
          <w:sz w:val="21"/>
        </w:rPr>
        <w:t xml:space="preserve">Building inspection: </w:t>
      </w:r>
      <w:r>
        <w:rPr>
          <w:rFonts w:ascii="Calibri" w:hAnsi="Calibri"/>
          <w:b w:val="0"/>
          <w:color w:val="1A1A1A"/>
          <w:sz w:val="21"/>
        </w:rPr>
        <w:t>[X] days from contract date, signed [date]. Bold as a dot point.</w:t>
      </w:r>
    </w:p>
    <w:p>
      <w:pPr>
        <w:spacing w:before="160" w:after="40"/>
      </w:pPr>
      <w:r>
        <w:rPr>
          <w:rFonts w:ascii="Calibri" w:hAnsi="Calibri"/>
          <w:b/>
          <w:color w:val="1C3148"/>
          <w:sz w:val="21"/>
        </w:rPr>
        <w:t>Deposit Payment Instructions</w:t>
      </w:r>
    </w:p>
    <w:p>
      <w:pPr>
        <w:pStyle w:val="ListBullet"/>
        <w:spacing w:after="40"/>
        <w:ind w:left="283"/>
      </w:pPr>
      <w:r>
        <w:rPr>
          <w:rFonts w:ascii="Calibri" w:hAnsi="Calibri"/>
          <w:b w:val="0"/>
          <w:color w:val="1A1A1A"/>
          <w:sz w:val="21"/>
        </w:rPr>
        <w:t>Find the trust account details on the contract (deposit holder name, BSP number, account number).</w:t>
      </w:r>
    </w:p>
    <w:p>
      <w:pPr>
        <w:pStyle w:val="ListBullet"/>
        <w:spacing w:after="40"/>
        <w:ind w:left="283"/>
      </w:pPr>
      <w:r>
        <w:rPr>
          <w:rFonts w:ascii="Calibri" w:hAnsi="Calibri"/>
          <w:b w:val="0"/>
          <w:color w:val="1A1A1A"/>
          <w:sz w:val="21"/>
        </w:rPr>
        <w:t>Look up the selling agency's phone number online. Prefer a landline. Include it so the client can verify the account before transferring funds.</w:t>
      </w:r>
    </w:p>
    <w:p>
      <w:pPr>
        <w:pStyle w:val="ListBullet"/>
        <w:spacing w:after="40"/>
        <w:ind w:left="283"/>
      </w:pPr>
      <w:r>
        <w:rPr>
          <w:rFonts w:ascii="Calibri" w:hAnsi="Calibri"/>
          <w:b w:val="0"/>
          <w:color w:val="1A1A1A"/>
          <w:sz w:val="21"/>
        </w:rPr>
        <w:t>Include the deposit due date (calculated in Step 2).</w:t>
      </w:r>
    </w:p>
    <w:p>
      <w:pPr>
        <w:spacing w:before="160" w:after="40"/>
      </w:pPr>
      <w:r>
        <w:rPr>
          <w:rFonts w:ascii="Calibri" w:hAnsi="Calibri"/>
          <w:b/>
          <w:color w:val="1C3148"/>
          <w:sz w:val="21"/>
        </w:rPr>
        <w:t>Legal / Solicitor</w:t>
      </w:r>
    </w:p>
    <w:p>
      <w:pPr>
        <w:pStyle w:val="ListBullet"/>
        <w:spacing w:after="40"/>
        <w:ind w:left="283"/>
      </w:pPr>
      <w:r>
        <w:rPr>
          <w:rFonts w:ascii="Calibri" w:hAnsi="Calibri"/>
          <w:b w:val="0"/>
          <w:color w:val="1A1A1A"/>
          <w:sz w:val="21"/>
        </w:rPr>
        <w:t>CC your solicitor on the congratulations email.</w:t>
      </w:r>
    </w:p>
    <w:p>
      <w:pPr>
        <w:pStyle w:val="ListBullet"/>
        <w:spacing w:after="40"/>
        <w:ind w:left="283"/>
      </w:pPr>
      <w:r>
        <w:rPr>
          <w:rFonts w:ascii="Calibri" w:hAnsi="Calibri"/>
          <w:b w:val="0"/>
          <w:color w:val="1A1A1A"/>
          <w:sz w:val="21"/>
        </w:rPr>
        <w:t>The email should note: "We have issued contract instructions and conditions to [solicitor name] via this email."</w:t>
      </w:r>
    </w:p>
    <w:p>
      <w:pPr>
        <w:pStyle w:val="ListBullet"/>
        <w:spacing w:after="40"/>
        <w:ind w:left="283"/>
      </w:pPr>
      <w:r>
        <w:rPr>
          <w:rFonts w:ascii="Calibri" w:hAnsi="Calibri"/>
          <w:b w:val="0"/>
          <w:color w:val="1A1A1A"/>
          <w:sz w:val="21"/>
        </w:rPr>
        <w:t>Instruct the client to also forward the contract to their broker or lender.</w:t>
      </w:r>
    </w:p>
    <w:p>
      <w:pPr>
        <w:spacing w:before="160" w:after="40"/>
      </w:pPr>
      <w:r>
        <w:rPr>
          <w:rFonts w:ascii="Calibri" w:hAnsi="Calibri"/>
          <w:b/>
          <w:color w:val="1C3148"/>
          <w:sz w:val="21"/>
        </w:rPr>
        <w:t>Recipients</w:t>
      </w:r>
    </w:p>
    <w:p>
      <w:pPr>
        <w:pStyle w:val="ListBullet"/>
        <w:spacing w:after="40"/>
        <w:ind w:left="283"/>
      </w:pPr>
      <w:r>
        <w:rPr>
          <w:rFonts w:ascii="Calibri" w:hAnsi="Calibri"/>
          <w:b w:val="0"/>
          <w:color w:val="1A1A1A"/>
          <w:sz w:val="21"/>
        </w:rPr>
        <w:t>Address to ALL buyers. If you do not have all email addresses, check WayHub — search client name, open their record, go to Fact Finder form.</w:t>
      </w:r>
    </w:p>
    <w:p>
      <w:pPr>
        <w:pStyle w:val="ListBullet"/>
        <w:spacing w:after="40"/>
        <w:ind w:left="283"/>
      </w:pPr>
      <w:r>
        <w:rPr>
          <w:rFonts w:ascii="Calibri" w:hAnsi="Calibri"/>
          <w:b w:val="0"/>
          <w:color w:val="1A1A1A"/>
          <w:sz w:val="21"/>
        </w:rPr>
        <w:t>CC: solicitor, buyers' agent (David or Ben).</w:t>
      </w:r>
    </w:p>
    <w:p>
      <w:pPr>
        <w:spacing w:before="160" w:after="40"/>
      </w:pPr>
      <w:r>
        <w:rPr>
          <w:rFonts w:ascii="Calibri" w:hAnsi="Calibri"/>
          <w:b/>
          <w:color w:val="1C3148"/>
          <w:sz w:val="21"/>
        </w:rPr>
        <w:t>Attachments &amp; Formatting</w:t>
      </w:r>
    </w:p>
    <w:p>
      <w:pPr>
        <w:pStyle w:val="ListBullet"/>
        <w:spacing w:after="40"/>
        <w:ind w:left="283"/>
      </w:pPr>
      <w:r>
        <w:rPr>
          <w:rFonts w:ascii="Calibri" w:hAnsi="Calibri"/>
          <w:b w:val="0"/>
          <w:color w:val="1A1A1A"/>
          <w:sz w:val="21"/>
        </w:rPr>
        <w:t>Attach the fully executed contract of sale.</w:t>
      </w:r>
    </w:p>
    <w:p>
      <w:pPr>
        <w:pStyle w:val="ListBullet"/>
        <w:spacing w:after="40"/>
        <w:ind w:left="283"/>
      </w:pPr>
      <w:r>
        <w:rPr>
          <w:rFonts w:ascii="Calibri" w:hAnsi="Calibri"/>
          <w:b w:val="0"/>
          <w:color w:val="1A1A1A"/>
          <w:sz w:val="21"/>
        </w:rPr>
        <w:t>After copy-pasting from the contract, check all text is the same font size and colour (black). Copy-paste often brings in different formatting.</w:t>
      </w:r>
    </w:p>
    <w:p>
      <w:pPr>
        <w:spacing w:before="360" w:after="120"/>
      </w:pPr>
      <w:r>
        <w:rPr>
          <w:rFonts w:ascii="Calibri" w:hAnsi="Calibri"/>
          <w:b/>
          <w:color w:val="304C61"/>
          <w:sz w:val="24"/>
        </w:rPr>
        <w:t>Step 4 — Send WhatsApp Message to Client</w:t>
      </w:r>
    </w:p>
    <w:p>
      <w:pPr>
        <w:pStyle w:val="ListBullet"/>
        <w:spacing w:after="40"/>
        <w:ind w:left="283"/>
      </w:pPr>
      <w:r>
        <w:rPr>
          <w:rFonts w:ascii="Calibri" w:hAnsi="Calibri"/>
          <w:b w:val="0"/>
          <w:color w:val="1A1A1A"/>
          <w:sz w:val="21"/>
        </w:rPr>
        <w:t>In addition to the email, send a congratulatory WhatsApp message to the client.</w:t>
      </w:r>
    </w:p>
    <w:p>
      <w:pPr>
        <w:pStyle w:val="ListBullet"/>
        <w:spacing w:after="40"/>
        <w:ind w:left="283"/>
      </w:pPr>
      <w:r>
        <w:rPr>
          <w:rFonts w:ascii="Calibri" w:hAnsi="Calibri"/>
          <w:b w:val="0"/>
          <w:color w:val="1A1A1A"/>
          <w:sz w:val="21"/>
        </w:rPr>
        <w:t>Keep it warm and brief — a simple congratulations and confirmation that the detailed email has been sent is sufficient.</w:t>
      </w:r>
    </w:p>
    <w:p>
      <w:pPr>
        <w:spacing w:before="360" w:after="120"/>
      </w:pPr>
      <w:r>
        <w:rPr>
          <w:rFonts w:ascii="Calibri" w:hAnsi="Calibri"/>
          <w:b/>
          <w:color w:val="304C61"/>
          <w:sz w:val="24"/>
        </w:rPr>
        <w:t>Step 5 — Send Building Inspection Request</w:t>
      </w:r>
    </w:p>
    <w:p>
      <w:pPr>
        <w:pStyle w:val="ListBullet"/>
        <w:spacing w:after="40"/>
        <w:ind w:left="283"/>
      </w:pPr>
      <w:r>
        <w:rPr>
          <w:rFonts w:ascii="Calibri" w:hAnsi="Calibri"/>
          <w:b w:val="0"/>
          <w:color w:val="1A1A1A"/>
          <w:sz w:val="21"/>
        </w:rPr>
        <w:t>Go to Drafts / Templates in Gmail and open the building inspection request template.</w:t>
      </w:r>
    </w:p>
    <w:p>
      <w:pPr>
        <w:pStyle w:val="ListBullet"/>
        <w:spacing w:after="40"/>
        <w:ind w:left="283"/>
      </w:pPr>
      <w:r>
        <w:rPr>
          <w:rFonts w:ascii="Calibri" w:hAnsi="Calibri"/>
          <w:b w:val="0"/>
          <w:color w:val="1A1A1A"/>
          <w:sz w:val="21"/>
        </w:rPr>
        <w:t>Copy into a new email and update all details.</w:t>
      </w:r>
    </w:p>
    <w:p>
      <w:pPr>
        <w:spacing w:before="160" w:after="40"/>
      </w:pPr>
      <w:r>
        <w:rPr>
          <w:rFonts w:ascii="Calibri" w:hAnsi="Calibri"/>
          <w:b/>
          <w:color w:val="1C3148"/>
          <w:sz w:val="21"/>
        </w:rPr>
        <w:t>Email Content</w:t>
      </w:r>
    </w:p>
    <w:p>
      <w:pPr>
        <w:pStyle w:val="ListBullet"/>
        <w:spacing w:after="40"/>
        <w:ind w:left="283"/>
      </w:pPr>
      <w:r>
        <w:rPr>
          <w:rFonts w:ascii="Calibri" w:hAnsi="Calibri"/>
          <w:b w:val="0"/>
          <w:color w:val="1A1A1A"/>
          <w:sz w:val="21"/>
        </w:rPr>
        <w:t>Address to the building inspector.</w:t>
      </w:r>
    </w:p>
    <w:p>
      <w:pPr>
        <w:pStyle w:val="ListBullet"/>
        <w:spacing w:after="40"/>
        <w:ind w:left="283"/>
      </w:pPr>
      <w:r>
        <w:rPr>
          <w:rFonts w:ascii="Calibri" w:hAnsi="Calibri"/>
          <w:b w:val="0"/>
          <w:color w:val="1A1A1A"/>
          <w:sz w:val="21"/>
        </w:rPr>
        <w:t>Include the property address and a link to the listing (so the inspector can view it online before attending).</w:t>
      </w:r>
    </w:p>
    <w:p>
      <w:pPr>
        <w:pStyle w:val="ListBullet"/>
        <w:spacing w:after="40"/>
        <w:ind w:left="283"/>
      </w:pPr>
      <w:r>
        <w:rPr>
          <w:rFonts w:ascii="Calibri" w:hAnsi="Calibri"/>
          <w:b w:val="0"/>
          <w:color w:val="1A1A1A"/>
          <w:sz w:val="21"/>
        </w:rPr>
        <w:t>State the client names (all buyers).</w:t>
      </w:r>
    </w:p>
    <w:p>
      <w:pPr>
        <w:pStyle w:val="ListBullet"/>
        <w:spacing w:after="40"/>
        <w:ind w:left="283"/>
      </w:pPr>
      <w:r>
        <w:rPr>
          <w:rFonts w:ascii="Calibri" w:hAnsi="Calibri"/>
          <w:b w:val="0"/>
          <w:color w:val="1A1A1A"/>
          <w:sz w:val="21"/>
        </w:rPr>
        <w:t>State the building clause timeframe: e.g., "Working with a 7-day building inspection clause signed on [contract date]."</w:t>
      </w:r>
    </w:p>
    <w:p>
      <w:pPr>
        <w:pStyle w:val="ListBullet"/>
        <w:spacing w:after="40"/>
        <w:ind w:left="283"/>
      </w:pPr>
      <w:r>
        <w:rPr>
          <w:rFonts w:ascii="Calibri" w:hAnsi="Calibri"/>
          <w:b w:val="0"/>
          <w:color w:val="1A1A1A"/>
          <w:sz w:val="21"/>
        </w:rPr>
        <w:t>State the defect limit: e.g., "The contract includes a 2% defect limit at a purchase price of $[amount]."</w:t>
      </w:r>
    </w:p>
    <w:p>
      <w:pPr>
        <w:pStyle w:val="ListBullet"/>
        <w:spacing w:after="40"/>
        <w:ind w:left="283"/>
      </w:pPr>
      <w:r>
        <w:rPr>
          <w:rFonts w:ascii="Calibri" w:hAnsi="Calibri"/>
          <w:b w:val="0"/>
          <w:color w:val="1A1A1A"/>
          <w:sz w:val="21"/>
        </w:rPr>
        <w:t>State the selling agent name, agency, and phone number for access coordination.</w:t>
      </w:r>
    </w:p>
    <w:p>
      <w:pPr>
        <w:spacing w:before="160" w:after="40"/>
      </w:pPr>
      <w:r>
        <w:rPr>
          <w:rFonts w:ascii="Calibri" w:hAnsi="Calibri"/>
          <w:b/>
          <w:color w:val="1C3148"/>
          <w:sz w:val="21"/>
        </w:rPr>
        <w:t>Recipients</w:t>
      </w:r>
    </w:p>
    <w:p>
      <w:pPr>
        <w:pStyle w:val="ListBullet"/>
        <w:spacing w:after="40"/>
        <w:ind w:left="283"/>
      </w:pPr>
      <w:r>
        <w:rPr>
          <w:rFonts w:ascii="Calibri" w:hAnsi="Calibri"/>
          <w:b w:val="0"/>
          <w:color w:val="1A1A1A"/>
          <w:sz w:val="21"/>
        </w:rPr>
        <w:t>To: building inspector.</w:t>
      </w:r>
    </w:p>
    <w:p>
      <w:pPr>
        <w:pStyle w:val="ListBullet"/>
        <w:spacing w:after="40"/>
        <w:ind w:left="283"/>
      </w:pPr>
      <w:r>
        <w:rPr>
          <w:rFonts w:ascii="Calibri" w:hAnsi="Calibri"/>
          <w:b w:val="0"/>
          <w:color w:val="1A1A1A"/>
          <w:sz w:val="21"/>
        </w:rPr>
        <w:t>CC: all buyers, buyers' agent (David or Ben). Optionally CC the selling agent.</w:t>
      </w:r>
    </w:p>
    <w:p/>
    <w:tbl>
      <w:tblPr>
        <w:tblW w:type="auto" w:w="0"/>
        <w:tblLook w:firstColumn="1" w:firstRow="1" w:lastColumn="0" w:lastRow="0" w:noHBand="0" w:noVBand="1" w:val="04A0"/>
      </w:tblPr>
      <w:tblGrid>
        <w:gridCol w:w="9406"/>
      </w:tblGrid>
      <w:tr>
        <w:tc>
          <w:tcPr>
            <w:tcW w:type="dxa" w:w="9406"/>
            <w:shd w:val="clear" w:color="auto" w:fill="FFF8EC"/>
          </w:tcPr>
          <w:p>
            <w:pPr>
              <w:spacing w:before="120" w:after="120"/>
            </w:pPr>
            <w:r>
              <w:rPr>
                <w:rFonts w:ascii="Calibri" w:hAnsi="Calibri"/>
                <w:b/>
                <w:color w:val="5A4520"/>
                <w:sz w:val="20"/>
              </w:rPr>
              <w:t xml:space="preserve">TIP: </w:t>
            </w:r>
            <w:r>
              <w:rPr>
                <w:rFonts w:ascii="Calibri" w:hAnsi="Calibri"/>
                <w:b w:val="0"/>
                <w:color w:val="5A4520"/>
                <w:sz w:val="20"/>
              </w:rPr>
              <w:t>Send this on the same day as the congratulations email. The building inspection clause is typically only 7 days — there is no time to delay.</w:t>
            </w:r>
          </w:p>
        </w:tc>
      </w:tr>
    </w:tbl>
    <w:p/>
    <w:p>
      <w:pPr>
        <w:spacing w:before="360" w:after="120"/>
      </w:pPr>
      <w:r>
        <w:rPr>
          <w:rFonts w:ascii="Calibri" w:hAnsi="Calibri"/>
          <w:b/>
          <w:color w:val="304C61"/>
          <w:sz w:val="24"/>
        </w:rPr>
        <w:t>Step 6 — Update PropVault</w:t>
      </w:r>
    </w:p>
    <w:p>
      <w:pPr>
        <w:pStyle w:val="ListBullet"/>
        <w:spacing w:after="40"/>
        <w:ind w:left="283"/>
      </w:pPr>
      <w:r>
        <w:rPr>
          <w:rFonts w:ascii="Calibri" w:hAnsi="Calibri"/>
          <w:b w:val="0"/>
          <w:color w:val="1A1A1A"/>
          <w:sz w:val="21"/>
        </w:rPr>
        <w:t>Enter the property and contract details into PropVault.</w:t>
      </w:r>
    </w:p>
    <w:p>
      <w:pPr>
        <w:pStyle w:val="ListBullet"/>
        <w:spacing w:after="40"/>
        <w:ind w:left="283"/>
      </w:pPr>
      <w:r>
        <w:rPr>
          <w:rFonts w:ascii="Calibri" w:hAnsi="Calibri"/>
          <w:b w:val="0"/>
          <w:color w:val="1A1A1A"/>
          <w:sz w:val="21"/>
        </w:rPr>
        <w:t>Log the key dates: contract date, unconditional date, settlement date, deposit due date, building inspection deadline.</w:t>
      </w:r>
    </w:p>
    <w:p>
      <w:pPr>
        <w:pStyle w:val="ListBullet"/>
        <w:spacing w:after="40"/>
        <w:ind w:left="283"/>
      </w:pPr>
      <w:r>
        <w:rPr>
          <w:rFonts w:ascii="Calibri" w:hAnsi="Calibri"/>
          <w:b w:val="0"/>
          <w:color w:val="1A1A1A"/>
          <w:sz w:val="21"/>
        </w:rPr>
        <w:t>Set up tracking for: finance approval (due by unconditional date), building inspection report (due within building clause period), and deposit confirmation.</w:t>
      </w:r>
    </w:p>
    <w:p>
      <w:pPr>
        <w:spacing w:before="360" w:after="120"/>
      </w:pPr>
      <w:r>
        <w:rPr>
          <w:rFonts w:ascii="Calibri" w:hAnsi="Calibri"/>
          <w:b/>
          <w:color w:val="304C61"/>
          <w:sz w:val="24"/>
        </w:rPr>
        <w:t>Step 7 — Confirm Deposit Received</w:t>
      </w:r>
    </w:p>
    <w:p>
      <w:pPr>
        <w:pStyle w:val="ListBullet"/>
        <w:spacing w:after="40"/>
        <w:ind w:left="283"/>
      </w:pPr>
      <w:r>
        <w:rPr>
          <w:rFonts w:ascii="Calibri" w:hAnsi="Calibri"/>
          <w:b w:val="0"/>
          <w:color w:val="1A1A1A"/>
          <w:sz w:val="21"/>
        </w:rPr>
        <w:t>Once the selling agent sends the deposit receipt, reply to their email: "Thanks [agent name]. Please see the receipt attached." Attach the receipt.</w:t>
      </w:r>
    </w:p>
    <w:p>
      <w:pPr>
        <w:pStyle w:val="ListBullet"/>
        <w:spacing w:after="40"/>
        <w:ind w:left="283"/>
      </w:pPr>
      <w:r>
        <w:rPr>
          <w:rFonts w:ascii="Calibri" w:hAnsi="Calibri"/>
          <w:b w:val="0"/>
          <w:color w:val="1A1A1A"/>
          <w:sz w:val="21"/>
        </w:rPr>
        <w:t>Update PropVault to mark the deposit as confirmed.</w:t>
      </w:r>
    </w:p>
    <w:p>
      <w:pPr>
        <w:pStyle w:val="ListBullet"/>
        <w:spacing w:after="40"/>
        <w:ind w:left="283"/>
      </w:pPr>
      <w:r>
        <w:rPr>
          <w:rFonts w:ascii="Calibri" w:hAnsi="Calibri"/>
          <w:b w:val="0"/>
          <w:color w:val="1A1A1A"/>
          <w:sz w:val="21"/>
        </w:rPr>
        <w:t>If the selling agent has not provided trust account details, contact them by email or text before the deposit due date.</w:t>
      </w:r>
    </w:p>
    <w:p>
      <w:pPr>
        <w:spacing w:before="360" w:after="120"/>
      </w:pPr>
      <w:r>
        <w:rPr>
          <w:rFonts w:ascii="Calibri" w:hAnsi="Calibri"/>
          <w:b/>
          <w:color w:val="304C61"/>
          <w:sz w:val="24"/>
        </w:rPr>
        <w:t>Step 8 — Track Conditions Through to Unconditional</w:t>
      </w:r>
    </w:p>
    <w:p>
      <w:pPr>
        <w:pStyle w:val="ListBullet"/>
        <w:spacing w:after="40"/>
        <w:ind w:left="283"/>
      </w:pPr>
      <w:r>
        <w:rPr>
          <w:rFonts w:ascii="Calibri" w:hAnsi="Calibri"/>
          <w:b w:val="0"/>
          <w:color w:val="1A1A1A"/>
          <w:sz w:val="21"/>
        </w:rPr>
        <w:t>Monitor finance approval — follow up with client or broker if not received before the deadline.</w:t>
      </w:r>
    </w:p>
    <w:p>
      <w:pPr>
        <w:pStyle w:val="ListBullet"/>
        <w:spacing w:after="40"/>
        <w:ind w:left="283"/>
      </w:pPr>
      <w:r>
        <w:rPr>
          <w:rFonts w:ascii="Calibri" w:hAnsi="Calibri"/>
          <w:b w:val="0"/>
          <w:color w:val="1A1A1A"/>
          <w:sz w:val="21"/>
        </w:rPr>
        <w:t>Monitor building inspection report — follow up with inspector if not received before the clause deadline.</w:t>
      </w:r>
    </w:p>
    <w:p>
      <w:pPr>
        <w:pStyle w:val="ListBullet"/>
        <w:spacing w:after="40"/>
        <w:ind w:left="283"/>
      </w:pPr>
      <w:r>
        <w:rPr>
          <w:rFonts w:ascii="Calibri" w:hAnsi="Calibri"/>
          <w:b w:val="0"/>
          <w:color w:val="1A1A1A"/>
          <w:sz w:val="21"/>
        </w:rPr>
        <w:t>Keep the client updated as key milestones are reached.</w:t>
      </w:r>
    </w:p>
    <w:p>
      <w:pPr>
        <w:pStyle w:val="ListBullet"/>
        <w:spacing w:after="40"/>
        <w:ind w:left="283"/>
      </w:pPr>
      <w:r>
        <w:rPr>
          <w:rFonts w:ascii="Calibri" w:hAnsi="Calibri"/>
          <w:b w:val="0"/>
          <w:color w:val="1A1A1A"/>
          <w:sz w:val="21"/>
        </w:rPr>
        <w:t>Your solicitor and buyers' agent will guide the client from contract signing through to settlement.</w:t>
      </w:r>
    </w:p>
    <w:p>
      <w:pPr>
        <w:spacing w:before="360" w:after="120"/>
        <w:pBdr>
          <w:bottom w:val="single" w:sz="6" w:space="4" w:color="304C61"/>
        </w:pBdr>
      </w:pPr>
      <w:r>
        <w:rPr>
          <w:rFonts w:ascii="Calibri" w:hAnsi="Calibri"/>
          <w:b/>
          <w:color w:val="1C3148"/>
          <w:sz w:val="28"/>
        </w:rPr>
        <w:t>Quick Reference Checklist</w:t>
      </w:r>
    </w:p>
    <w:p>
      <w:pPr>
        <w:spacing w:after="80"/>
      </w:pPr>
      <w:r>
        <w:rPr>
          <w:rFonts w:ascii="Calibri" w:hAnsi="Calibri"/>
          <w:b w:val="0"/>
          <w:color w:val="1A1A1A"/>
          <w:sz w:val="21"/>
        </w:rPr>
        <w:t>Use this as a same-day checklist after every contract is signed.</w:t>
      </w:r>
    </w:p>
    <w:p/>
    <w:tbl>
      <w:tblPr>
        <w:tblStyle w:val="TableGrid"/>
        <w:tblW w:type="auto" w:w="0"/>
        <w:tblLook w:firstColumn="1" w:firstRow="1" w:lastColumn="0" w:lastRow="0" w:noHBand="0" w:noVBand="1" w:val="04A0"/>
      </w:tblPr>
      <w:tblGrid>
        <w:gridCol w:w="4703"/>
        <w:gridCol w:w="4703"/>
      </w:tblGrid>
      <w:tr>
        <w:tc>
          <w:tcPr>
            <w:tcW w:type="dxa" w:w="567"/>
            <w:shd w:val="clear" w:color="auto" w:fill="FFFFFF"/>
          </w:tcPr>
          <w:p>
            <w:r>
              <w:rPr>
                <w:rFonts w:ascii="Calibri" w:hAnsi="Calibri"/>
                <w:b w:val="0"/>
                <w:color w:val="304C61"/>
                <w:sz w:val="21"/>
              </w:rPr>
              <w:t>[ ]</w:t>
            </w:r>
          </w:p>
        </w:tc>
        <w:tc>
          <w:tcPr>
            <w:tcW w:type="dxa" w:w="4703"/>
            <w:shd w:val="clear" w:color="auto" w:fill="FFFFFF"/>
          </w:tcPr>
          <w:p>
            <w:r>
              <w:rPr>
                <w:rFonts w:ascii="Calibri" w:hAnsi="Calibri"/>
                <w:b w:val="0"/>
                <w:color w:val="1A1A1A"/>
                <w:sz w:val="21"/>
              </w:rPr>
              <w:t>Get a copy of the signed contract</w:t>
            </w:r>
          </w:p>
        </w:tc>
      </w:tr>
      <w:tr>
        <w:tc>
          <w:tcPr>
            <w:tcW w:type="dxa" w:w="567"/>
            <w:shd w:val="clear" w:color="auto" w:fill="F9F9F9"/>
          </w:tcPr>
          <w:p>
            <w:r>
              <w:rPr>
                <w:rFonts w:ascii="Calibri" w:hAnsi="Calibri"/>
                <w:b w:val="0"/>
                <w:color w:val="304C61"/>
                <w:sz w:val="21"/>
              </w:rPr>
              <w:t>[ ]</w:t>
            </w:r>
          </w:p>
        </w:tc>
        <w:tc>
          <w:tcPr>
            <w:tcW w:type="dxa" w:w="4703"/>
            <w:shd w:val="clear" w:color="auto" w:fill="F9F9F9"/>
          </w:tcPr>
          <w:p>
            <w:r>
              <w:rPr>
                <w:rFonts w:ascii="Calibri" w:hAnsi="Calibri"/>
                <w:b w:val="0"/>
                <w:color w:val="1A1A1A"/>
                <w:sz w:val="21"/>
              </w:rPr>
              <w:t>Calculate unconditional date, settlement date, and deposit due date</w:t>
            </w:r>
          </w:p>
        </w:tc>
      </w:tr>
      <w:tr>
        <w:tc>
          <w:tcPr>
            <w:tcW w:type="dxa" w:w="567"/>
            <w:shd w:val="clear" w:color="auto" w:fill="FFFFFF"/>
          </w:tcPr>
          <w:p>
            <w:r>
              <w:rPr>
                <w:rFonts w:ascii="Calibri" w:hAnsi="Calibri"/>
                <w:b w:val="0"/>
                <w:color w:val="304C61"/>
                <w:sz w:val="21"/>
              </w:rPr>
              <w:t>[ ]</w:t>
            </w:r>
          </w:p>
        </w:tc>
        <w:tc>
          <w:tcPr>
            <w:tcW w:type="dxa" w:w="4703"/>
            <w:shd w:val="clear" w:color="auto" w:fill="FFFFFF"/>
          </w:tcPr>
          <w:p>
            <w:r>
              <w:rPr>
                <w:rFonts w:ascii="Calibri" w:hAnsi="Calibri"/>
                <w:b w:val="0"/>
                <w:color w:val="1A1A1A"/>
                <w:sz w:val="21"/>
              </w:rPr>
              <w:t>Send congratulations email (CC solicitor, all buyers, buyers' agent)</w:t>
            </w:r>
          </w:p>
        </w:tc>
      </w:tr>
      <w:tr>
        <w:tc>
          <w:tcPr>
            <w:tcW w:type="dxa" w:w="567"/>
            <w:shd w:val="clear" w:color="auto" w:fill="F9F9F9"/>
          </w:tcPr>
          <w:p>
            <w:r>
              <w:rPr>
                <w:rFonts w:ascii="Calibri" w:hAnsi="Calibri"/>
                <w:b w:val="0"/>
                <w:color w:val="304C61"/>
                <w:sz w:val="21"/>
              </w:rPr>
              <w:t>[ ]</w:t>
            </w:r>
          </w:p>
        </w:tc>
        <w:tc>
          <w:tcPr>
            <w:tcW w:type="dxa" w:w="4703"/>
            <w:shd w:val="clear" w:color="auto" w:fill="F9F9F9"/>
          </w:tcPr>
          <w:p>
            <w:r>
              <w:rPr>
                <w:rFonts w:ascii="Calibri" w:hAnsi="Calibri"/>
                <w:b w:val="0"/>
                <w:color w:val="1A1A1A"/>
                <w:sz w:val="21"/>
              </w:rPr>
              <w:t>Include deposit trust account details and due date in email</w:t>
            </w:r>
          </w:p>
        </w:tc>
      </w:tr>
      <w:tr>
        <w:tc>
          <w:tcPr>
            <w:tcW w:type="dxa" w:w="567"/>
            <w:shd w:val="clear" w:color="auto" w:fill="FFFFFF"/>
          </w:tcPr>
          <w:p>
            <w:r>
              <w:rPr>
                <w:rFonts w:ascii="Calibri" w:hAnsi="Calibri"/>
                <w:b w:val="0"/>
                <w:color w:val="304C61"/>
                <w:sz w:val="21"/>
              </w:rPr>
              <w:t>[ ]</w:t>
            </w:r>
          </w:p>
        </w:tc>
        <w:tc>
          <w:tcPr>
            <w:tcW w:type="dxa" w:w="4703"/>
            <w:shd w:val="clear" w:color="auto" w:fill="FFFFFF"/>
          </w:tcPr>
          <w:p>
            <w:r>
              <w:rPr>
                <w:rFonts w:ascii="Calibri" w:hAnsi="Calibri"/>
                <w:b w:val="0"/>
                <w:color w:val="1A1A1A"/>
                <w:sz w:val="21"/>
              </w:rPr>
              <w:t>Attach fully executed contract to email</w:t>
            </w:r>
          </w:p>
        </w:tc>
      </w:tr>
      <w:tr>
        <w:tc>
          <w:tcPr>
            <w:tcW w:type="dxa" w:w="567"/>
            <w:shd w:val="clear" w:color="auto" w:fill="F9F9F9"/>
          </w:tcPr>
          <w:p>
            <w:r>
              <w:rPr>
                <w:rFonts w:ascii="Calibri" w:hAnsi="Calibri"/>
                <w:b w:val="0"/>
                <w:color w:val="304C61"/>
                <w:sz w:val="21"/>
              </w:rPr>
              <w:t>[ ]</w:t>
            </w:r>
          </w:p>
        </w:tc>
        <w:tc>
          <w:tcPr>
            <w:tcW w:type="dxa" w:w="4703"/>
            <w:shd w:val="clear" w:color="auto" w:fill="F9F9F9"/>
          </w:tcPr>
          <w:p>
            <w:r>
              <w:rPr>
                <w:rFonts w:ascii="Calibri" w:hAnsi="Calibri"/>
                <w:b w:val="0"/>
                <w:color w:val="1A1A1A"/>
                <w:sz w:val="21"/>
              </w:rPr>
              <w:t>Send WhatsApp message to client</w:t>
            </w:r>
          </w:p>
        </w:tc>
      </w:tr>
      <w:tr>
        <w:tc>
          <w:tcPr>
            <w:tcW w:type="dxa" w:w="567"/>
            <w:shd w:val="clear" w:color="auto" w:fill="FFFFFF"/>
          </w:tcPr>
          <w:p>
            <w:r>
              <w:rPr>
                <w:rFonts w:ascii="Calibri" w:hAnsi="Calibri"/>
                <w:b w:val="0"/>
                <w:color w:val="304C61"/>
                <w:sz w:val="21"/>
              </w:rPr>
              <w:t>[ ]</w:t>
            </w:r>
          </w:p>
        </w:tc>
        <w:tc>
          <w:tcPr>
            <w:tcW w:type="dxa" w:w="4703"/>
            <w:shd w:val="clear" w:color="auto" w:fill="FFFFFF"/>
          </w:tcPr>
          <w:p>
            <w:r>
              <w:rPr>
                <w:rFonts w:ascii="Calibri" w:hAnsi="Calibri"/>
                <w:b w:val="0"/>
                <w:color w:val="1A1A1A"/>
                <w:sz w:val="21"/>
              </w:rPr>
              <w:t>Send building inspection request email (same day)</w:t>
            </w:r>
          </w:p>
        </w:tc>
      </w:tr>
      <w:tr>
        <w:tc>
          <w:tcPr>
            <w:tcW w:type="dxa" w:w="567"/>
            <w:shd w:val="clear" w:color="auto" w:fill="F9F9F9"/>
          </w:tcPr>
          <w:p>
            <w:r>
              <w:rPr>
                <w:rFonts w:ascii="Calibri" w:hAnsi="Calibri"/>
                <w:b w:val="0"/>
                <w:color w:val="304C61"/>
                <w:sz w:val="21"/>
              </w:rPr>
              <w:t>[ ]</w:t>
            </w:r>
          </w:p>
        </w:tc>
        <w:tc>
          <w:tcPr>
            <w:tcW w:type="dxa" w:w="4703"/>
            <w:shd w:val="clear" w:color="auto" w:fill="F9F9F9"/>
          </w:tcPr>
          <w:p>
            <w:r>
              <w:rPr>
                <w:rFonts w:ascii="Calibri" w:hAnsi="Calibri"/>
                <w:b w:val="0"/>
                <w:color w:val="1A1A1A"/>
                <w:sz w:val="21"/>
              </w:rPr>
              <w:t>Enter details in PropVault and set condition tracking</w:t>
            </w:r>
          </w:p>
        </w:tc>
      </w:tr>
      <w:tr>
        <w:tc>
          <w:tcPr>
            <w:tcW w:type="dxa" w:w="567"/>
            <w:shd w:val="clear" w:color="auto" w:fill="FFFFFF"/>
          </w:tcPr>
          <w:p>
            <w:r>
              <w:rPr>
                <w:rFonts w:ascii="Calibri" w:hAnsi="Calibri"/>
                <w:b w:val="0"/>
                <w:color w:val="304C61"/>
                <w:sz w:val="21"/>
              </w:rPr>
              <w:t>[ ]</w:t>
            </w:r>
          </w:p>
        </w:tc>
        <w:tc>
          <w:tcPr>
            <w:tcW w:type="dxa" w:w="4703"/>
            <w:shd w:val="clear" w:color="auto" w:fill="FFFFFF"/>
          </w:tcPr>
          <w:p>
            <w:r>
              <w:rPr>
                <w:rFonts w:ascii="Calibri" w:hAnsi="Calibri"/>
                <w:b w:val="0"/>
                <w:color w:val="1A1A1A"/>
                <w:sz w:val="21"/>
              </w:rPr>
              <w:t>Confirm deposit received - send receipt to selling agent</w:t>
            </w:r>
          </w:p>
        </w:tc>
      </w:tr>
      <w:tr>
        <w:tc>
          <w:tcPr>
            <w:tcW w:type="dxa" w:w="567"/>
            <w:shd w:val="clear" w:color="auto" w:fill="F9F9F9"/>
          </w:tcPr>
          <w:p>
            <w:r>
              <w:rPr>
                <w:rFonts w:ascii="Calibri" w:hAnsi="Calibri"/>
                <w:b w:val="0"/>
                <w:color w:val="304C61"/>
                <w:sz w:val="21"/>
              </w:rPr>
              <w:t>[ ]</w:t>
            </w:r>
          </w:p>
        </w:tc>
        <w:tc>
          <w:tcPr>
            <w:tcW w:type="dxa" w:w="4703"/>
            <w:shd w:val="clear" w:color="auto" w:fill="F9F9F9"/>
          </w:tcPr>
          <w:p>
            <w:r>
              <w:rPr>
                <w:rFonts w:ascii="Calibri" w:hAnsi="Calibri"/>
                <w:b w:val="0"/>
                <w:color w:val="1A1A1A"/>
                <w:sz w:val="21"/>
              </w:rPr>
              <w:t>Track finance approval and building report to unconditional date</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