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Ironhack Capstone Recommendation: MIRA Shoot Compass</w:t>
      </w:r>
    </w:p>
    <w:p>
      <w:pPr>
        <w:pStyle w:val="MdParagraph"/>
      </w:pPr>
      <w:r>
        <w:rPr>
          <w:rStyle w:val="MdStrong"/>
          <w:b/>
          <w:bCs/>
        </w:rPr>
        <w:t xml:space="preserve">Author:</w:t>
      </w:r>
      <w:r>
        <w:t xml:space="preserve"> Manus AI</w:t>
      </w:r>
      <w:r>
        <w:rPr>
          <w:rStyle w:val="MdBr"/>
        </w:rPr>
        <w:br/>
        <w:t xml:space="preserve"/>
      </w:r>
      <w:r>
        <w:rPr>
          <w:rStyle w:val="MdStrong"/>
          <w:b/>
          <w:bCs/>
        </w:rPr>
        <w:t xml:space="preserve">Date:</w:t>
      </w:r>
      <w:r>
        <w:t xml:space="preserve"> 28 August 2026</w:t>
      </w:r>
    </w:p>
    <w:p>
      <w:pPr>
        <w:pStyle w:val="MdSpace"/>
        <w:spacing w:before="0" w:after="60"/>
      </w:pPr>
    </w:p>
    <w:p>
      <w:pPr>
        <w:pStyle w:val="MdBlockquote"/>
      </w:pPr>
      <w:r>
        <w:rPr>
          <w:rStyle w:val="MdStrong"/>
          <w:b/>
          <w:bCs/>
        </w:rPr>
        <w:t xml:space="preserve">Scope note:</w:t>
      </w:r>
      <w:r>
        <w:t xml:space="preserve"> I am not a lawyer. The privacy section is product-design guidance, not formal legal advice; obtain qualified review before a commercial launch.</w:t>
      </w:r>
    </w:p>
    <w:p>
      <w:pPr>
        <w:pStyle w:val="MdSpace"/>
        <w:spacing w:before="0" w:after="60"/>
      </w:pPr>
    </w:p>
    <w:p>
      <w:pPr>
        <w:pStyle w:val="Heading2"/>
        <w:pStyle w:val="MdHeading2"/>
      </w:pPr>
      <w:r>
        <w:t xml:space="preserve">Executive decision</w:t>
      </w:r>
    </w:p>
    <w:p>
      <w:pPr>
        <w:pStyle w:val="MdParagraph"/>
      </w:pPr>
      <w:r>
        <w:rPr>
          <w:rStyle w:val="MdStrong"/>
          <w:b/>
          <w:bCs/>
        </w:rPr>
        <w:t xml:space="preserve">Yes—continue with the sector, but do not build a complete remote-camera platform for the capstone.</w:t>
      </w:r>
      <w:r>
        <w:t xml:space="preserve"> The strongest project is </w:t>
      </w:r>
      <w:r>
        <w:rPr>
          <w:rStyle w:val="MdStrong"/>
          <w:b/>
          <w:bCs/>
        </w:rPr>
        <w:t xml:space="preserve">MIRA Shoot Compass</w:t>
      </w:r>
      <w:r>
        <w:t xml:space="preserve">, a contained AI service that turns a MIRA brand diagnosis and practical shoot inputs into a photographer-approved </w:t>
      </w:r>
      <w:r>
        <w:rPr>
          <w:rStyle w:val="MdStrong"/>
          <w:b/>
          <w:bCs/>
        </w:rPr>
        <w:t xml:space="preserve">Remote Shoot Blueprint</w:t>
      </w:r>
      <w:r>
        <w:t xml:space="preserve">. The actual photography remains real: a human photographer directs the client and captures photographs through the client’s </w:t>
      </w:r>
      <w:r>
        <w:rPr>
          <w:rStyle w:val="MdStrong"/>
          <w:b/>
          <w:bCs/>
        </w:rPr>
        <w:t xml:space="preserve">back camera</w:t>
      </w:r>
      <w:r>
        <w:t xml:space="preserve"> from another location using CLOS or SHUTTER.</w:t>
      </w:r>
    </w:p>
    <w:p>
      <w:pPr>
        <w:pStyle w:val="MdSpace"/>
        <w:spacing w:before="0" w:after="60"/>
      </w:pPr>
    </w:p>
    <w:p>
      <w:pPr>
        <w:pStyle w:val="MdParagraph"/>
      </w:pPr>
      <w:r>
        <w:t xml:space="preserve">This is the clearest route because it extends an existing product, visibly demonstrates AI transformation, preserves the photographer’s judgment, produces an assessable artifact, and avoids duplicating mature camera infrastructure. CLOS already advertises remote control of iPhone and Android cameras, actual sensor capture, RAW/JPG files, manual controls, and cloud delivery; SHUTTER similarly provides a client app, photographer portal, two-way communication, remote settings, and high-resolution JPEG/RAW capture.</w:t>
      </w:r>
      <w:hyperlink w:history="1" r:id="rId9i9lzicjzjl7iafhkkdt6">
        <w:r>
          <w:rPr>
            <w:rStyle w:val="MdLink"/>
          </w:rPr>
          <w:t xml:space="preserve">3</w:t>
        </w:r>
      </w:hyperlink>
      <w:r>
        <w:t xml:space="preserve"> </w:t>
      </w:r>
      <w:hyperlink w:history="1" r:id="rIdzziz1uv_i4nwi_thar-8w">
        <w:r>
          <w:rPr>
            <w:rStyle w:val="MdLink"/>
          </w:rPr>
          <w:t xml:space="preserve">5</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Decision</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Capstone product</w:t>
            </w:r>
          </w:p>
        </w:tc>
        <w:tc>
          <w:tcPr>
            <w:tcBorders>
              <w:right w:val="none"/>
            </w:tcBorders>
            <w:tcMar>
              <w:top w:type="dxa" w:w="80"/>
              <w:left w:type="dxa" w:w="120"/>
              <w:bottom w:type="dxa" w:w="80"/>
              <w:right w:type="dxa" w:w="120"/>
            </w:tcMar>
            <w:vAlign w:val="center"/>
          </w:tcPr>
          <w:p>
            <w:pPr>
              <w:pStyle w:val="MdTableCell"/>
            </w:pPr>
            <w:r>
              <w:t xml:space="preserve">MIRA Shoot Compass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Single problem</w:t>
            </w:r>
          </w:p>
        </w:tc>
        <w:tc>
          <w:tcPr>
            <w:tcBorders>
              <w:right w:val="none"/>
            </w:tcBorders>
            <w:tcMar>
              <w:top w:type="dxa" w:w="80"/>
              <w:left w:type="dxa" w:w="120"/>
              <w:bottom w:type="dxa" w:w="80"/>
              <w:right w:type="dxa" w:w="120"/>
            </w:tcMar>
            <w:vAlign w:val="center"/>
          </w:tcPr>
          <w:p>
            <w:pPr>
              <w:pStyle w:val="MdTableCell"/>
            </w:pPr>
            <w:r>
              <w:t xml:space="preserve">Remote-shoot preparation is slow, inconsistent, and difficult to translate from brand language into an executable visual plan.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AI use case</w:t>
            </w:r>
          </w:p>
        </w:tc>
        <w:tc>
          <w:tcPr>
            <w:tcBorders>
              <w:right w:val="none"/>
            </w:tcBorders>
            <w:tcMar>
              <w:top w:type="dxa" w:w="80"/>
              <w:left w:type="dxa" w:w="120"/>
              <w:bottom w:type="dxa" w:w="80"/>
              <w:right w:type="dxa" w:w="120"/>
            </w:tcMar>
            <w:vAlign w:val="center"/>
          </w:tcPr>
          <w:p>
            <w:pPr>
              <w:pStyle w:val="MdTableCell"/>
            </w:pPr>
            <w:r>
              <w:t xml:space="preserve">Convert client context into a structured shoot strategy, then let the photographer review and approve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Camera layer</w:t>
            </w:r>
          </w:p>
        </w:tc>
        <w:tc>
          <w:tcPr>
            <w:tcBorders>
              <w:right w:val="none"/>
            </w:tcBorders>
            <w:tcMar>
              <w:top w:type="dxa" w:w="80"/>
              <w:left w:type="dxa" w:w="120"/>
              <w:bottom w:type="dxa" w:w="80"/>
              <w:right w:type="dxa" w:w="120"/>
            </w:tcMar>
            <w:vAlign w:val="center"/>
          </w:tcPr>
          <w:p>
            <w:pPr>
              <w:pStyle w:val="MdTableCell"/>
            </w:pPr>
            <w:r>
              <w:t xml:space="preserve">Use CLOS or SHUTTER through a manual/link-based handoff.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Own camera app</w:t>
            </w:r>
          </w:p>
        </w:tc>
        <w:tc>
          <w:tcPr>
            <w:tcBorders>
              <w:right w:val="none"/>
            </w:tcBorders>
            <w:tcMar>
              <w:top w:type="dxa" w:w="80"/>
              <w:left w:type="dxa" w:w="120"/>
              <w:bottom w:type="dxa" w:w="80"/>
              <w:right w:type="dxa" w:w="120"/>
            </w:tcMar>
            <w:vAlign w:val="center"/>
          </w:tcPr>
          <w:p>
            <w:pPr>
              <w:pStyle w:val="MdTableCell"/>
            </w:pPr>
            <w:r>
              <w:t xml:space="preserve">Keep as a later browser proof of concept, not the assessed MVP.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POC audience</w:t>
            </w:r>
          </w:p>
        </w:tc>
        <w:tc>
          <w:tcPr>
            <w:tcBorders>
              <w:right w:val="none"/>
            </w:tcBorders>
            <w:tcMar>
              <w:top w:type="dxa" w:w="80"/>
              <w:left w:type="dxa" w:w="120"/>
              <w:bottom w:type="dxa" w:w="80"/>
              <w:right w:type="dxa" w:w="120"/>
            </w:tcMar>
            <w:vAlign w:val="center"/>
          </w:tcPr>
          <w:p>
            <w:pPr>
              <w:pStyle w:val="MdTableCell"/>
            </w:pPr>
            <w:r>
              <w:t xml:space="preserve">Existing or reachable personal-brand clients with recurring visual-content needs; test across more than one professional segment rather than assuming women founders are the final market.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POC success test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At least 50% less preparation time, usefulness of at least 4/5, and no more than one revision before photographer approval.</w:t>
            </w:r>
          </w:p>
        </w:tc>
      </w:tr>
    </w:tbl>
    <w:p>
      <w:pPr>
        <w:pStyle w:val="Heading2"/>
        <w:pStyle w:val="MdHeading2"/>
      </w:pPr>
      <w:r>
        <w:t xml:space="preserve">What the product actually does</w:t>
      </w:r>
    </w:p>
    <w:p>
      <w:pPr>
        <w:pStyle w:val="MdParagraph"/>
      </w:pPr>
      <w:r>
        <w:t xml:space="preserve">The current MIRA experience is a short brand-recalibration service that identifies what is out of alignment and gives the client a clearer direction.</w:t>
      </w:r>
      <w:hyperlink w:history="1" r:id="rIdx3ecz9x7l0eatvmjg9wc5">
        <w:r>
          <w:rPr>
            <w:rStyle w:val="MdLink"/>
          </w:rPr>
          <w:t xml:space="preserve">1</w:t>
        </w:r>
      </w:hyperlink>
      <w:r>
        <w:t xml:space="preserve"> The current photography offer already places that reflection before a real remote editorial shoot, but the handoff from </w:t>
      </w:r>
      <w:r>
        <w:rPr>
          <w:rStyle w:val="MdStrong"/>
          <w:b/>
          <w:bCs/>
        </w:rPr>
        <w:t xml:space="preserve">brand clarity</w:t>
      </w:r>
      <w:r>
        <w:t xml:space="preserve"> to </w:t>
      </w:r>
      <w:r>
        <w:rPr>
          <w:rStyle w:val="MdStrong"/>
          <w:b/>
          <w:bCs/>
        </w:rPr>
        <w:t xml:space="preserve">camera-ready creative direction</w:t>
      </w:r>
      <w:r>
        <w:t xml:space="preserve"> is still mostly manual.</w:t>
      </w:r>
      <w:hyperlink w:history="1" r:id="rIdj1hqnm8lwoofmqouzgrid">
        <w:r>
          <w:rPr>
            <w:rStyle w:val="MdLink"/>
          </w:rPr>
          <w:t xml:space="preserve">2</w:t>
        </w:r>
      </w:hyperlink>
    </w:p>
    <w:p>
      <w:pPr>
        <w:pStyle w:val="MdSpace"/>
        <w:spacing w:before="0" w:after="60"/>
      </w:pPr>
    </w:p>
    <w:p>
      <w:pPr>
        <w:pStyle w:val="MdParagraph"/>
      </w:pPr>
      <w:r>
        <w:t xml:space="preserve">MIRA Shoot Compass fills that exact gap. It does not generate synthetic portraits and it does not replace the photographer. It transforms inputs into a structured first draft that the photographer can correct.</w:t>
      </w:r>
    </w:p>
    <w:p>
      <w:pPr>
        <w:pStyle w:val="MdSpace"/>
        <w:spacing w:before="0" w:after="60"/>
      </w:pPr>
    </w:p>
    <w:p>
      <w:pPr>
        <w:pStyle w:val="MdParagraph"/>
      </w:pPr>
      <w:r>
        <w:drawing>
          <wp:inline distT="0" distB="0" distL="0" distR="0">
            <wp:extent cx="5715000" cy="771525"/>
            <wp:effectExtent t="0" r="0" b="0" l="0"/>
            <wp:docPr id="1" name="Recommended MIRA-to-remote-shoot workflow" descr="Recommended MIRA-to-remote-shoot workflow" title="Recommended MIRA-to-remote-shoo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771525"/>
                    </a:xfrm>
                    <a:prstGeom prst="rect">
                      <a:avLst/>
                    </a:prstGeom>
                  </pic:spPr>
                </pic:pic>
              </a:graphicData>
            </a:graphic>
          </wp:inline>
        </w:drawing>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Stage</w:t>
            </w:r>
          </w:p>
        </w:tc>
        <w:tc>
          <w:tcPr>
            <w:tcMar>
              <w:top w:type="dxa" w:w="100"/>
              <w:left w:type="dxa" w:w="120"/>
              <w:bottom w:type="dxa" w:w="100"/>
              <w:right w:type="dxa" w:w="120"/>
            </w:tcMar>
            <w:vAlign w:val="center"/>
          </w:tcPr>
          <w:p>
            <w:pPr>
              <w:pStyle w:val="MdTableHeader"/>
            </w:pPr>
            <w:r>
              <w:t xml:space="preserve">System responsibility</w:t>
            </w:r>
          </w:p>
        </w:tc>
        <w:tc>
          <w:tcPr>
            <w:tcBorders>
              <w:right w:val="none"/>
            </w:tcBorders>
            <w:tcMar>
              <w:top w:type="dxa" w:w="100"/>
              <w:left w:type="dxa" w:w="120"/>
              <w:bottom w:type="dxa" w:w="100"/>
              <w:right w:type="dxa" w:w="120"/>
            </w:tcMar>
            <w:vAlign w:val="center"/>
          </w:tcPr>
          <w:p>
            <w:pPr>
              <w:pStyle w:val="MdTableHeader"/>
            </w:pPr>
            <w:r>
              <w:t xml:space="preserve">AI, deterministic, or human?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Context</w:t>
            </w:r>
          </w:p>
        </w:tc>
        <w:tc>
          <w:tcPr>
            <w:tcMar>
              <w:top w:type="dxa" w:w="80"/>
              <w:left w:type="dxa" w:w="120"/>
              <w:bottom w:type="dxa" w:w="80"/>
              <w:right w:type="dxa" w:w="120"/>
            </w:tcMar>
            <w:vAlign w:val="center"/>
          </w:tcPr>
          <w:p>
            <w:pPr>
              <w:pStyle w:val="MdTableCell"/>
            </w:pPr>
            <w:r>
              <w:t xml:space="preserve">Import the approved MIRA diagnosis or accept a short structured intake.</w:t>
            </w:r>
          </w:p>
        </w:tc>
        <w:tc>
          <w:tcPr>
            <w:tcBorders>
              <w:right w:val="none"/>
            </w:tcBorders>
            <w:tcMar>
              <w:top w:type="dxa" w:w="80"/>
              <w:left w:type="dxa" w:w="120"/>
              <w:bottom w:type="dxa" w:w="80"/>
              <w:right w:type="dxa" w:w="120"/>
            </w:tcMar>
            <w:vAlign w:val="center"/>
          </w:tcPr>
          <w:p>
            <w:pPr>
              <w:pStyle w:val="MdTableCell"/>
            </w:pPr>
            <w:r>
              <w:t xml:space="preserve">Deterministic retrieval/form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Shoot intake</w:t>
            </w:r>
          </w:p>
        </w:tc>
        <w:tc>
          <w:tcPr>
            <w:tcMar>
              <w:top w:type="dxa" w:w="80"/>
              <w:left w:type="dxa" w:w="120"/>
              <w:bottom w:type="dxa" w:w="80"/>
              <w:right w:type="dxa" w:w="120"/>
            </w:tcMar>
            <w:vAlign w:val="center"/>
          </w:tcPr>
          <w:p>
            <w:pPr>
              <w:pStyle w:val="MdTableCell"/>
            </w:pPr>
            <w:r>
              <w:t xml:space="preserve">Collect intended use, audience, message, setting, light, wardrobe, props, constraints, and comfort boundaries.</w:t>
            </w:r>
          </w:p>
        </w:tc>
        <w:tc>
          <w:tcPr>
            <w:tcBorders>
              <w:right w:val="none"/>
            </w:tcBorders>
            <w:tcMar>
              <w:top w:type="dxa" w:w="80"/>
              <w:left w:type="dxa" w:w="120"/>
              <w:bottom w:type="dxa" w:w="80"/>
              <w:right w:type="dxa" w:w="120"/>
            </w:tcMar>
            <w:vAlign w:val="center"/>
          </w:tcPr>
          <w:p>
            <w:pPr>
              <w:pStyle w:val="MdTableCell"/>
            </w:pPr>
            <w:r>
              <w:t xml:space="preserve">Deterministic form; optional speech-to-text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Transformation</w:t>
            </w:r>
          </w:p>
        </w:tc>
        <w:tc>
          <w:tcPr>
            <w:tcMar>
              <w:top w:type="dxa" w:w="80"/>
              <w:left w:type="dxa" w:w="120"/>
              <w:bottom w:type="dxa" w:w="80"/>
              <w:right w:type="dxa" w:w="120"/>
            </w:tcMar>
            <w:vAlign w:val="center"/>
          </w:tcPr>
          <w:p>
            <w:pPr>
              <w:pStyle w:val="MdTableCell"/>
            </w:pPr>
            <w:r>
              <w:t xml:space="preserve">Produce a visual thesis, three-part shot sequence, location/wardrobe priorities, setup checklist, and “do not do” list.</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One structured LLM call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Review</w:t>
            </w:r>
          </w:p>
        </w:tc>
        <w:tc>
          <w:tcPr>
            <w:tcMar>
              <w:top w:type="dxa" w:w="80"/>
              <w:left w:type="dxa" w:w="120"/>
              <w:bottom w:type="dxa" w:w="80"/>
              <w:right w:type="dxa" w:w="120"/>
            </w:tcMar>
            <w:vAlign w:val="center"/>
          </w:tcPr>
          <w:p>
            <w:pPr>
              <w:pStyle w:val="MdTableCell"/>
            </w:pPr>
            <w:r>
              <w:t xml:space="preserve">Edit, approve, or reject each recommendation.</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Human photographer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Client output</w:t>
            </w:r>
          </w:p>
        </w:tc>
        <w:tc>
          <w:tcPr>
            <w:tcMar>
              <w:top w:type="dxa" w:w="80"/>
              <w:left w:type="dxa" w:w="120"/>
              <w:bottom w:type="dxa" w:w="80"/>
              <w:right w:type="dxa" w:w="120"/>
            </w:tcMar>
            <w:vAlign w:val="center"/>
          </w:tcPr>
          <w:p>
            <w:pPr>
              <w:pStyle w:val="MdTableCell"/>
            </w:pPr>
            <w:r>
              <w:t xml:space="preserve">Render a clear preparation page and short spoken briefing.</w:t>
            </w:r>
          </w:p>
        </w:tc>
        <w:tc>
          <w:tcPr>
            <w:tcBorders>
              <w:right w:val="none"/>
            </w:tcBorders>
            <w:tcMar>
              <w:top w:type="dxa" w:w="80"/>
              <w:left w:type="dxa" w:w="120"/>
              <w:bottom w:type="dxa" w:w="80"/>
              <w:right w:type="dxa" w:w="120"/>
            </w:tcMar>
            <w:vAlign w:val="center"/>
          </w:tcPr>
          <w:p>
            <w:pPr>
              <w:pStyle w:val="MdTableCell"/>
            </w:pPr>
            <w:r>
              <w:t xml:space="preserve">Deterministic template; optional one-time text-to-speech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Capture</w:t>
            </w:r>
          </w:p>
        </w:tc>
        <w:tc>
          <w:tcPr>
            <w:tcMar>
              <w:top w:type="dxa" w:w="80"/>
              <w:left w:type="dxa" w:w="120"/>
              <w:bottom w:type="dxa" w:w="80"/>
              <w:right w:type="dxa" w:w="120"/>
            </w:tcMar>
            <w:vAlign w:val="center"/>
          </w:tcPr>
          <w:p>
            <w:pPr>
              <w:pStyle w:val="MdTableCell"/>
            </w:pPr>
            <w:r>
              <w:t xml:space="preserve">Open the agreed CLOS/SHUTTER session and remotely operate the client’s back camera.</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Human photographer using specialist camera infrastructure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Evaluation</w:t>
            </w:r>
          </w:p>
        </w:tc>
        <w:tc>
          <w:tcPr>
            <w:tcBorders>
              <w:bottom w:val="single" w:color="E1E4E8" w:sz="4"/>
            </w:tcBorders>
            <w:tcMar>
              <w:top w:type="dxa" w:w="80"/>
              <w:left w:type="dxa" w:w="120"/>
              <w:bottom w:type="dxa" w:w="80"/>
              <w:right w:type="dxa" w:w="120"/>
            </w:tcMar>
            <w:vAlign w:val="center"/>
          </w:tcPr>
          <w:p>
            <w:pPr>
              <w:pStyle w:val="MdTableCell"/>
            </w:pPr>
            <w:r>
              <w:t xml:space="preserve">Record preparation time, revisions, usefulness, readiness, and shoot completion.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Deterministic analytics</w:t>
            </w:r>
          </w:p>
        </w:tc>
      </w:tr>
    </w:tbl>
    <w:p>
      <w:pPr>
        <w:pStyle w:val="MdParagraph"/>
      </w:pPr>
      <w:r>
        <w:t xml:space="preserve">This architecture is especially suitable for the course examples in the supplied screenshots: it takes a source, processes it through an LLM/API, standardizes the output, can optionally create an audio artifact, and ends in a product demonstration.</w:t>
      </w:r>
    </w:p>
    <w:p>
      <w:pPr>
        <w:pStyle w:val="MdSpace"/>
        <w:spacing w:before="0" w:after="60"/>
      </w:pPr>
    </w:p>
    <w:p>
      <w:pPr>
        <w:pStyle w:val="Heading2"/>
        <w:pStyle w:val="MdHeading2"/>
      </w:pPr>
      <w:r>
        <w:t xml:space="preserve">Project ideas compared</w:t>
      </w:r>
    </w:p>
    <w:p>
      <w:pPr>
        <w:pStyle w:val="MdParagraph"/>
      </w:pPr>
      <w:r>
        <w:t xml:space="preserve">The following scores use a 1–5 scale and weights that emphasize business value, visible AI, one-week feasibility, low execution overhead, differentiation, evaluation clarity, and reuse of MIRA. The weighted result is out of 100.</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Concept</w:t>
            </w:r>
          </w:p>
        </w:tc>
        <w:tc>
          <w:tcPr>
            <w:tcMar>
              <w:top w:type="dxa" w:w="100"/>
              <w:left w:type="dxa" w:w="120"/>
              <w:bottom w:type="dxa" w:w="100"/>
              <w:right w:type="dxa" w:w="120"/>
            </w:tcMar>
            <w:vAlign w:val="center"/>
          </w:tcPr>
          <w:p>
            <w:pPr>
              <w:pStyle w:val="MdTableHeader"/>
            </w:pPr>
            <w:r>
              <w:t xml:space="preserve">What it proves</w:t>
            </w:r>
          </w:p>
        </w:tc>
        <w:tc>
          <w:tcPr>
            <w:tcMar>
              <w:top w:type="dxa" w:w="100"/>
              <w:left w:type="dxa" w:w="120"/>
              <w:bottom w:type="dxa" w:w="100"/>
              <w:right w:type="dxa" w:w="120"/>
            </w:tcMar>
            <w:vAlign w:val="center"/>
          </w:tcPr>
          <w:p>
            <w:pPr>
              <w:pStyle w:val="MdTableHeader"/>
              <w:jc w:val="right"/>
            </w:pPr>
            <w:r>
              <w:t xml:space="preserve">Weighted score</w:t>
            </w:r>
          </w:p>
        </w:tc>
        <w:tc>
          <w:tcPr>
            <w:tcBorders>
              <w:right w:val="none"/>
            </w:tcBorders>
            <w:tcMar>
              <w:top w:type="dxa" w:w="100"/>
              <w:left w:type="dxa" w:w="120"/>
              <w:bottom w:type="dxa" w:w="100"/>
              <w:right w:type="dxa" w:w="120"/>
            </w:tcMar>
            <w:vAlign w:val="center"/>
          </w:tcPr>
          <w:p>
            <w:pPr>
              <w:pStyle w:val="MdTableHeader"/>
            </w:pPr>
            <w:r>
              <w:t xml:space="preserve">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MIRA Shoot Compass</w:t>
            </w:r>
          </w:p>
        </w:tc>
        <w:tc>
          <w:tcPr>
            <w:tcMar>
              <w:top w:type="dxa" w:w="80"/>
              <w:left w:type="dxa" w:w="120"/>
              <w:bottom w:type="dxa" w:w="80"/>
              <w:right w:type="dxa" w:w="120"/>
            </w:tcMar>
            <w:vAlign w:val="center"/>
          </w:tcPr>
          <w:p>
            <w:pPr>
              <w:pStyle w:val="MdTableCell"/>
            </w:pPr>
            <w:r>
              <w:t xml:space="preserve">AI can translate brand context into an actionable, human-approved remote-shoot brief.</w:t>
            </w:r>
          </w:p>
        </w:tc>
        <w:tc>
          <w:tcPr>
            <w:tcMar>
              <w:top w:type="dxa" w:w="80"/>
              <w:left w:type="dxa" w:w="120"/>
              <w:bottom w:type="dxa" w:w="80"/>
              <w:right w:type="dxa" w:w="120"/>
            </w:tcMar>
            <w:vAlign w:val="center"/>
          </w:tcPr>
          <w:p>
            <w:pPr>
              <w:pStyle w:val="MdTableCell"/>
              <w:jc w:val="right"/>
            </w:pPr>
            <w:r>
              <w:rPr>
                <w:rStyle w:val="MdStrong"/>
                <w:b/>
                <w:bCs/>
              </w:rPr>
              <w:t xml:space="preserve">98</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Build this.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Workflow automation</w:t>
            </w:r>
          </w:p>
        </w:tc>
        <w:tc>
          <w:tcPr>
            <w:tcMar>
              <w:top w:type="dxa" w:w="80"/>
              <w:left w:type="dxa" w:w="120"/>
              <w:bottom w:type="dxa" w:w="80"/>
              <w:right w:type="dxa" w:w="120"/>
            </w:tcMar>
            <w:vAlign w:val="center"/>
          </w:tcPr>
          <w:p>
            <w:pPr>
              <w:pStyle w:val="MdTableCell"/>
            </w:pPr>
            <w:r>
              <w:t xml:space="preserve">Booking, reminders, consent, preparation, and delivery can be connected.</w:t>
            </w:r>
          </w:p>
        </w:tc>
        <w:tc>
          <w:tcPr>
            <w:tcMar>
              <w:top w:type="dxa" w:w="80"/>
              <w:left w:type="dxa" w:w="120"/>
              <w:bottom w:type="dxa" w:w="80"/>
              <w:right w:type="dxa" w:w="120"/>
            </w:tcMar>
            <w:vAlign w:val="center"/>
          </w:tcPr>
          <w:p>
            <w:pPr>
              <w:pStyle w:val="MdTableCell"/>
              <w:jc w:val="right"/>
            </w:pPr>
            <w:r>
              <w:t xml:space="preserve">75</w:t>
            </w:r>
          </w:p>
        </w:tc>
        <w:tc>
          <w:tcPr>
            <w:tcBorders>
              <w:right w:val="none"/>
            </w:tcBorders>
            <w:tcMar>
              <w:top w:type="dxa" w:w="80"/>
              <w:left w:type="dxa" w:w="120"/>
              <w:bottom w:type="dxa" w:w="80"/>
              <w:right w:type="dxa" w:w="120"/>
            </w:tcMar>
            <w:vAlign w:val="center"/>
          </w:tcPr>
          <w:p>
            <w:pPr>
              <w:pStyle w:val="MdTableCell"/>
            </w:pPr>
            <w:r>
              <w:t xml:space="preserve">Useful later, but the AI contribution is weak.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 Shoot Copilot</w:t>
            </w:r>
          </w:p>
        </w:tc>
        <w:tc>
          <w:tcPr>
            <w:tcMar>
              <w:top w:type="dxa" w:w="80"/>
              <w:left w:type="dxa" w:w="120"/>
              <w:bottom w:type="dxa" w:w="80"/>
              <w:right w:type="dxa" w:w="120"/>
            </w:tcMar>
            <w:vAlign w:val="center"/>
          </w:tcPr>
          <w:p>
            <w:pPr>
              <w:pStyle w:val="MdTableCell"/>
            </w:pPr>
            <w:r>
              <w:t xml:space="preserve">AI can suggest prompts or shot ideas during the shoot.</w:t>
            </w:r>
          </w:p>
        </w:tc>
        <w:tc>
          <w:tcPr>
            <w:tcMar>
              <w:top w:type="dxa" w:w="80"/>
              <w:left w:type="dxa" w:w="120"/>
              <w:bottom w:type="dxa" w:w="80"/>
              <w:right w:type="dxa" w:w="120"/>
            </w:tcMar>
            <w:vAlign w:val="center"/>
          </w:tcPr>
          <w:p>
            <w:pPr>
              <w:pStyle w:val="MdTableCell"/>
              <w:jc w:val="right"/>
            </w:pPr>
            <w:r>
              <w:t xml:space="preserve">69</w:t>
            </w:r>
          </w:p>
        </w:tc>
        <w:tc>
          <w:tcPr>
            <w:tcBorders>
              <w:right w:val="none"/>
            </w:tcBorders>
            <w:tcMar>
              <w:top w:type="dxa" w:w="80"/>
              <w:left w:type="dxa" w:w="120"/>
              <w:bottom w:type="dxa" w:w="80"/>
              <w:right w:type="dxa" w:w="120"/>
            </w:tcMar>
            <w:vAlign w:val="center"/>
          </w:tcPr>
          <w:p>
            <w:pPr>
              <w:pStyle w:val="MdTableCell"/>
            </w:pPr>
            <w:r>
              <w:t xml:space="preserve">Distinctive, but latency, distraction, and testing make it risky.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Browser camera proof of concept</w:t>
            </w:r>
          </w:p>
        </w:tc>
        <w:tc>
          <w:tcPr>
            <w:tcMar>
              <w:top w:type="dxa" w:w="80"/>
              <w:left w:type="dxa" w:w="120"/>
              <w:bottom w:type="dxa" w:w="80"/>
              <w:right w:type="dxa" w:w="120"/>
            </w:tcMar>
            <w:vAlign w:val="center"/>
          </w:tcPr>
          <w:p>
            <w:pPr>
              <w:pStyle w:val="MdTableCell"/>
            </w:pPr>
            <w:r>
              <w:t xml:space="preserve">A client can consent to rear-camera access and receive a remote shutter command.</w:t>
            </w:r>
          </w:p>
        </w:tc>
        <w:tc>
          <w:tcPr>
            <w:tcMar>
              <w:top w:type="dxa" w:w="80"/>
              <w:left w:type="dxa" w:w="120"/>
              <w:bottom w:type="dxa" w:w="80"/>
              <w:right w:type="dxa" w:w="120"/>
            </w:tcMar>
            <w:vAlign w:val="center"/>
          </w:tcPr>
          <w:p>
            <w:pPr>
              <w:pStyle w:val="MdTableCell"/>
              <w:jc w:val="right"/>
            </w:pPr>
            <w:r>
              <w:t xml:space="preserve">56</w:t>
            </w:r>
          </w:p>
        </w:tc>
        <w:tc>
          <w:tcPr>
            <w:tcBorders>
              <w:right w:val="none"/>
            </w:tcBorders>
            <w:tcMar>
              <w:top w:type="dxa" w:w="80"/>
              <w:left w:type="dxa" w:w="120"/>
              <w:bottom w:type="dxa" w:w="80"/>
              <w:right w:type="dxa" w:w="120"/>
            </w:tcMar>
            <w:vAlign w:val="center"/>
          </w:tcPr>
          <w:p>
            <w:pPr>
              <w:pStyle w:val="MdTableCell"/>
            </w:pPr>
            <w:r>
              <w:t xml:space="preserve">Good optional experiment, but not the core AI project.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Native CLOS/SHUTTER-style app</w:t>
            </w:r>
          </w:p>
        </w:tc>
        <w:tc>
          <w:tcPr>
            <w:tcBorders>
              <w:bottom w:val="single" w:color="E1E4E8" w:sz="4"/>
            </w:tcBorders>
            <w:tcMar>
              <w:top w:type="dxa" w:w="80"/>
              <w:left w:type="dxa" w:w="120"/>
              <w:bottom w:type="dxa" w:w="80"/>
              <w:right w:type="dxa" w:w="120"/>
            </w:tcMar>
            <w:vAlign w:val="center"/>
          </w:tcPr>
          <w:p>
            <w:pPr>
              <w:pStyle w:val="MdTableCell"/>
            </w:pPr>
            <w:r>
              <w:t xml:space="preserve">A proprietary system can control phone cameras and move full-resolution files.</w:t>
            </w:r>
          </w:p>
        </w:tc>
        <w:tc>
          <w:tcPr>
            <w:tcBorders>
              <w:bottom w:val="single" w:color="E1E4E8" w:sz="4"/>
            </w:tcBorders>
            <w:tcMar>
              <w:top w:type="dxa" w:w="80"/>
              <w:left w:type="dxa" w:w="120"/>
              <w:bottom w:type="dxa" w:w="80"/>
              <w:right w:type="dxa" w:w="120"/>
            </w:tcMar>
            <w:vAlign w:val="center"/>
          </w:tcPr>
          <w:p>
            <w:pPr>
              <w:pStyle w:val="MdTableCell"/>
              <w:jc w:val="right"/>
            </w:pPr>
            <w:r>
              <w:t xml:space="preserve">52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Valuable future product, but the wrong capstone scope.</w:t>
            </w:r>
          </w:p>
        </w:tc>
      </w:tr>
    </w:tbl>
    <w:p>
      <w:pPr>
        <w:pStyle w:val="Heading2"/>
        <w:pStyle w:val="MdHeading2"/>
      </w:pPr>
      <w:r>
        <w:t xml:space="preserve">The MVP contract</w:t>
      </w:r>
    </w:p>
    <w:p>
      <w:pPr>
        <w:pStyle w:val="MdBlockquote"/>
      </w:pPr>
      <w:r>
        <w:rPr>
          <w:rStyle w:val="MdStrong"/>
          <w:b/>
          <w:bCs/>
        </w:rPr>
        <w:t xml:space="preserve">Input:</w:t>
      </w:r>
      <w:r>
        <w:t xml:space="preserve"> one approved MIRA diagnosis plus a short shoot-preparation intake.</w:t>
      </w:r>
      <w:r>
        <w:rPr>
          <w:rStyle w:val="MdBr"/>
        </w:rPr>
        <w:br/>
        <w:t xml:space="preserve"/>
      </w:r>
      <w:r>
        <w:rPr>
          <w:rStyle w:val="MdStrong"/>
          <w:b/>
          <w:bCs/>
        </w:rPr>
        <w:t xml:space="preserve">Output:</w:t>
      </w:r>
      <w:r>
        <w:t xml:space="preserve"> one editable, photographer-approved Remote Shoot Blueprint.</w:t>
      </w:r>
      <w:r>
        <w:rPr>
          <w:rStyle w:val="MdBr"/>
        </w:rPr>
        <w:br/>
        <w:t xml:space="preserve"/>
      </w:r>
      <w:r>
        <w:rPr>
          <w:rStyle w:val="MdStrong"/>
          <w:b/>
          <w:bCs/>
        </w:rPr>
        <w:t xml:space="preserve">Interaction limit:</w:t>
      </w:r>
      <w:r>
        <w:t xml:space="preserve"> six to eight focused questions, followed by the output.</w:t>
      </w:r>
      <w:r>
        <w:rPr>
          <w:rStyle w:val="MdBr"/>
        </w:rPr>
        <w:br/>
        <w:t xml:space="preserve"/>
      </w:r>
      <w:r>
        <w:rPr>
          <w:rStyle w:val="MdStrong"/>
          <w:b/>
          <w:bCs/>
        </w:rPr>
        <w:t xml:space="preserve">Scope wall:</w:t>
      </w:r>
      <w:r>
        <w:t xml:space="preserve"> no booking engine, no payment system, no gallery, no AI portraits, no live autonomous directing, and no native camera control.</w:t>
      </w:r>
    </w:p>
    <w:p>
      <w:pPr>
        <w:pStyle w:val="MdSpace"/>
        <w:spacing w:before="0" w:after="60"/>
      </w:pPr>
    </w:p>
    <w:p>
      <w:pPr>
        <w:pStyle w:val="MdParagraph"/>
      </w:pPr>
      <w:r>
        <w:t xml:space="preserve">The blueprint should contain only eight sections: </w:t>
      </w:r>
      <w:r>
        <w:rPr>
          <w:rStyle w:val="MdStrong"/>
          <w:b/>
          <w:bCs/>
        </w:rPr>
        <w:t xml:space="preserve">shoot objective, visual thesis, intended uses, three-shot sequence, location and light plan, wardrobe/prop priorities, phone setup checklist, and boundaries/risks</w:t>
      </w:r>
      <w:r>
        <w:t xml:space="preserve">. Each recommendation should be traceable to a client answer or the imported MIRA diagnosis. The photographer must approve the final version before it reaches the client.</w:t>
      </w:r>
    </w:p>
    <w:p>
      <w:pPr>
        <w:pStyle w:val="MdSpace"/>
        <w:spacing w:before="0" w:after="60"/>
      </w:pPr>
    </w:p>
    <w:p>
      <w:pPr>
        <w:pStyle w:val="MdParagraph"/>
      </w:pPr>
      <w:r>
        <w:t xml:space="preserve">A separate route or prototype mode is preferable to rewriting the current free MIRA flow. This keeps the existing diagnostic promise intact and makes the capstone easier to test without destabilizing the live service.</w:t>
      </w:r>
    </w:p>
    <w:p>
      <w:pPr>
        <w:pStyle w:val="MdSpace"/>
        <w:spacing w:before="0" w:after="60"/>
      </w:pPr>
    </w:p>
    <w:p>
      <w:pPr>
        <w:pStyle w:val="Heading2"/>
        <w:pStyle w:val="MdHeading2"/>
      </w:pPr>
      <w:r>
        <w:t xml:space="preserve">One-week build plan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Day</w:t>
            </w:r>
          </w:p>
        </w:tc>
        <w:tc>
          <w:tcPr>
            <w:tcBorders>
              <w:right w:val="none"/>
            </w:tcBorders>
            <w:tcMar>
              <w:top w:type="dxa" w:w="100"/>
              <w:left w:type="dxa" w:w="120"/>
              <w:bottom w:type="dxa" w:w="100"/>
              <w:right w:type="dxa" w:w="120"/>
            </w:tcMar>
            <w:vAlign w:val="center"/>
          </w:tcPr>
          <w:p>
            <w:pPr>
              <w:pStyle w:val="MdTableHeader"/>
            </w:pPr>
            <w:r>
              <w:t xml:space="preserve">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 — Contract and examples</w:t>
            </w:r>
          </w:p>
        </w:tc>
        <w:tc>
          <w:tcPr>
            <w:tcBorders>
              <w:right w:val="none"/>
            </w:tcBorders>
            <w:tcMar>
              <w:top w:type="dxa" w:w="80"/>
              <w:left w:type="dxa" w:w="120"/>
              <w:bottom w:type="dxa" w:w="80"/>
              <w:right w:type="dxa" w:w="120"/>
            </w:tcMar>
            <w:vAlign w:val="center"/>
          </w:tcPr>
          <w:p>
            <w:pPr>
              <w:pStyle w:val="MdTableCell"/>
            </w:pPr>
            <w:r>
              <w:t xml:space="preserve">Lock the eight output fields, prepare three realistic input cases, and manually create the ideal answers.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 — Structured intelligence</w:t>
            </w:r>
          </w:p>
        </w:tc>
        <w:tc>
          <w:tcPr>
            <w:tcBorders>
              <w:right w:val="none"/>
            </w:tcBorders>
            <w:tcMar>
              <w:top w:type="dxa" w:w="80"/>
              <w:left w:type="dxa" w:w="120"/>
              <w:bottom w:type="dxa" w:w="80"/>
              <w:right w:type="dxa" w:w="120"/>
            </w:tcMar>
            <w:vAlign w:val="center"/>
          </w:tcPr>
          <w:p>
            <w:pPr>
              <w:pStyle w:val="MdTableCell"/>
            </w:pPr>
            <w:r>
              <w:t xml:space="preserve">Build one prompt that returns validated JSON. Test whether every output is traceable to the supplied inputs.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 — Interface</w:t>
            </w:r>
          </w:p>
        </w:tc>
        <w:tc>
          <w:tcPr>
            <w:tcBorders>
              <w:right w:val="none"/>
            </w:tcBorders>
            <w:tcMar>
              <w:top w:type="dxa" w:w="80"/>
              <w:left w:type="dxa" w:w="120"/>
              <w:bottom w:type="dxa" w:w="80"/>
              <w:right w:type="dxa" w:w="120"/>
            </w:tcMar>
            <w:vAlign w:val="center"/>
          </w:tcPr>
          <w:p>
            <w:pPr>
              <w:pStyle w:val="MdTableCell"/>
            </w:pPr>
            <w:r>
              <w:t xml:space="preserve">Create the focused intake, review screen, and editable blueprint. Reuse MIRA’s existing visual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4 — Output layer</w:t>
            </w:r>
          </w:p>
        </w:tc>
        <w:tc>
          <w:tcPr>
            <w:tcBorders>
              <w:right w:val="none"/>
            </w:tcBorders>
            <w:tcMar>
              <w:top w:type="dxa" w:w="80"/>
              <w:left w:type="dxa" w:w="120"/>
              <w:bottom w:type="dxa" w:w="80"/>
              <w:right w:type="dxa" w:w="120"/>
            </w:tcMar>
            <w:vAlign w:val="center"/>
          </w:tcPr>
          <w:p>
            <w:pPr>
              <w:pStyle w:val="MdTableCell"/>
            </w:pPr>
            <w:r>
              <w:t xml:space="preserve">Add the client preparation page and optional short audio briefing. Avoid generated moodboard images.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5 — Remote-camera handoff</w:t>
            </w:r>
          </w:p>
        </w:tc>
        <w:tc>
          <w:tcPr>
            <w:tcBorders>
              <w:right w:val="none"/>
            </w:tcBorders>
            <w:tcMar>
              <w:top w:type="dxa" w:w="80"/>
              <w:left w:type="dxa" w:w="120"/>
              <w:bottom w:type="dxa" w:w="80"/>
              <w:right w:type="dxa" w:w="120"/>
            </w:tcMar>
            <w:vAlign w:val="center"/>
          </w:tcPr>
          <w:p>
            <w:pPr>
              <w:pStyle w:val="MdTableCell"/>
            </w:pPr>
            <w:r>
              <w:t xml:space="preserve">Add CLOS/SHUTTER preflight instructions, consent acknowledgement, and a session-link field. Do not depend on an undocumented 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6 — POC testing</w:t>
            </w:r>
          </w:p>
        </w:tc>
        <w:tc>
          <w:tcPr>
            <w:tcBorders>
              <w:right w:val="none"/>
            </w:tcBorders>
            <w:tcMar>
              <w:top w:type="dxa" w:w="80"/>
              <w:left w:type="dxa" w:w="120"/>
              <w:bottom w:type="dxa" w:w="80"/>
              <w:right w:type="dxa" w:w="120"/>
            </w:tcMar>
            <w:vAlign w:val="center"/>
          </w:tcPr>
          <w:p>
            <w:pPr>
              <w:pStyle w:val="MdTableCell"/>
            </w:pPr>
            <w:r>
              <w:t xml:space="preserve">Run at least three representative cases and, if possible, test with one photographer and several potential users from different professional segments.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7 — Evidence and presentation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Compare manual versus assisted preparation time, record quality ratings and revisions, and present the product, limits, and next experiment.</w:t>
            </w:r>
          </w:p>
        </w:tc>
      </w:tr>
    </w:tbl>
    <w:p>
      <w:pPr>
        <w:pStyle w:val="Heading2"/>
        <w:pStyle w:val="MdHeading2"/>
      </w:pPr>
      <w:r>
        <w:t xml:space="preserve">Credit-efficient implementation principles</w:t>
      </w:r>
    </w:p>
    <w:p>
      <w:pPr>
        <w:pStyle w:val="MdParagraph"/>
      </w:pPr>
      <w:r>
        <w:t xml:space="preserve">The system should make </w:t>
      </w:r>
      <w:r>
        <w:rPr>
          <w:rStyle w:val="MdStrong"/>
          <w:b/>
          <w:bCs/>
        </w:rPr>
        <w:t xml:space="preserve">one main LLM call per completed intake</w:t>
      </w:r>
      <w:r>
        <w:t xml:space="preserve">, not one call after every answer. It should request strict JSON, validate the result, and render the report with deterministic templates. Voice input and text-to-speech are optional and should each run once per session. Live image analysis, generated moodboards, synthetic portraits, autonomous live coaching, and repeated rewriting should remain out of scope.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 AI for</w:t>
            </w:r>
          </w:p>
        </w:tc>
        <w:tc>
          <w:tcPr>
            <w:tcBorders>
              <w:right w:val="none"/>
            </w:tcBorders>
            <w:tcMar>
              <w:top w:type="dxa" w:w="100"/>
              <w:left w:type="dxa" w:w="120"/>
              <w:bottom w:type="dxa" w:w="100"/>
              <w:right w:type="dxa" w:w="120"/>
            </w:tcMar>
            <w:vAlign w:val="center"/>
          </w:tcPr>
          <w:p>
            <w:pPr>
              <w:pStyle w:val="MdTableHeader"/>
            </w:pPr>
            <w:r>
              <w:t xml:space="preserve">Do not spend AI calls 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Interpreting the client’s brand/shoot context</w:t>
            </w:r>
          </w:p>
        </w:tc>
        <w:tc>
          <w:tcPr>
            <w:tcBorders>
              <w:right w:val="none"/>
            </w:tcBorders>
            <w:tcMar>
              <w:top w:type="dxa" w:w="80"/>
              <w:left w:type="dxa" w:w="120"/>
              <w:bottom w:type="dxa" w:w="80"/>
              <w:right w:type="dxa" w:w="120"/>
            </w:tcMar>
            <w:vAlign w:val="center"/>
          </w:tcPr>
          <w:p>
            <w:pPr>
              <w:pStyle w:val="MdTableCell"/>
            </w:pPr>
            <w:r>
              <w:t xml:space="preserve">Form validation and navigation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Identifying contradictions and missing preparation information</w:t>
            </w:r>
          </w:p>
        </w:tc>
        <w:tc>
          <w:tcPr>
            <w:tcBorders>
              <w:right w:val="none"/>
            </w:tcBorders>
            <w:tcMar>
              <w:top w:type="dxa" w:w="80"/>
              <w:left w:type="dxa" w:w="120"/>
              <w:bottom w:type="dxa" w:w="80"/>
              <w:right w:type="dxa" w:w="120"/>
            </w:tcMar>
            <w:vAlign w:val="center"/>
          </w:tcPr>
          <w:p>
            <w:pPr>
              <w:pStyle w:val="MdTableCell"/>
            </w:pPr>
            <w:r>
              <w:t xml:space="preserve">Standard checklists and consent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Producing the first structured visual direction</w:t>
            </w:r>
          </w:p>
        </w:tc>
        <w:tc>
          <w:tcPr>
            <w:tcBorders>
              <w:right w:val="none"/>
            </w:tcBorders>
            <w:tcMar>
              <w:top w:type="dxa" w:w="80"/>
              <w:left w:type="dxa" w:w="120"/>
              <w:bottom w:type="dxa" w:w="80"/>
              <w:right w:type="dxa" w:w="120"/>
            </w:tcMar>
            <w:vAlign w:val="center"/>
          </w:tcPr>
          <w:p>
            <w:pPr>
              <w:pStyle w:val="MdTableCell"/>
            </w:pPr>
            <w:r>
              <w:t xml:space="preserve">Calendar, pricing, or payment logic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Converting the approved text into one short spoken briefing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Camera transport and file storage</w:t>
            </w:r>
          </w:p>
        </w:tc>
      </w:tr>
    </w:tbl>
    <w:p>
      <w:pPr>
        <w:pStyle w:val="MdParagraph"/>
      </w:pPr>
      <w:r>
        <w:t xml:space="preserve">This division makes the AI contribution easy to explain: </w:t>
      </w:r>
      <w:r>
        <w:rPr>
          <w:rStyle w:val="MdStrong"/>
          <w:b/>
          <w:bCs/>
        </w:rPr>
        <w:t xml:space="preserve">AI structures judgment; the photographer validates judgment; specialist software captures the photograph.</w:t>
      </w:r>
    </w:p>
    <w:p>
      <w:pPr>
        <w:pStyle w:val="MdSpace"/>
        <w:spacing w:before="0" w:after="60"/>
      </w:pPr>
    </w:p>
    <w:p>
      <w:pPr>
        <w:pStyle w:val="Heading2"/>
        <w:pStyle w:val="MdHeading2"/>
      </w:pPr>
      <w:r>
        <w:t xml:space="preserve">CLOS versus SHUTTER for the capstone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Criterion</w:t>
            </w:r>
          </w:p>
        </w:tc>
        <w:tc>
          <w:tcPr>
            <w:tcMar>
              <w:top w:type="dxa" w:w="100"/>
              <w:left w:type="dxa" w:w="120"/>
              <w:bottom w:type="dxa" w:w="100"/>
              <w:right w:type="dxa" w:w="120"/>
            </w:tcMar>
            <w:vAlign w:val="center"/>
          </w:tcPr>
          <w:p>
            <w:pPr>
              <w:pStyle w:val="MdTableHeader"/>
            </w:pPr>
            <w:r>
              <w:t xml:space="preserve">CLOS</w:t>
            </w:r>
          </w:p>
        </w:tc>
        <w:tc>
          <w:tcPr>
            <w:tcMar>
              <w:top w:type="dxa" w:w="100"/>
              <w:left w:type="dxa" w:w="120"/>
              <w:bottom w:type="dxa" w:w="100"/>
              <w:right w:type="dxa" w:w="120"/>
            </w:tcMar>
            <w:vAlign w:val="center"/>
          </w:tcPr>
          <w:p>
            <w:pPr>
              <w:pStyle w:val="MdTableHeader"/>
            </w:pPr>
            <w:r>
              <w:t xml:space="preserve">SHUTTER</w:t>
            </w:r>
          </w:p>
        </w:tc>
        <w:tc>
          <w:tcPr>
            <w:tcBorders>
              <w:right w:val="none"/>
            </w:tcBorders>
            <w:tcMar>
              <w:top w:type="dxa" w:w="100"/>
              <w:left w:type="dxa" w:w="120"/>
              <w:bottom w:type="dxa" w:w="100"/>
              <w:right w:type="dxa" w:w="120"/>
            </w:tcMar>
            <w:vAlign w:val="center"/>
          </w:tcPr>
          <w:p>
            <w:pPr>
              <w:pStyle w:val="MdTableHeader"/>
            </w:pPr>
            <w:r>
              <w:t xml:space="preserve">Practical implication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Required remote model</w:t>
            </w:r>
          </w:p>
        </w:tc>
        <w:tc>
          <w:tcPr>
            <w:tcMar>
              <w:top w:type="dxa" w:w="80"/>
              <w:left w:type="dxa" w:w="120"/>
              <w:bottom w:type="dxa" w:w="80"/>
              <w:right w:type="dxa" w:w="120"/>
            </w:tcMar>
            <w:vAlign w:val="center"/>
          </w:tcPr>
          <w:p>
            <w:pPr>
              <w:pStyle w:val="MdTableCell"/>
            </w:pPr>
            <w:r>
              <w:t xml:space="preserve">Photographer controls the client phone camera in a virtual room.</w:t>
            </w:r>
          </w:p>
        </w:tc>
        <w:tc>
          <w:tcPr>
            <w:tcMar>
              <w:top w:type="dxa" w:w="80"/>
              <w:left w:type="dxa" w:w="120"/>
              <w:bottom w:type="dxa" w:w="80"/>
              <w:right w:type="dxa" w:w="120"/>
            </w:tcMar>
            <w:vAlign w:val="center"/>
          </w:tcPr>
          <w:p>
            <w:pPr>
              <w:pStyle w:val="MdTableCell"/>
            </w:pPr>
            <w:r>
              <w:t xml:space="preserve">Client shares a generated ID; photographer controls the session from a portal.</w:t>
            </w:r>
          </w:p>
        </w:tc>
        <w:tc>
          <w:tcPr>
            <w:tcBorders>
              <w:right w:val="none"/>
            </w:tcBorders>
            <w:tcMar>
              <w:top w:type="dxa" w:w="80"/>
              <w:left w:type="dxa" w:w="120"/>
              <w:bottom w:type="dxa" w:w="80"/>
              <w:right w:type="dxa" w:w="120"/>
            </w:tcMar>
            <w:vAlign w:val="center"/>
          </w:tcPr>
          <w:p>
            <w:pPr>
              <w:pStyle w:val="MdTableCell"/>
            </w:pPr>
            <w:r>
              <w:t xml:space="preserve">Both match the intended remote-shoot definition.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Capture</w:t>
            </w:r>
          </w:p>
        </w:tc>
        <w:tc>
          <w:tcPr>
            <w:tcMar>
              <w:top w:type="dxa" w:w="80"/>
              <w:left w:type="dxa" w:w="120"/>
              <w:bottom w:type="dxa" w:w="80"/>
              <w:right w:type="dxa" w:w="120"/>
            </w:tcMar>
            <w:vAlign w:val="center"/>
          </w:tcPr>
          <w:p>
            <w:pPr>
              <w:pStyle w:val="MdTableCell"/>
            </w:pPr>
            <w:r>
              <w:t xml:space="preserve">High-resolution JPG; RAW/ProRAW on paid plans; actual sensor capture.</w:t>
            </w:r>
          </w:p>
        </w:tc>
        <w:tc>
          <w:tcPr>
            <w:tcMar>
              <w:top w:type="dxa" w:w="80"/>
              <w:left w:type="dxa" w:w="120"/>
              <w:bottom w:type="dxa" w:w="80"/>
              <w:right w:type="dxa" w:w="120"/>
            </w:tcMar>
            <w:vAlign w:val="center"/>
          </w:tcPr>
          <w:p>
            <w:pPr>
              <w:pStyle w:val="MdTableCell"/>
            </w:pPr>
            <w:r>
              <w:t xml:space="preserve">High-resolution JPEG and RAW.</w:t>
            </w:r>
          </w:p>
        </w:tc>
        <w:tc>
          <w:tcPr>
            <w:tcBorders>
              <w:right w:val="none"/>
            </w:tcBorders>
            <w:tcMar>
              <w:top w:type="dxa" w:w="80"/>
              <w:left w:type="dxa" w:w="120"/>
              <w:bottom w:type="dxa" w:w="80"/>
              <w:right w:type="dxa" w:w="120"/>
            </w:tcMar>
            <w:vAlign w:val="center"/>
          </w:tcPr>
          <w:p>
            <w:pPr>
              <w:pStyle w:val="MdTableCell"/>
            </w:pPr>
            <w:r>
              <w:t xml:space="preserve">Both are materially different from video-call screenshots.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Devices</w:t>
            </w:r>
          </w:p>
        </w:tc>
        <w:tc>
          <w:tcPr>
            <w:tcMar>
              <w:top w:type="dxa" w:w="80"/>
              <w:left w:type="dxa" w:w="120"/>
              <w:bottom w:type="dxa" w:w="80"/>
              <w:right w:type="dxa" w:w="120"/>
            </w:tcMar>
            <w:vAlign w:val="center"/>
          </w:tcPr>
          <w:p>
            <w:pPr>
              <w:pStyle w:val="MdTableCell"/>
            </w:pPr>
            <w:r>
              <w:t xml:space="preserve">Officially supports iPhone and Android capture; operator can use app or browser.</w:t>
            </w:r>
          </w:p>
        </w:tc>
        <w:tc>
          <w:tcPr>
            <w:tcMar>
              <w:top w:type="dxa" w:w="80"/>
              <w:left w:type="dxa" w:w="120"/>
              <w:bottom w:type="dxa" w:w="80"/>
              <w:right w:type="dxa" w:w="120"/>
            </w:tcMar>
            <w:vAlign w:val="center"/>
          </w:tcPr>
          <w:p>
            <w:pPr>
              <w:pStyle w:val="MdTableCell"/>
            </w:pPr>
            <w:r>
              <w:t xml:space="preserve">Official site links iOS and Android; current US Apple listing is iPhone-only.</w:t>
            </w:r>
          </w:p>
        </w:tc>
        <w:tc>
          <w:tcPr>
            <w:tcBorders>
              <w:right w:val="none"/>
            </w:tcBorders>
            <w:tcMar>
              <w:top w:type="dxa" w:w="80"/>
              <w:left w:type="dxa" w:w="120"/>
              <w:bottom w:type="dxa" w:w="80"/>
              <w:right w:type="dxa" w:w="120"/>
            </w:tcMar>
            <w:vAlign w:val="center"/>
          </w:tcPr>
          <w:p>
            <w:pPr>
              <w:pStyle w:val="MdTableCell"/>
            </w:pPr>
            <w:r>
              <w:t xml:space="preserve">Test the exact client device before booking.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Published price</w:t>
            </w:r>
          </w:p>
        </w:tc>
        <w:tc>
          <w:tcPr>
            <w:tcMar>
              <w:top w:type="dxa" w:w="80"/>
              <w:left w:type="dxa" w:w="120"/>
              <w:bottom w:type="dxa" w:w="80"/>
              <w:right w:type="dxa" w:w="120"/>
            </w:tcMar>
            <w:vAlign w:val="center"/>
          </w:tcPr>
          <w:p>
            <w:pPr>
              <w:pStyle w:val="MdTableCell"/>
            </w:pPr>
            <w:r>
              <w:t xml:space="preserve">Free tier; Pro currently listed at </w:t>
            </w:r>
            <w:r>
              <w:rPr>
                <w:rStyle w:val="MdStrong"/>
                <w:b/>
                <w:bCs/>
              </w:rPr>
              <w:t xml:space="preserve">US$7.99/month</w:t>
            </w:r>
            <w:r>
              <w:t xml:space="preserve">.</w:t>
            </w:r>
          </w:p>
        </w:tc>
        <w:tc>
          <w:tcPr>
            <w:tcMar>
              <w:top w:type="dxa" w:w="80"/>
              <w:left w:type="dxa" w:w="120"/>
              <w:bottom w:type="dxa" w:w="80"/>
              <w:right w:type="dxa" w:w="120"/>
            </w:tcMar>
            <w:vAlign w:val="center"/>
          </w:tcPr>
          <w:p>
            <w:pPr>
              <w:pStyle w:val="MdTableCell"/>
            </w:pPr>
            <w:r>
              <w:t xml:space="preserve">Client app listed as free; professional-side pricing was not clearly public in the reviewed pages.</w:t>
            </w:r>
          </w:p>
        </w:tc>
        <w:tc>
          <w:tcPr>
            <w:tcBorders>
              <w:right w:val="none"/>
            </w:tcBorders>
            <w:tcMar>
              <w:top w:type="dxa" w:w="80"/>
              <w:left w:type="dxa" w:w="120"/>
              <w:bottom w:type="dxa" w:w="80"/>
              <w:right w:type="dxa" w:w="120"/>
            </w:tcMar>
            <w:vAlign w:val="center"/>
          </w:tcPr>
          <w:p>
            <w:pPr>
              <w:pStyle w:val="MdTableCell"/>
            </w:pPr>
            <w:r>
              <w:t xml:space="preserve">CLOS gives the clearest capstone budget.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 integration</w:t>
            </w:r>
          </w:p>
        </w:tc>
        <w:tc>
          <w:tcPr>
            <w:tcMar>
              <w:top w:type="dxa" w:w="80"/>
              <w:left w:type="dxa" w:w="120"/>
              <w:bottom w:type="dxa" w:w="80"/>
              <w:right w:type="dxa" w:w="120"/>
            </w:tcMar>
            <w:vAlign w:val="center"/>
          </w:tcPr>
          <w:p>
            <w:pPr>
              <w:pStyle w:val="MdTableCell"/>
            </w:pPr>
            <w:r>
              <w:t xml:space="preserve">No public API/SDK documentation found; enterprise offers personal branding, dedicated servers, and DPA support.</w:t>
            </w:r>
          </w:p>
        </w:tc>
        <w:tc>
          <w:tcPr>
            <w:tcMar>
              <w:top w:type="dxa" w:w="80"/>
              <w:left w:type="dxa" w:w="120"/>
              <w:bottom w:type="dxa" w:w="80"/>
              <w:right w:type="dxa" w:w="120"/>
            </w:tcMar>
            <w:vAlign w:val="center"/>
          </w:tcPr>
          <w:p>
            <w:pPr>
              <w:pStyle w:val="MdTableCell"/>
            </w:pPr>
            <w:r>
              <w:t xml:space="preserve">No public API/SDK documentation found; partnership contact is available.</w:t>
            </w:r>
          </w:p>
        </w:tc>
        <w:tc>
          <w:tcPr>
            <w:tcBorders>
              <w:right w:val="none"/>
            </w:tcBorders>
            <w:tcMar>
              <w:top w:type="dxa" w:w="80"/>
              <w:left w:type="dxa" w:w="120"/>
              <w:bottom w:type="dxa" w:w="80"/>
              <w:right w:type="dxa" w:w="120"/>
            </w:tcMar>
            <w:vAlign w:val="center"/>
          </w:tcPr>
          <w:p>
            <w:pPr>
              <w:pStyle w:val="MdTableCell"/>
            </w:pPr>
            <w:r>
              <w:t xml:space="preserve">Use a manual/link handoff unless a vendor confirms integration.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Privacy signal</w:t>
            </w:r>
          </w:p>
        </w:tc>
        <w:tc>
          <w:tcPr>
            <w:tcBorders>
              <w:bottom w:val="single" w:color="E1E4E8" w:sz="4"/>
            </w:tcBorders>
            <w:tcMar>
              <w:top w:type="dxa" w:w="80"/>
              <w:left w:type="dxa" w:w="120"/>
              <w:bottom w:type="dxa" w:w="80"/>
              <w:right w:type="dxa" w:w="120"/>
            </w:tcMar>
            <w:vAlign w:val="center"/>
          </w:tcPr>
          <w:p>
            <w:pPr>
              <w:pStyle w:val="MdTableCell"/>
            </w:pPr>
            <w:r>
              <w:t xml:space="preserve">Apple disclosure lists user content and several data categories linked to identity.</w:t>
            </w:r>
          </w:p>
        </w:tc>
        <w:tc>
          <w:tcPr>
            <w:tcBorders>
              <w:bottom w:val="single" w:color="E1E4E8" w:sz="4"/>
            </w:tcBorders>
            <w:tcMar>
              <w:top w:type="dxa" w:w="80"/>
              <w:left w:type="dxa" w:w="120"/>
              <w:bottom w:type="dxa" w:w="80"/>
              <w:right w:type="dxa" w:w="120"/>
            </w:tcMar>
            <w:vAlign w:val="center"/>
          </w:tcPr>
          <w:p>
            <w:pPr>
              <w:pStyle w:val="MdTableCell"/>
            </w:pPr>
            <w:r>
              <w:t xml:space="preserve">Apple disclosure lists identifiers, usage data, and diagnostics as not linked to identity.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Review vendor agreements and retention before commercial use.</w:t>
            </w:r>
          </w:p>
        </w:tc>
      </w:tr>
    </w:tbl>
    <w:p>
      <w:pPr>
        <w:pStyle w:val="MdParagraph"/>
      </w:pPr>
      <w:r>
        <w:t xml:space="preserve">CLOS reports more than 4,000 photographers and cites recognized editorial and brand examples, but these figures are vendor-reported and should not be treated as independent market-size evidence.</w:t>
      </w:r>
      <w:hyperlink w:history="1" r:id="rIdxhmlljzzkd3mieg4hvu9q">
        <w:r>
          <w:rPr>
            <w:rStyle w:val="MdLink"/>
          </w:rPr>
          <w:t xml:space="preserve">3</w:t>
        </w:r>
      </w:hyperlink>
      <w:r>
        <w:t xml:space="preserve"> Its current US App Store listing shows 4.5/5 from 124 ratings; SHUTTER shows 4.8/5 from only 10 ratings, so neither rating base is strong enough to establish broad demand.</w:t>
      </w:r>
      <w:hyperlink w:history="1" r:id="rId4szwsmuoda4xbp_zcri7l">
        <w:r>
          <w:rPr>
            <w:rStyle w:val="MdLink"/>
          </w:rPr>
          <w:t xml:space="preserve">4</w:t>
        </w:r>
      </w:hyperlink>
      <w:r>
        <w:t xml:space="preserve"> </w:t>
      </w:r>
      <w:hyperlink w:history="1" r:id="rIdj518veumwti7shgox_spu">
        <w:r>
          <w:rPr>
            <w:rStyle w:val="MdLink"/>
          </w:rPr>
          <w:t xml:space="preserve">6</w:t>
        </w:r>
      </w:hyperlink>
    </w:p>
    <w:p>
      <w:pPr>
        <w:pStyle w:val="MdSpace"/>
        <w:spacing w:before="0" w:after="60"/>
      </w:pPr>
    </w:p>
    <w:p>
      <w:pPr>
        <w:pStyle w:val="Heading2"/>
        <w:pStyle w:val="MdHeading2"/>
      </w:pPr>
      <w:r>
        <w:t xml:space="preserve">What would a proprietary camera app cost?</w:t>
      </w:r>
    </w:p>
    <w:p>
      <w:pPr>
        <w:pStyle w:val="MdParagraph"/>
      </w:pPr>
      <w:r>
        <w:t xml:space="preserve">The table below is a </w:t>
      </w:r>
      <w:r>
        <w:rPr>
          <w:rStyle w:val="MdStrong"/>
          <w:b/>
          <w:bCs/>
        </w:rPr>
        <w:t xml:space="preserve">planning estimate</w:t>
      </w:r>
      <w:r>
        <w:t xml:space="preserve">, not a supplier quote. It uses scoped engineering hours and blended contractor rates shown explicitly so the assumptions can be challenged. The estimates exclude VAT, specialized legal work, customer support, and unusual device-lab costs.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Option</w:t>
            </w:r>
          </w:p>
        </w:tc>
        <w:tc>
          <w:tcPr>
            <w:tcMar>
              <w:top w:type="dxa" w:w="100"/>
              <w:left w:type="dxa" w:w="120"/>
              <w:bottom w:type="dxa" w:w="100"/>
              <w:right w:type="dxa" w:w="120"/>
            </w:tcMar>
            <w:vAlign w:val="center"/>
          </w:tcPr>
          <w:p>
            <w:pPr>
              <w:pStyle w:val="MdTableHeader"/>
            </w:pPr>
            <w:r>
              <w:t xml:space="preserve">Demonstrated capability</w:t>
            </w:r>
          </w:p>
        </w:tc>
        <w:tc>
          <w:tcPr>
            <w:tcMar>
              <w:top w:type="dxa" w:w="100"/>
              <w:left w:type="dxa" w:w="120"/>
              <w:bottom w:type="dxa" w:w="100"/>
              <w:right w:type="dxa" w:w="120"/>
            </w:tcMar>
            <w:vAlign w:val="center"/>
          </w:tcPr>
          <w:p>
            <w:pPr>
              <w:pStyle w:val="MdTableHeader"/>
              <w:jc w:val="right"/>
            </w:pPr>
            <w:r>
              <w:t xml:space="preserve">Effort assumption</w:t>
            </w:r>
          </w:p>
        </w:tc>
        <w:tc>
          <w:tcPr>
            <w:tcMar>
              <w:top w:type="dxa" w:w="100"/>
              <w:left w:type="dxa" w:w="120"/>
              <w:bottom w:type="dxa" w:w="100"/>
              <w:right w:type="dxa" w:w="120"/>
            </w:tcMar>
            <w:vAlign w:val="center"/>
          </w:tcPr>
          <w:p>
            <w:pPr>
              <w:pStyle w:val="MdTableHeader"/>
              <w:jc w:val="right"/>
            </w:pPr>
            <w:r>
              <w:t xml:space="preserve">Outsourced-equivalent estimate</w:t>
            </w:r>
          </w:p>
        </w:tc>
        <w:tc>
          <w:tcPr>
            <w:tcMar>
              <w:top w:type="dxa" w:w="100"/>
              <w:left w:type="dxa" w:w="120"/>
              <w:bottom w:type="dxa" w:w="100"/>
              <w:right w:type="dxa" w:w="120"/>
            </w:tcMar>
            <w:vAlign w:val="center"/>
          </w:tcPr>
          <w:p>
            <w:pPr>
              <w:pStyle w:val="MdTableHeader"/>
              <w:jc w:val="right"/>
            </w:pPr>
            <w:r>
              <w:t xml:space="preserve">Likely cash cost if self-built for the capstone</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MIRA extension + CLOS/SHUTTER</w:t>
            </w:r>
          </w:p>
        </w:tc>
        <w:tc>
          <w:tcPr>
            <w:tcMar>
              <w:top w:type="dxa" w:w="80"/>
              <w:left w:type="dxa" w:w="120"/>
              <w:bottom w:type="dxa" w:w="80"/>
              <w:right w:type="dxa" w:w="120"/>
            </w:tcMar>
            <w:vAlign w:val="center"/>
          </w:tcPr>
          <w:p>
            <w:pPr>
              <w:pStyle w:val="MdTableCell"/>
            </w:pPr>
            <w:r>
              <w:t xml:space="preserve">Full AI preparation flow plus a real remote shoot.</w:t>
            </w:r>
          </w:p>
        </w:tc>
        <w:tc>
          <w:tcPr>
            <w:tcMar>
              <w:top w:type="dxa" w:w="80"/>
              <w:left w:type="dxa" w:w="120"/>
              <w:bottom w:type="dxa" w:w="80"/>
              <w:right w:type="dxa" w:w="120"/>
            </w:tcMar>
            <w:vAlign w:val="center"/>
          </w:tcPr>
          <w:p>
            <w:pPr>
              <w:pStyle w:val="MdTableCell"/>
              <w:jc w:val="right"/>
            </w:pPr>
            <w:r>
              <w:t xml:space="preserve">40–80 hours at €60–€120/hour</w:t>
            </w:r>
          </w:p>
        </w:tc>
        <w:tc>
          <w:tcPr>
            <w:tcMar>
              <w:top w:type="dxa" w:w="80"/>
              <w:left w:type="dxa" w:w="120"/>
              <w:bottom w:type="dxa" w:w="80"/>
              <w:right w:type="dxa" w:w="120"/>
            </w:tcMar>
            <w:vAlign w:val="center"/>
          </w:tcPr>
          <w:p>
            <w:pPr>
              <w:pStyle w:val="MdTableCell"/>
              <w:jc w:val="right"/>
            </w:pPr>
            <w:r>
              <w:rPr>
                <w:rStyle w:val="MdStrong"/>
                <w:b/>
                <w:bCs/>
              </w:rPr>
              <w:t xml:space="preserve">€2,400–€9,600</w:t>
            </w:r>
          </w:p>
        </w:tc>
        <w:tc>
          <w:tcPr>
            <w:tcMar>
              <w:top w:type="dxa" w:w="80"/>
              <w:left w:type="dxa" w:w="120"/>
              <w:bottom w:type="dxa" w:w="80"/>
              <w:right w:type="dxa" w:w="120"/>
            </w:tcMar>
            <w:vAlign w:val="center"/>
          </w:tcPr>
          <w:p>
            <w:pPr>
              <w:pStyle w:val="MdTableCell"/>
              <w:jc w:val="right"/>
            </w:pPr>
            <w:r>
              <w:t xml:space="preserve">Often </w:t>
            </w:r>
            <w:r>
              <w:rPr>
                <w:rStyle w:val="MdStrong"/>
                <w:b/>
                <w:bCs/>
              </w:rPr>
              <w:t xml:space="preserve">€0–€100</w:t>
            </w:r>
            <w:r>
              <w:t xml:space="preserve">, plus CLOS if needed</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Best route now.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Browser rear-camera POC</w:t>
            </w:r>
          </w:p>
        </w:tc>
        <w:tc>
          <w:tcPr>
            <w:tcMar>
              <w:top w:type="dxa" w:w="80"/>
              <w:left w:type="dxa" w:w="120"/>
              <w:bottom w:type="dxa" w:w="80"/>
              <w:right w:type="dxa" w:w="120"/>
            </w:tcMar>
            <w:vAlign w:val="center"/>
          </w:tcPr>
          <w:p>
            <w:pPr>
              <w:pStyle w:val="MdTableCell"/>
            </w:pPr>
            <w:r>
              <w:t xml:space="preserve">Client opens an HTTPS link, grants permission, streams the back camera, and receives a remote shutter command; still uploads to a private folder.</w:t>
            </w:r>
          </w:p>
        </w:tc>
        <w:tc>
          <w:tcPr>
            <w:tcMar>
              <w:top w:type="dxa" w:w="80"/>
              <w:left w:type="dxa" w:w="120"/>
              <w:bottom w:type="dxa" w:w="80"/>
              <w:right w:type="dxa" w:w="120"/>
            </w:tcMar>
            <w:vAlign w:val="center"/>
          </w:tcPr>
          <w:p>
            <w:pPr>
              <w:pStyle w:val="MdTableCell"/>
              <w:jc w:val="right"/>
            </w:pPr>
            <w:r>
              <w:t xml:space="preserve">80–160 hours at €60–€120/hour</w:t>
            </w:r>
          </w:p>
        </w:tc>
        <w:tc>
          <w:tcPr>
            <w:tcMar>
              <w:top w:type="dxa" w:w="80"/>
              <w:left w:type="dxa" w:w="120"/>
              <w:bottom w:type="dxa" w:w="80"/>
              <w:right w:type="dxa" w:w="120"/>
            </w:tcMar>
            <w:vAlign w:val="center"/>
          </w:tcPr>
          <w:p>
            <w:pPr>
              <w:pStyle w:val="MdTableCell"/>
              <w:jc w:val="right"/>
            </w:pPr>
            <w:r>
              <w:rPr>
                <w:rStyle w:val="MdStrong"/>
                <w:b/>
                <w:bCs/>
              </w:rPr>
              <w:t xml:space="preserve">€4,800–€19,200</w:t>
            </w:r>
          </w:p>
        </w:tc>
        <w:tc>
          <w:tcPr>
            <w:tcMar>
              <w:top w:type="dxa" w:w="80"/>
              <w:left w:type="dxa" w:w="120"/>
              <w:bottom w:type="dxa" w:w="80"/>
              <w:right w:type="dxa" w:w="120"/>
            </w:tcMar>
            <w:vAlign w:val="center"/>
          </w:tcPr>
          <w:p>
            <w:pPr>
              <w:pStyle w:val="MdTableCell"/>
              <w:jc w:val="right"/>
            </w:pPr>
            <w:r>
              <w:t xml:space="preserve">Roughly </w:t>
            </w:r>
            <w:r>
              <w:rPr>
                <w:rStyle w:val="MdStrong"/>
                <w:b/>
                <w:bCs/>
              </w:rPr>
              <w:t xml:space="preserve">€0–€500</w:t>
            </w:r>
            <w:r>
              <w:t xml:space="preserve"> plus substantial build/test time</w:t>
            </w:r>
          </w:p>
        </w:tc>
        <w:tc>
          <w:tcPr>
            <w:tcBorders>
              <w:right w:val="none"/>
            </w:tcBorders>
            <w:tcMar>
              <w:top w:type="dxa" w:w="80"/>
              <w:left w:type="dxa" w:w="120"/>
              <w:bottom w:type="dxa" w:w="80"/>
              <w:right w:type="dxa" w:w="120"/>
            </w:tcMar>
            <w:vAlign w:val="center"/>
          </w:tcPr>
          <w:p>
            <w:pPr>
              <w:pStyle w:val="MdTableCell"/>
            </w:pPr>
            <w:r>
              <w:t xml:space="preserve">Optional post-capstone experiment.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Native single-platform prototype</w:t>
            </w:r>
          </w:p>
        </w:tc>
        <w:tc>
          <w:tcPr>
            <w:tcMar>
              <w:top w:type="dxa" w:w="80"/>
              <w:left w:type="dxa" w:w="120"/>
              <w:bottom w:type="dxa" w:w="80"/>
              <w:right w:type="dxa" w:w="120"/>
            </w:tcMar>
            <w:vAlign w:val="center"/>
          </w:tcPr>
          <w:p>
            <w:pPr>
              <w:pStyle w:val="MdTableCell"/>
            </w:pPr>
            <w:r>
              <w:t xml:space="preserve">Better camera controls, reliable high-resolution still capture, upload queue, session permissions, basic operator console.</w:t>
            </w:r>
          </w:p>
        </w:tc>
        <w:tc>
          <w:tcPr>
            <w:tcMar>
              <w:top w:type="dxa" w:w="80"/>
              <w:left w:type="dxa" w:w="120"/>
              <w:bottom w:type="dxa" w:w="80"/>
              <w:right w:type="dxa" w:w="120"/>
            </w:tcMar>
            <w:vAlign w:val="center"/>
          </w:tcPr>
          <w:p>
            <w:pPr>
              <w:pStyle w:val="MdTableCell"/>
              <w:jc w:val="right"/>
            </w:pPr>
            <w:r>
              <w:t xml:space="preserve">300–600 hours at €70–€130/hour</w:t>
            </w:r>
          </w:p>
        </w:tc>
        <w:tc>
          <w:tcPr>
            <w:tcMar>
              <w:top w:type="dxa" w:w="80"/>
              <w:left w:type="dxa" w:w="120"/>
              <w:bottom w:type="dxa" w:w="80"/>
              <w:right w:type="dxa" w:w="120"/>
            </w:tcMar>
            <w:vAlign w:val="center"/>
          </w:tcPr>
          <w:p>
            <w:pPr>
              <w:pStyle w:val="MdTableCell"/>
              <w:jc w:val="right"/>
            </w:pPr>
            <w:r>
              <w:rPr>
                <w:rStyle w:val="MdStrong"/>
                <w:b/>
                <w:bCs/>
              </w:rPr>
              <w:t xml:space="preserve">€21,000–€78,000</w:t>
            </w:r>
          </w:p>
        </w:tc>
        <w:tc>
          <w:tcPr>
            <w:tcMar>
              <w:top w:type="dxa" w:w="80"/>
              <w:left w:type="dxa" w:w="120"/>
              <w:bottom w:type="dxa" w:w="80"/>
              <w:right w:type="dxa" w:w="120"/>
            </w:tcMar>
            <w:vAlign w:val="center"/>
          </w:tcPr>
          <w:p>
            <w:pPr>
              <w:pStyle w:val="MdTableCell"/>
              <w:jc w:val="right"/>
            </w:pPr>
            <w:r>
              <w:t xml:space="preserve">Low infrastructure cash, but months of specialist work</w:t>
            </w:r>
          </w:p>
        </w:tc>
        <w:tc>
          <w:tcPr>
            <w:tcBorders>
              <w:right w:val="none"/>
            </w:tcBorders>
            <w:tcMar>
              <w:top w:type="dxa" w:w="80"/>
              <w:left w:type="dxa" w:w="120"/>
              <w:bottom w:type="dxa" w:w="80"/>
              <w:right w:type="dxa" w:w="120"/>
            </w:tcMar>
            <w:vAlign w:val="center"/>
          </w:tcPr>
          <w:p>
            <w:pPr>
              <w:pStyle w:val="MdTableCell"/>
            </w:pPr>
            <w:r>
              <w:t xml:space="preserve">Only after demand validation.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Production cross-platform beta</w:t>
            </w:r>
          </w:p>
        </w:tc>
        <w:tc>
          <w:tcPr>
            <w:tcBorders>
              <w:bottom w:val="single" w:color="E1E4E8" w:sz="4"/>
            </w:tcBorders>
            <w:tcMar>
              <w:top w:type="dxa" w:w="80"/>
              <w:left w:type="dxa" w:w="120"/>
              <w:bottom w:type="dxa" w:w="80"/>
              <w:right w:type="dxa" w:w="120"/>
            </w:tcMar>
            <w:vAlign w:val="center"/>
          </w:tcPr>
          <w:p>
            <w:pPr>
              <w:pStyle w:val="MdTableCell"/>
            </w:pPr>
            <w:r>
              <w:t xml:space="preserve">iOS and Android, scalable video, retries, device matrix, security, monitoring, consent logs, storage controls, admin tools.</w:t>
            </w:r>
          </w:p>
        </w:tc>
        <w:tc>
          <w:tcPr>
            <w:tcBorders>
              <w:bottom w:val="single" w:color="E1E4E8" w:sz="4"/>
            </w:tcBorders>
            <w:tcMar>
              <w:top w:type="dxa" w:w="80"/>
              <w:left w:type="dxa" w:w="120"/>
              <w:bottom w:type="dxa" w:w="80"/>
              <w:right w:type="dxa" w:w="120"/>
            </w:tcMar>
            <w:vAlign w:val="center"/>
          </w:tcPr>
          <w:p>
            <w:pPr>
              <w:pStyle w:val="MdTableCell"/>
              <w:jc w:val="right"/>
            </w:pPr>
            <w:r>
              <w:t xml:space="preserve">800–1,600 hours at €80–€140/hour</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€64,000–€224,000</w:t>
            </w:r>
          </w:p>
        </w:tc>
        <w:tc>
          <w:tcPr>
            <w:tcBorders>
              <w:bottom w:val="single" w:color="E1E4E8" w:sz="4"/>
            </w:tcBorders>
            <w:tcMar>
              <w:top w:type="dxa" w:w="80"/>
              <w:left w:type="dxa" w:w="120"/>
              <w:bottom w:type="dxa" w:w="80"/>
              <w:right w:type="dxa" w:w="120"/>
            </w:tcMar>
            <w:vAlign w:val="center"/>
          </w:tcPr>
          <w:p>
            <w:pPr>
              <w:pStyle w:val="MdTableCell"/>
              <w:jc w:val="right"/>
            </w:pPr>
            <w:r>
              <w:t xml:space="preserve">Not realistic as a solo capstone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Separate funded product.</w:t>
            </w:r>
          </w:p>
        </w:tc>
      </w:tr>
    </w:tbl>
    <w:p>
      <w:pPr>
        <w:pStyle w:val="MdParagraph"/>
      </w:pPr>
      <w:r>
        <w:t xml:space="preserve">The browser POC is technically credible. WebRTC can access phone cameras and microphones, while </w:t>
      </w:r>
      <w:r>
        <w:rPr>
          <w:rStyle w:val="MdCode"/>
          <w:u w:val="single"/>
        </w:rPr>
        <w:t xml:space="preserve">getUserMedia()</w:t>
      </w:r>
      <w:r>
        <w:t xml:space="preserve"> can request the rear camera with </w:t>
      </w:r>
      <w:r>
        <w:rPr>
          <w:rStyle w:val="MdCode"/>
          <w:u w:val="single"/>
        </w:rPr>
        <w:t xml:space="preserve">facingMode: "environment"</w:t>
      </w:r>
      <w:r>
        <w:t xml:space="preserve"> and request resolution constraints. It must run in a secure HTTPS context and always requires the client’s permission; browsers also display camera-use indicators.</w:t>
      </w:r>
      <w:hyperlink w:history="1" r:id="rIdyyylr2jws5evkytalsvyt">
        <w:r>
          <w:rPr>
            <w:rStyle w:val="MdLink"/>
          </w:rPr>
          <w:t xml:space="preserve">7</w:t>
        </w:r>
      </w:hyperlink>
      <w:r>
        <w:t xml:space="preserve"> </w:t>
      </w:r>
      <w:hyperlink w:history="1" r:id="rIdv7aqoyy4bea9gntlzpe4m">
        <w:r>
          <w:rPr>
            <w:rStyle w:val="MdLink"/>
          </w:rPr>
          <w:t xml:space="preserve">8</w:t>
        </w:r>
      </w:hyperlink>
      <w:r>
        <w:t xml:space="preserve"> This means the system can demonstrate </w:t>
      </w:r>
      <w:r>
        <w:rPr>
          <w:rStyle w:val="MdStrong"/>
          <w:b/>
          <w:bCs/>
        </w:rPr>
        <w:t xml:space="preserve">consented remote operation</w:t>
      </w:r>
      <w:r>
        <w:t xml:space="preserve">, but it cannot provide invisible access and should not promise RAW capture, uniform manual settings, background operation, or identical results on every phone.</w:t>
      </w:r>
    </w:p>
    <w:p>
      <w:pPr>
        <w:pStyle w:val="MdSpace"/>
        <w:spacing w:before="0" w:after="60"/>
      </w:pPr>
    </w:p>
    <w:p>
      <w:pPr>
        <w:pStyle w:val="MdParagraph"/>
      </w:pPr>
      <w:r>
        <w:t xml:space="preserve">A native product becomes larger because iOS and Android use different camera stacks. Apple’s AVFoundation supports custom camera interfaces, focus/exposure control, RAW, and live pixel access, while Android’s CameraX supports preview, still capture, video, analysis, lifecycle handling, and lower-level Camera2 interoperability.</w:t>
      </w:r>
      <w:hyperlink w:history="1" r:id="rIdmsabulagslb0jhawnkqbm">
        <w:r>
          <w:rPr>
            <w:rStyle w:val="MdLink"/>
          </w:rPr>
          <w:t xml:space="preserve">9</w:t>
        </w:r>
      </w:hyperlink>
      <w:r>
        <w:t xml:space="preserve"> </w:t>
      </w:r>
      <w:hyperlink w:history="1" r:id="rIdseqrqtchdbqf7ohlohvb1">
        <w:r>
          <w:rPr>
            <w:rStyle w:val="MdLink"/>
          </w:rPr>
          <w:t xml:space="preserve">10</w:t>
        </w:r>
      </w:hyperlink>
      <w:r>
        <w:t xml:space="preserve"> Real-time media infrastructure is inexpensive at prototype scale: LiveKit currently includes 5,000 WebRTC participant minutes in its free build tier; Daily includes 10,000 free participant minutes and then lists US$0.004 per participant-minute; Twilio Video also lists US$0.004 per participant-minute.</w:t>
      </w:r>
      <w:hyperlink w:history="1" r:id="rIda-rddpolt8-ytnvt56dqr">
        <w:r>
          <w:rPr>
            <w:rStyle w:val="MdLink"/>
          </w:rPr>
          <w:t xml:space="preserve">11</w:t>
        </w:r>
      </w:hyperlink>
      <w:r>
        <w:t xml:space="preserve"> </w:t>
      </w:r>
      <w:hyperlink w:history="1" r:id="rIdg9nak_bra3i8r05fldu_m">
        <w:r>
          <w:rPr>
            <w:rStyle w:val="MdLink"/>
          </w:rPr>
          <w:t xml:space="preserve">12</w:t>
        </w:r>
      </w:hyperlink>
      <w:r>
        <w:t xml:space="preserve"> </w:t>
      </w:r>
      <w:hyperlink w:history="1" r:id="rIdobfzl0ohbsdmkdaw3naoh">
        <w:r>
          <w:rPr>
            <w:rStyle w:val="MdLink"/>
          </w:rPr>
          <w:t xml:space="preserve">13</w:t>
        </w:r>
      </w:hyperlink>
      <w:r>
        <w:t xml:space="preserve"> Engineering and cross-device reliability—not call minutes—drive the budget.</w:t>
      </w:r>
    </w:p>
    <w:p>
      <w:pPr>
        <w:pStyle w:val="MdSpace"/>
        <w:spacing w:before="0" w:after="60"/>
      </w:pPr>
    </w:p>
    <w:p>
      <w:pPr>
        <w:pStyle w:val="MdParagraph"/>
      </w:pPr>
      <w:r>
        <w:t xml:space="preserve">If a native app is eventually distributed publicly, Apple currently charges US$99 per membership year and Google charges a US$25 one-time Play Console registration fee.</w:t>
      </w:r>
      <w:hyperlink w:history="1" r:id="rIdqesshwu3zeumuo-rn5esb">
        <w:r>
          <w:rPr>
            <w:rStyle w:val="MdLink"/>
          </w:rPr>
          <w:t xml:space="preserve">14</w:t>
        </w:r>
      </w:hyperlink>
      <w:r>
        <w:t xml:space="preserve"> </w:t>
      </w:r>
      <w:hyperlink w:history="1" r:id="rIdt2xxjeyslyrhgza74cdlz">
        <w:r>
          <w:rPr>
            <w:rStyle w:val="MdLink"/>
          </w:rPr>
          <w:t xml:space="preserve">15</w:t>
        </w:r>
      </w:hyperlink>
    </w:p>
    <w:p>
      <w:pPr>
        <w:pStyle w:val="MdSpace"/>
        <w:spacing w:before="0" w:after="60"/>
      </w:pPr>
    </w:p>
    <w:p>
      <w:pPr>
        <w:pStyle w:val="Heading2"/>
        <w:pStyle w:val="MdHeading2"/>
      </w:pPr>
      <w:r>
        <w:t xml:space="preserve">When building the camera app becomes rational</w:t>
      </w:r>
    </w:p>
    <w:p>
      <w:pPr>
        <w:pStyle w:val="MdParagraph"/>
      </w:pPr>
      <w:r>
        <w:t xml:space="preserve">Treat a proprietary camera product as a </w:t>
      </w:r>
      <w:r>
        <w:rPr>
          <w:rStyle w:val="MdStrong"/>
          <w:b/>
          <w:bCs/>
        </w:rPr>
        <w:t xml:space="preserve">separate investment decision</w:t>
      </w:r>
      <w:r>
        <w:t xml:space="preserve">. Move beyond the browser experiment only if actual paid sessions show that third-party tooling causes meaningful client drop-off, prevents a required workflow, creates unacceptable data-handling constraints, or costs more than ownership would save. A practical internal gate would be at least 20 completed paid remote sessions, documented failure/friction data, repeated demand for branded access, and evidence that CLOS/SHUTTER cannot meet the required service level. This is a proposed validation gate, not an industry rule.</w:t>
      </w:r>
    </w:p>
    <w:p>
      <w:pPr>
        <w:pStyle w:val="MdSpace"/>
        <w:spacing w:before="0" w:after="60"/>
      </w:pPr>
    </w:p>
    <w:p>
      <w:pPr>
        <w:pStyle w:val="Heading2"/>
        <w:pStyle w:val="MdHeading2"/>
      </w:pPr>
      <w:r>
        <w:t xml:space="preserve">Risks and minimum safeguards</w:t>
      </w:r>
    </w:p>
    <w:p>
      <w:pPr>
        <w:pStyle w:val="MdParagraph"/>
      </w:pPr>
      <w:r>
        <w:t xml:space="preserve">Photos, videos, audio recordings, IP addresses, and booking references can all be personal data. EU guidance requires a lawful basis, transparency, purpose limitation, data minimization, storage limits, security, and accountable handling of processors.</w:t>
      </w:r>
      <w:hyperlink w:history="1" r:id="rIdqigxsfas7tflsg1orhjgr">
        <w:r>
          <w:rPr>
            <w:rStyle w:val="MdLink"/>
          </w:rPr>
          <w:t xml:space="preserve">16</w:t>
        </w:r>
      </w:hyperlink>
      <w:r>
        <w:t xml:space="preserve"> </w:t>
      </w:r>
      <w:hyperlink w:history="1" r:id="rIdy99r_fbvbtuuaomtxxv63">
        <w:r>
          <w:rPr>
            <w:rStyle w:val="MdLink"/>
          </w:rPr>
          <w:t xml:space="preserve">17</w:t>
        </w:r>
      </w:hyperlink>
      <w:r>
        <w:t xml:space="preserve"> Ordinary portraits should not automatically be described as biometric data; the higher-risk category arises when technical processing is used for unique identification.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Risk</w:t>
            </w:r>
          </w:p>
        </w:tc>
        <w:tc>
          <w:tcPr>
            <w:tcBorders>
              <w:right w:val="none"/>
            </w:tcBorders>
            <w:tcMar>
              <w:top w:type="dxa" w:w="100"/>
              <w:left w:type="dxa" w:w="120"/>
              <w:bottom w:type="dxa" w:w="100"/>
              <w:right w:type="dxa" w:w="120"/>
            </w:tcMar>
            <w:vAlign w:val="center"/>
          </w:tcPr>
          <w:p>
            <w:pPr>
              <w:pStyle w:val="MdTableHeader"/>
            </w:pPr>
            <w:r>
              <w:t xml:space="preserve">Minimum MVP safeguard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Unexpected camera access</w:t>
            </w:r>
          </w:p>
        </w:tc>
        <w:tc>
          <w:tcPr>
            <w:tcBorders>
              <w:right w:val="none"/>
            </w:tcBorders>
            <w:tcMar>
              <w:top w:type="dxa" w:w="80"/>
              <w:left w:type="dxa" w:w="120"/>
              <w:bottom w:type="dxa" w:w="80"/>
              <w:right w:type="dxa" w:w="120"/>
            </w:tcMar>
            <w:vAlign w:val="center"/>
          </w:tcPr>
          <w:p>
            <w:pPr>
              <w:pStyle w:val="MdTableCell"/>
            </w:pPr>
            <w:r>
              <w:t xml:space="preserve">Separate join, permission, and “camera live” states; never imply background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Unclear rights over images</w:t>
            </w:r>
          </w:p>
        </w:tc>
        <w:tc>
          <w:tcPr>
            <w:tcBorders>
              <w:right w:val="none"/>
            </w:tcBorders>
            <w:tcMar>
              <w:top w:type="dxa" w:w="80"/>
              <w:left w:type="dxa" w:w="120"/>
              <w:bottom w:type="dxa" w:w="80"/>
              <w:right w:type="dxa" w:w="120"/>
            </w:tcMar>
            <w:vAlign w:val="center"/>
          </w:tcPr>
          <w:p>
            <w:pPr>
              <w:pStyle w:val="MdTableCell"/>
            </w:pPr>
            <w:r>
              <w:t xml:space="preserve">Separate the service agreement, capture consent, and optional marketing/model release.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Excessive retention</w:t>
            </w:r>
          </w:p>
        </w:tc>
        <w:tc>
          <w:tcPr>
            <w:tcBorders>
              <w:right w:val="none"/>
            </w:tcBorders>
            <w:tcMar>
              <w:top w:type="dxa" w:w="80"/>
              <w:left w:type="dxa" w:w="120"/>
              <w:bottom w:type="dxa" w:w="80"/>
              <w:right w:type="dxa" w:w="120"/>
            </w:tcMar>
            <w:vAlign w:val="center"/>
          </w:tcPr>
          <w:p>
            <w:pPr>
              <w:pStyle w:val="MdTableCell"/>
            </w:pPr>
            <w:r>
              <w:t xml:space="preserve">Define a deletion date for raw captures, drafts, transcripts, and generated briefs.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Third-party handling</w:t>
            </w:r>
          </w:p>
        </w:tc>
        <w:tc>
          <w:tcPr>
            <w:tcBorders>
              <w:right w:val="none"/>
            </w:tcBorders>
            <w:tcMar>
              <w:top w:type="dxa" w:w="80"/>
              <w:left w:type="dxa" w:w="120"/>
              <w:bottom w:type="dxa" w:w="80"/>
              <w:right w:type="dxa" w:w="120"/>
            </w:tcMar>
            <w:vAlign w:val="center"/>
          </w:tcPr>
          <w:p>
            <w:pPr>
              <w:pStyle w:val="MdTableCell"/>
            </w:pPr>
            <w:r>
              <w:t xml:space="preserve">Record which provider stores what, where it is processed, and whether a DPA is available.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invents a visual identity</w:t>
            </w:r>
          </w:p>
        </w:tc>
        <w:tc>
          <w:tcPr>
            <w:tcBorders>
              <w:right w:val="none"/>
            </w:tcBorders>
            <w:tcMar>
              <w:top w:type="dxa" w:w="80"/>
              <w:left w:type="dxa" w:w="120"/>
              <w:bottom w:type="dxa" w:w="80"/>
              <w:right w:type="dxa" w:w="120"/>
            </w:tcMar>
            <w:vAlign w:val="center"/>
          </w:tcPr>
          <w:p>
            <w:pPr>
              <w:pStyle w:val="MdTableCell"/>
            </w:pPr>
            <w:r>
              <w:t xml:space="preserve">Require source traceability and photographer approval; ban unsupported personal inferences.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Sensitive inference</w:t>
            </w:r>
          </w:p>
        </w:tc>
        <w:tc>
          <w:tcPr>
            <w:tcBorders>
              <w:right w:val="none"/>
            </w:tcBorders>
            <w:tcMar>
              <w:top w:type="dxa" w:w="80"/>
              <w:left w:type="dxa" w:w="120"/>
              <w:bottom w:type="dxa" w:w="80"/>
              <w:right w:type="dxa" w:w="120"/>
            </w:tcMar>
            <w:vAlign w:val="center"/>
          </w:tcPr>
          <w:p>
            <w:pPr>
              <w:pStyle w:val="MdTableCell"/>
            </w:pPr>
            <w:r>
              <w:t xml:space="preserve">Do not perform facial recognition, identity verification, emotion recognition, or demographic 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Device failure</w:t>
            </w:r>
          </w:p>
        </w:tc>
        <w:tc>
          <w:tcPr>
            <w:tcBorders>
              <w:right w:val="none"/>
            </w:tcBorders>
            <w:tcMar>
              <w:top w:type="dxa" w:w="80"/>
              <w:left w:type="dxa" w:w="120"/>
              <w:bottom w:type="dxa" w:w="80"/>
              <w:right w:type="dxa" w:w="120"/>
            </w:tcMar>
            <w:vAlign w:val="center"/>
          </w:tcPr>
          <w:p>
            <w:pPr>
              <w:pStyle w:val="MdTableCell"/>
            </w:pPr>
            <w:r>
              <w:t xml:space="preserve">Run a preflight check for phone model, OS, storage, battery, bandwidth, permissions, and back-camera selection.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Automation weakens the human service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final brief is editable and cannot be released until the photographer approves it.</w:t>
            </w:r>
          </w:p>
        </w:tc>
      </w:tr>
    </w:tbl>
    <w:p>
      <w:pPr>
        <w:pStyle w:val="Heading2"/>
        <w:pStyle w:val="MdHeading2"/>
      </w:pPr>
      <w:r>
        <w:t xml:space="preserve">POC metrics and dashboard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Definition</w:t>
            </w:r>
          </w:p>
        </w:tc>
        <w:tc>
          <w:tcPr>
            <w:tcBorders>
              <w:right w:val="none"/>
            </w:tcBorders>
            <w:tcMar>
              <w:top w:type="dxa" w:w="100"/>
              <w:left w:type="dxa" w:w="120"/>
              <w:bottom w:type="dxa" w:w="100"/>
              <w:right w:type="dxa" w:w="120"/>
            </w:tcMar>
            <w:vAlign w:val="center"/>
          </w:tcPr>
          <w:p>
            <w:pPr>
              <w:pStyle w:val="MdTableHeader"/>
              <w:jc w:val="right"/>
            </w:pPr>
            <w:r>
              <w:t xml:space="preserve">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Preparation time reduction</w:t>
            </w:r>
          </w:p>
        </w:tc>
        <w:tc>
          <w:tcPr>
            <w:tcMar>
              <w:top w:type="dxa" w:w="80"/>
              <w:left w:type="dxa" w:w="120"/>
              <w:bottom w:type="dxa" w:w="80"/>
              <w:right w:type="dxa" w:w="120"/>
            </w:tcMar>
            <w:vAlign w:val="center"/>
          </w:tcPr>
          <w:p>
            <w:pPr>
              <w:pStyle w:val="MdTableCell"/>
            </w:pPr>
            <w:r>
              <w:rPr>
                <w:rStyle w:val="MdCode"/>
                <w:u w:val="single"/>
              </w:rPr>
              <w:t xml:space="preserve">(manual minutes − assisted minutes) / manual minutes</w:t>
            </w:r>
          </w:p>
        </w:tc>
        <w:tc>
          <w:tcPr>
            <w:tcBorders>
              <w:right w:val="none"/>
            </w:tcBorders>
            <w:tcMar>
              <w:top w:type="dxa" w:w="80"/>
              <w:left w:type="dxa" w:w="120"/>
              <w:bottom w:type="dxa" w:w="80"/>
              <w:right w:type="dxa" w:w="120"/>
            </w:tcMar>
            <w:vAlign w:val="center"/>
          </w:tcPr>
          <w:p>
            <w:pPr>
              <w:pStyle w:val="MdTableCell"/>
              <w:jc w:val="right"/>
            </w:pPr>
            <w:r>
              <w:rPr>
                <w:rStyle w:val="MdStrong"/>
                <w:b/>
                <w:bCs/>
              </w:rPr>
              <w:t xml:space="preserve">≥50%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Photographer usefulness</w:t>
            </w:r>
          </w:p>
        </w:tc>
        <w:tc>
          <w:tcPr>
            <w:tcMar>
              <w:top w:type="dxa" w:w="80"/>
              <w:left w:type="dxa" w:w="120"/>
              <w:bottom w:type="dxa" w:w="80"/>
              <w:right w:type="dxa" w:w="120"/>
            </w:tcMar>
            <w:vAlign w:val="center"/>
          </w:tcPr>
          <w:p>
            <w:pPr>
              <w:pStyle w:val="MdTableCell"/>
            </w:pPr>
            <w:r>
              <w:t xml:space="preserve">Rating of the first generated brief</w:t>
            </w:r>
          </w:p>
        </w:tc>
        <w:tc>
          <w:tcPr>
            <w:tcBorders>
              <w:right w:val="none"/>
            </w:tcBorders>
            <w:tcMar>
              <w:top w:type="dxa" w:w="80"/>
              <w:left w:type="dxa" w:w="120"/>
              <w:bottom w:type="dxa" w:w="80"/>
              <w:right w:type="dxa" w:w="120"/>
            </w:tcMar>
            <w:vAlign w:val="center"/>
          </w:tcPr>
          <w:p>
            <w:pPr>
              <w:pStyle w:val="MdTableCell"/>
              <w:jc w:val="right"/>
            </w:pPr>
            <w:r>
              <w:rPr>
                <w:rStyle w:val="MdStrong"/>
                <w:b/>
                <w:bCs/>
              </w:rPr>
              <w:t xml:space="preserve">≥4/5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Revision burden</w:t>
            </w:r>
          </w:p>
        </w:tc>
        <w:tc>
          <w:tcPr>
            <w:tcMar>
              <w:top w:type="dxa" w:w="80"/>
              <w:left w:type="dxa" w:w="120"/>
              <w:bottom w:type="dxa" w:w="80"/>
              <w:right w:type="dxa" w:w="120"/>
            </w:tcMar>
            <w:vAlign w:val="center"/>
          </w:tcPr>
          <w:p>
            <w:pPr>
              <w:pStyle w:val="MdTableCell"/>
            </w:pPr>
            <w:r>
              <w:t xml:space="preserve">Manual revision rounds before approval</w:t>
            </w:r>
          </w:p>
        </w:tc>
        <w:tc>
          <w:tcPr>
            <w:tcBorders>
              <w:right w:val="none"/>
            </w:tcBorders>
            <w:tcMar>
              <w:top w:type="dxa" w:w="80"/>
              <w:left w:type="dxa" w:w="120"/>
              <w:bottom w:type="dxa" w:w="80"/>
              <w:right w:type="dxa" w:w="120"/>
            </w:tcMar>
            <w:vAlign w:val="center"/>
          </w:tcPr>
          <w:p>
            <w:pPr>
              <w:pStyle w:val="MdTableCell"/>
              <w:jc w:val="right"/>
            </w:pPr>
            <w:r>
              <w:rPr>
                <w:rStyle w:val="MdStrong"/>
                <w:b/>
                <w:bCs/>
              </w:rP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Client readiness lift</w:t>
            </w:r>
          </w:p>
        </w:tc>
        <w:tc>
          <w:tcPr>
            <w:tcMar>
              <w:top w:type="dxa" w:w="80"/>
              <w:left w:type="dxa" w:w="120"/>
              <w:bottom w:type="dxa" w:w="80"/>
              <w:right w:type="dxa" w:w="120"/>
            </w:tcMar>
            <w:vAlign w:val="center"/>
          </w:tcPr>
          <w:p>
            <w:pPr>
              <w:pStyle w:val="MdTableCell"/>
            </w:pPr>
            <w:r>
              <w:t xml:space="preserve">Difference between pre-brief and post-brief readiness ratings</w:t>
            </w:r>
          </w:p>
        </w:tc>
        <w:tc>
          <w:tcPr>
            <w:tcBorders>
              <w:right w:val="none"/>
            </w:tcBorders>
            <w:tcMar>
              <w:top w:type="dxa" w:w="80"/>
              <w:left w:type="dxa" w:w="120"/>
              <w:bottom w:type="dxa" w:w="80"/>
              <w:right w:type="dxa" w:w="120"/>
            </w:tcMar>
            <w:vAlign w:val="center"/>
          </w:tcPr>
          <w:p>
            <w:pPr>
              <w:pStyle w:val="MdTableCell"/>
              <w:jc w:val="right"/>
            </w:pPr>
            <w:r>
              <w:rPr>
                <w:rStyle w:val="MdStrong"/>
                <w:b/>
                <w:bCs/>
              </w:rPr>
              <w:t xml:space="preserve">+1 point or more on a 5-point scale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Traceability</w:t>
            </w:r>
          </w:p>
        </w:tc>
        <w:tc>
          <w:tcPr>
            <w:tcBorders>
              <w:bottom w:val="single" w:color="E1E4E8" w:sz="4"/>
            </w:tcBorders>
            <w:tcMar>
              <w:top w:type="dxa" w:w="80"/>
              <w:left w:type="dxa" w:w="120"/>
              <w:bottom w:type="dxa" w:w="80"/>
              <w:right w:type="dxa" w:w="120"/>
            </w:tcMar>
            <w:vAlign w:val="center"/>
          </w:tcPr>
          <w:p>
            <w:pPr>
              <w:pStyle w:val="MdTableCell"/>
            </w:pPr>
            <w:r>
              <w:t xml:space="preserve">Recommendations tied to an explicit client input or MIRA diagnosis</w:t>
            </w:r>
          </w:p>
        </w:tc>
        <w:tc>
          <w:tcPr>
            <w:tcBorders>
              <w:bottom w:val="single" w:color="E1E4E8" w:sz="4"/>
              <w:right w:val="none"/>
            </w:tcBorders>
            <w:tcMar>
              <w:top w:type="dxa" w:w="80"/>
              <w:left w:type="dxa" w:w="120"/>
              <w:bottom w:type="dxa" w:w="80"/>
              <w:right w:type="dxa" w:w="120"/>
            </w:tcMar>
            <w:vAlign w:val="center"/>
          </w:tcPr>
          <w:p>
            <w:pPr>
              <w:pStyle w:val="MdTableCell"/>
              <w:jc w:val="right"/>
            </w:pPr>
            <w:r>
              <w:rPr>
                <w:rStyle w:val="MdStrong"/>
                <w:b/>
                <w:bCs/>
              </w:rPr>
              <w:t xml:space="preserve">≥90%</w:t>
            </w:r>
          </w:p>
        </w:tc>
      </w:tr>
    </w:tbl>
    <w:p>
      <w:pPr>
        <w:pStyle w:val="MdParagraph"/>
      </w:pPr>
      <w:r>
        <w:t xml:space="preserve">The POC should include several client types—such as a consultant, founder, creator, or executive—so the capstone does not claim a final target segment from one familiar audience. The best initial commercial segment should be chosen after comparing need frequency, willingness to pay, remote-service comfort, acquisition difficulty, and repeat-content demand.</w:t>
      </w:r>
    </w:p>
    <w:p>
      <w:pPr>
        <w:pStyle w:val="MdSpace"/>
        <w:spacing w:before="0" w:after="60"/>
      </w:pPr>
    </w:p>
    <w:p>
      <w:pPr>
        <w:pStyle w:val="Heading2"/>
        <w:pStyle w:val="MdHeading2"/>
      </w:pPr>
      <w:r>
        <w:t xml:space="preserve">Final recommendation</w:t>
      </w:r>
    </w:p>
    <w:p>
      <w:pPr>
        <w:pStyle w:val="MdParagraph"/>
      </w:pPr>
      <w:r>
        <w:t xml:space="preserve">Build </w:t>
      </w:r>
      <w:r>
        <w:rPr>
          <w:rStyle w:val="MdStrong"/>
          <w:b/>
          <w:bCs/>
        </w:rPr>
        <w:t xml:space="preserve">MIRA Shoot Compass</w:t>
      </w:r>
      <w:r>
        <w:t xml:space="preserve"> now. Present the remote-camera layer honestly and precisely: </w:t>
      </w:r>
      <w:r>
        <w:rPr>
          <w:rStyle w:val="MdStrong"/>
          <w:b/>
          <w:bCs/>
        </w:rPr>
        <w:t xml:space="preserve">the photographer remotely accesses and captures through the client’s phone back camera using CLOS or SHUTTER; this is not a remote trigger and not an AI-generated portrait.</w:t>
      </w:r>
      <w:r>
        <w:t xml:space="preserve"> Keep a branded browser camera demonstration as an optional second phase. Do not build a native camera platform until demand and third-party limitations are proven with real sessions.</w:t>
      </w:r>
    </w:p>
    <w:p>
      <w:pPr>
        <w:pStyle w:val="MdSpace"/>
        <w:spacing w:before="0" w:after="60"/>
      </w:pPr>
    </w:p>
    <w:p>
      <w:pPr>
        <w:pStyle w:val="MdParagraph"/>
      </w:pPr>
      <w:r>
        <w:t xml:space="preserve">The capstone story becomes simple and defensible:</w:t>
      </w:r>
    </w:p>
    <w:p>
      <w:pPr>
        <w:pStyle w:val="MdSpace"/>
        <w:spacing w:before="0" w:after="60"/>
      </w:pPr>
    </w:p>
    <w:p>
      <w:pPr>
        <w:pStyle w:val="MdBlockquote"/>
      </w:pPr>
      <w:r>
        <w:rPr>
          <w:rStyle w:val="MdStrong"/>
          <w:b/>
          <w:bCs/>
        </w:rPr>
        <w:t xml:space="preserve">MIRA converts verbal brand clarity into an executable remote-shoot plan. A human photographer approves the plan and creates the real photographs through the client’s back camera.</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i9lzicjzjl7iafhkkdt6" Type="http://schemas.openxmlformats.org/officeDocument/2006/relationships/hyperlink" Target="https://clos.vc/" TargetMode="External"/><Relationship Id="rIdzziz1uv_i4nwi_thar-8w" Type="http://schemas.openxmlformats.org/officeDocument/2006/relationships/hyperlink" Target="https://pages.theshutter.app/" TargetMode="External"/><Relationship Id="rIdx3ecz9x7l0eatvmjg9wc5" Type="http://schemas.openxmlformats.org/officeDocument/2006/relationships/hyperlink" Target="https://www.mariacavali.com/mira-about" TargetMode="External"/><Relationship Id="rIdj1hqnm8lwoofmqouzgrid" Type="http://schemas.openxmlformats.org/officeDocument/2006/relationships/hyperlink" Target="https://www.mariacavali.com/" TargetMode="External"/><Relationship Id="rIdxhmlljzzkd3mieg4hvu9q" Type="http://schemas.openxmlformats.org/officeDocument/2006/relationships/hyperlink" Target="https://clos.vc/" TargetMode="External"/><Relationship Id="rId4szwsmuoda4xbp_zcri7l" Type="http://schemas.openxmlformats.org/officeDocument/2006/relationships/hyperlink" Target="https://apps.apple.com/us/app/clos-virtual-photoshoot/id1509034647" TargetMode="External"/><Relationship Id="rIdj518veumwti7shgox_spu" Type="http://schemas.openxmlformats.org/officeDocument/2006/relationships/hyperlink" Target="https://apps.apple.com/us/app/shutter-app/id1506227129" TargetMode="External"/><Relationship Id="rIdyyylr2jws5evkytalsvyt" Type="http://schemas.openxmlformats.org/officeDocument/2006/relationships/hyperlink" Target="https://webrtc.org/getting-started/media-devices" TargetMode="External"/><Relationship Id="rIdv7aqoyy4bea9gntlzpe4m" Type="http://schemas.openxmlformats.org/officeDocument/2006/relationships/hyperlink" Target="https://developer.mozilla.org/en-US/docs/Web/API/MediaDevices/getUserMedia" TargetMode="External"/><Relationship Id="rIdmsabulagslb0jhawnkqbm" Type="http://schemas.openxmlformats.org/officeDocument/2006/relationships/hyperlink" Target="https://developer.apple.com/documentation/avfoundation/capture-setup" TargetMode="External"/><Relationship Id="rIdseqrqtchdbqf7ohlohvb1" Type="http://schemas.openxmlformats.org/officeDocument/2006/relationships/hyperlink" Target="https://developer.android.com/media/camera/camerax/architecture" TargetMode="External"/><Relationship Id="rIda-rddpolt8-ytnvt56dqr" Type="http://schemas.openxmlformats.org/officeDocument/2006/relationships/hyperlink" Target="https://livekit.com/pricing" TargetMode="External"/><Relationship Id="rIdg9nak_bra3i8r05fldu_m" Type="http://schemas.openxmlformats.org/officeDocument/2006/relationships/hyperlink" Target="https://www.daily.co/pricing/video-sdk/" TargetMode="External"/><Relationship Id="rIdobfzl0ohbsdmkdaw3naoh" Type="http://schemas.openxmlformats.org/officeDocument/2006/relationships/hyperlink" Target="https://www.twilio.com/en-us/video/pricing" TargetMode="External"/><Relationship Id="rIdqesshwu3zeumuo-rn5esb" Type="http://schemas.openxmlformats.org/officeDocument/2006/relationships/hyperlink" Target="https://developer.apple.com/support/compare-memberships/" TargetMode="External"/><Relationship Id="rIdt2xxjeyslyrhgza74cdlz" Type="http://schemas.openxmlformats.org/officeDocument/2006/relationships/hyperlink" Target="https://support.google.com/googleplay/android-developer/answer/6112435?hl=en" TargetMode="External"/><Relationship Id="rIdqigxsfas7tflsg1orhjgr" Type="http://schemas.openxmlformats.org/officeDocument/2006/relationships/hyperlink" Target="https://commission.europa.eu/law/law-topic/data-protection/data-protection-explained_en" TargetMode="External"/><Relationship Id="rIdy99r_fbvbtuuaomtxxv63" Type="http://schemas.openxmlformats.org/officeDocument/2006/relationships/hyperlink" Target="https://www.edpb.europa.eu/sme/learn-the-basics/data-protection-basics_en" TargetMode="External"/><Relationship Id="rId6" Type="http://schemas.openxmlformats.org/officeDocument/2006/relationships/image" Target="media/9d87847beade6a3062010f5af0ab8c4a54661258.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2026-09-03T23:14:19.261Z</dcterms:created>
  <dcterms:modified xsi:type="dcterms:W3CDTF">2026-09-03T23:14:19.262Z</dcterms:modified>
</cp:coreProperties>
</file>

<file path=docProps/custom.xml><?xml version="1.0" encoding="utf-8"?>
<Properties xmlns="http://schemas.openxmlformats.org/officeDocument/2006/custom-properties" xmlns:vt="http://schemas.openxmlformats.org/officeDocument/2006/docPropsVTypes"/>
</file>