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72DD" w14:textId="7EE00D0D" w:rsidR="00304772" w:rsidRDefault="00000000">
      <w:pPr>
        <w:jc w:val="center"/>
      </w:pPr>
      <w:r>
        <w:rPr>
          <w:b/>
          <w:sz w:val="30"/>
        </w:rPr>
        <w:t xml:space="preserve">Checked Reconstruction of Paper Variables from the </w:t>
      </w:r>
      <w:proofErr w:type="spellStart"/>
      <w:r>
        <w:rPr>
          <w:b/>
          <w:sz w:val="30"/>
        </w:rPr>
        <w:t>PediBIRN</w:t>
      </w:r>
      <w:proofErr w:type="spellEnd"/>
      <w:r>
        <w:rPr>
          <w:b/>
          <w:sz w:val="30"/>
        </w:rPr>
        <w:t xml:space="preserve"> Subset</w:t>
      </w:r>
    </w:p>
    <w:p w14:paraId="34214521" w14:textId="77777777" w:rsidR="00304772" w:rsidRDefault="00000000">
      <w:pPr>
        <w:jc w:val="center"/>
      </w:pPr>
      <w:r>
        <w:rPr>
          <w:i/>
          <w:sz w:val="21"/>
        </w:rPr>
        <w:t>Expanded version with exact source Q-items, formation rules, proxy status, variable type, and coding range.</w:t>
      </w:r>
    </w:p>
    <w:p w14:paraId="0AEA2451" w14:textId="77777777" w:rsidR="00304772" w:rsidRDefault="00000000">
      <w:r>
        <w:t>Workbook structure. The patient-level fields used below come from the sheets Eligible Control Patients and Eligible Intervention Patients. Unless otherwise noted, every source Q-item listed in the table is drawn from one or both of those two sheets.</w:t>
      </w:r>
    </w:p>
    <w:p w14:paraId="537FE7C1" w14:textId="77777777" w:rsidR="00304772" w:rsidRDefault="00000000">
      <w:r>
        <w:t>Important limitation. The least certain mappings remain the internal category coding needed for Q5.2.3 and the exact label-to-number mapping for the HIE depth and distribution items (Q4.4.13 and Q4.4.14), because the separate data-form legend was not provided.</w:t>
      </w:r>
    </w:p>
    <w:p w14:paraId="6CEAB705" w14:textId="77777777" w:rsidR="00304772" w:rsidRDefault="00000000">
      <w:r>
        <w:rPr>
          <w:b/>
          <w:sz w:val="24"/>
        </w:rPr>
        <w:t>Count of variables used in the paper</w:t>
      </w:r>
    </w:p>
    <w:p w14:paraId="037C27D7" w14:textId="77777777" w:rsidR="00304772" w:rsidRDefault="00000000">
      <w:pPr>
        <w:pStyle w:val="ListBullet"/>
      </w:pPr>
      <w:r>
        <w:t>The paper's analytic framework contains 19 named analysis variables in Table 1, plus 1 outcome variable (severe retinal injury), for 20 total variables in the analytic framework.</w:t>
      </w:r>
    </w:p>
    <w:p w14:paraId="4D1121AC" w14:textId="77777777" w:rsidR="00304772" w:rsidRDefault="00000000">
      <w:pPr>
        <w:pStyle w:val="ListBullet"/>
      </w:pPr>
      <w:r>
        <w:t>Of those 20 variables, 13 were entered as predictors in the multivariable logistic regression: abuse, age, respiratory compromise, circulatory compromise, seizure, altered consciousness, subarachnoid hemorrhage, contact subdural, inertial subdural, cortical brain injury, subcortical brain injury, focal HIE, and diffuse HIE.</w:t>
      </w:r>
    </w:p>
    <w:p w14:paraId="254590AA" w14:textId="77777777" w:rsidR="00304772" w:rsidRDefault="00000000">
      <w:pPr>
        <w:pStyle w:val="ListBullet"/>
      </w:pPr>
      <w:r>
        <w:t>The remaining named variables were additional derived variables used mainly in the mediation analyses: clinical hypoxia or ischemia, duration of altered consciousness, extra-axial blood, inertial injury, contact injury, and isolated inertial injury.</w:t>
      </w:r>
    </w:p>
    <w:p w14:paraId="78CB80AD" w14:textId="77777777" w:rsidR="00304772" w:rsidRDefault="00000000">
      <w:pPr>
        <w:pStyle w:val="ListBullet"/>
      </w:pPr>
      <w:r>
        <w:t>The paper separately states that the underlying PediBIRN patient records contained 38 raw data fields, from which the reported and derived analysis variables were created.</w:t>
      </w:r>
    </w:p>
    <w:p w14:paraId="32147285" w14:textId="77777777" w:rsidR="00304772" w:rsidRDefault="00000000">
      <w:r>
        <w:rPr>
          <w:b/>
          <w:sz w:val="24"/>
        </w:rPr>
        <w:t>How to read the table</w:t>
      </w:r>
    </w:p>
    <w:p w14:paraId="557A33F4" w14:textId="77777777" w:rsidR="00304772" w:rsidRDefault="00000000">
      <w:pPr>
        <w:pStyle w:val="ListBullet"/>
      </w:pPr>
      <w:r>
        <w:t>Proxy? indicates whether the paper treated the variable as an inferred proxy for a broader concept such as biomechanics, hypoxia / ischemia, or severity.</w:t>
      </w:r>
    </w:p>
    <w:p w14:paraId="4C27F719" w14:textId="77777777" w:rsidR="00304772" w:rsidRDefault="00000000">
      <w:pPr>
        <w:pStyle w:val="ListBullet"/>
      </w:pPr>
      <w:r>
        <w:t>Type distinguishes binary, ordinal, and continuous variables.</w:t>
      </w:r>
    </w:p>
    <w:p w14:paraId="343F63A8" w14:textId="77777777" w:rsidR="00304772" w:rsidRDefault="00000000">
      <w:pPr>
        <w:pStyle w:val="ListBullet"/>
      </w:pPr>
      <w:r>
        <w:t>Range reports the analytic coding range used for the created variable. For age, the observed range in the uploaded subset is reported.</w:t>
      </w:r>
    </w:p>
    <w:p w14:paraId="7EDEFB3F" w14:textId="77777777" w:rsidR="00304772" w:rsidRDefault="00000000">
      <w:pPr>
        <w:pStyle w:val="ListBullet"/>
      </w:pPr>
      <w:r>
        <w:t>The analytic sample restriction used for the retinal-injury analyses is listed first for completeness, but it is not counted among the 20 variables above.</w:t>
      </w:r>
    </w:p>
    <w:p w14:paraId="4B598A36" w14:textId="77777777" w:rsidR="00304772" w:rsidRDefault="00304772">
      <w:pPr>
        <w:sectPr w:rsidR="00304772">
          <w:pgSz w:w="12240" w:h="15840"/>
          <w:pgMar w:top="1080" w:right="1152" w:bottom="936" w:left="1152" w:header="720" w:footer="720" w:gutter="0"/>
          <w:cols w:space="720"/>
          <w:docGrid w:linePitch="360"/>
        </w:sectPr>
      </w:pPr>
    </w:p>
    <w:p w14:paraId="451809DE" w14:textId="77777777" w:rsidR="00304772" w:rsidRDefault="00000000">
      <w:r>
        <w:rPr>
          <w:b/>
          <w:sz w:val="24"/>
        </w:rPr>
        <w:lastRenderedPageBreak/>
        <w:t>Detailed variable table</w:t>
      </w:r>
    </w:p>
    <w:tbl>
      <w:tblPr>
        <w:tblStyle w:val="TableGrid"/>
        <w:tblW w:w="0" w:type="auto"/>
        <w:jc w:val="center"/>
        <w:tblLayout w:type="fixed"/>
        <w:tblLook w:val="04A0" w:firstRow="1" w:lastRow="0" w:firstColumn="1" w:lastColumn="0" w:noHBand="0" w:noVBand="1"/>
      </w:tblPr>
      <w:tblGrid>
        <w:gridCol w:w="1440"/>
        <w:gridCol w:w="1800"/>
        <w:gridCol w:w="4320"/>
        <w:gridCol w:w="2088"/>
        <w:gridCol w:w="864"/>
        <w:gridCol w:w="1152"/>
        <w:gridCol w:w="1224"/>
      </w:tblGrid>
      <w:tr w:rsidR="00304772" w14:paraId="72D3D2E2" w14:textId="77777777">
        <w:trPr>
          <w:tblHeader/>
          <w:jc w:val="center"/>
        </w:trPr>
        <w:tc>
          <w:tcPr>
            <w:tcW w:w="1440" w:type="dxa"/>
            <w:shd w:val="clear" w:color="auto" w:fill="D9EAF7"/>
            <w:vAlign w:val="center"/>
          </w:tcPr>
          <w:p w14:paraId="463F51BB" w14:textId="77777777" w:rsidR="00304772" w:rsidRDefault="00000000">
            <w:pPr>
              <w:jc w:val="center"/>
            </w:pPr>
            <w:r>
              <w:rPr>
                <w:b/>
                <w:sz w:val="17"/>
              </w:rPr>
              <w:t>Variable</w:t>
            </w:r>
          </w:p>
        </w:tc>
        <w:tc>
          <w:tcPr>
            <w:tcW w:w="1800" w:type="dxa"/>
            <w:shd w:val="clear" w:color="auto" w:fill="D9EAF7"/>
            <w:vAlign w:val="center"/>
          </w:tcPr>
          <w:p w14:paraId="062F42BC" w14:textId="77777777" w:rsidR="00304772" w:rsidRDefault="00000000">
            <w:pPr>
              <w:jc w:val="center"/>
            </w:pPr>
            <w:r>
              <w:rPr>
                <w:b/>
                <w:sz w:val="17"/>
              </w:rPr>
              <w:t>Source Q-item(s)</w:t>
            </w:r>
          </w:p>
        </w:tc>
        <w:tc>
          <w:tcPr>
            <w:tcW w:w="4320" w:type="dxa"/>
            <w:shd w:val="clear" w:color="auto" w:fill="D9EAF7"/>
            <w:vAlign w:val="center"/>
          </w:tcPr>
          <w:p w14:paraId="5E1FEAEE" w14:textId="77777777" w:rsidR="00304772" w:rsidRDefault="00000000">
            <w:pPr>
              <w:jc w:val="center"/>
            </w:pPr>
            <w:r>
              <w:rPr>
                <w:b/>
                <w:sz w:val="17"/>
              </w:rPr>
              <w:t>How the variable is formed from the source Q-item(s)</w:t>
            </w:r>
          </w:p>
        </w:tc>
        <w:tc>
          <w:tcPr>
            <w:tcW w:w="2088" w:type="dxa"/>
            <w:shd w:val="clear" w:color="auto" w:fill="D9EAF7"/>
            <w:vAlign w:val="center"/>
          </w:tcPr>
          <w:p w14:paraId="098494FD" w14:textId="77777777" w:rsidR="00304772" w:rsidRDefault="00000000">
            <w:pPr>
              <w:jc w:val="center"/>
            </w:pPr>
            <w:r>
              <w:rPr>
                <w:b/>
                <w:sz w:val="17"/>
              </w:rPr>
              <w:t>Description / analogy in the paper</w:t>
            </w:r>
          </w:p>
        </w:tc>
        <w:tc>
          <w:tcPr>
            <w:tcW w:w="864" w:type="dxa"/>
            <w:shd w:val="clear" w:color="auto" w:fill="D9EAF7"/>
            <w:vAlign w:val="center"/>
          </w:tcPr>
          <w:p w14:paraId="3E54704C" w14:textId="77777777" w:rsidR="00304772" w:rsidRDefault="00000000">
            <w:pPr>
              <w:jc w:val="center"/>
            </w:pPr>
            <w:r>
              <w:rPr>
                <w:b/>
                <w:sz w:val="17"/>
              </w:rPr>
              <w:t>Proxy?</w:t>
            </w:r>
          </w:p>
        </w:tc>
        <w:tc>
          <w:tcPr>
            <w:tcW w:w="1152" w:type="dxa"/>
            <w:shd w:val="clear" w:color="auto" w:fill="D9EAF7"/>
            <w:vAlign w:val="center"/>
          </w:tcPr>
          <w:p w14:paraId="4864EAE7" w14:textId="77777777" w:rsidR="00304772" w:rsidRDefault="00000000">
            <w:pPr>
              <w:jc w:val="center"/>
            </w:pPr>
            <w:r>
              <w:rPr>
                <w:b/>
                <w:sz w:val="17"/>
              </w:rPr>
              <w:t>Type</w:t>
            </w:r>
          </w:p>
        </w:tc>
        <w:tc>
          <w:tcPr>
            <w:tcW w:w="1224" w:type="dxa"/>
            <w:shd w:val="clear" w:color="auto" w:fill="D9EAF7"/>
            <w:vAlign w:val="center"/>
          </w:tcPr>
          <w:p w14:paraId="62946AD8" w14:textId="77777777" w:rsidR="00304772" w:rsidRDefault="00000000">
            <w:pPr>
              <w:jc w:val="center"/>
            </w:pPr>
            <w:r>
              <w:rPr>
                <w:b/>
                <w:sz w:val="17"/>
              </w:rPr>
              <w:t>Range</w:t>
            </w:r>
          </w:p>
        </w:tc>
      </w:tr>
      <w:tr w:rsidR="00304772" w14:paraId="5B2F55FF" w14:textId="77777777">
        <w:trPr>
          <w:cantSplit/>
          <w:jc w:val="center"/>
        </w:trPr>
        <w:tc>
          <w:tcPr>
            <w:tcW w:w="1440" w:type="dxa"/>
            <w:shd w:val="clear" w:color="auto" w:fill="F3F6F9"/>
            <w:vAlign w:val="center"/>
          </w:tcPr>
          <w:p w14:paraId="434E0FF4" w14:textId="77777777" w:rsidR="00304772" w:rsidRDefault="00000000">
            <w:r>
              <w:rPr>
                <w:sz w:val="16"/>
              </w:rPr>
              <w:t>Analytic sample restriction</w:t>
            </w:r>
            <w:r>
              <w:rPr>
                <w:sz w:val="16"/>
              </w:rPr>
              <w:br/>
              <w:t>(not counted in the 20-variable total)</w:t>
            </w:r>
          </w:p>
        </w:tc>
        <w:tc>
          <w:tcPr>
            <w:tcW w:w="1800" w:type="dxa"/>
            <w:shd w:val="clear" w:color="auto" w:fill="F3F6F9"/>
            <w:vAlign w:val="center"/>
          </w:tcPr>
          <w:p w14:paraId="24C6D40A" w14:textId="77777777" w:rsidR="00304772" w:rsidRDefault="00000000">
            <w:r>
              <w:rPr>
                <w:sz w:val="16"/>
              </w:rPr>
              <w:t>Q5.3.1.10</w:t>
            </w:r>
          </w:p>
        </w:tc>
        <w:tc>
          <w:tcPr>
            <w:tcW w:w="4320" w:type="dxa"/>
            <w:shd w:val="clear" w:color="auto" w:fill="F3F6F9"/>
            <w:vAlign w:val="center"/>
          </w:tcPr>
          <w:p w14:paraId="7AC159A6" w14:textId="77777777" w:rsidR="00304772" w:rsidRDefault="00000000">
            <w:r>
              <w:rPr>
                <w:sz w:val="15"/>
              </w:rPr>
              <w:t>Restrict the retinal-injury analyses to children with a documented ophthalmology evaluation (Q5.3.1.10 = 1).</w:t>
            </w:r>
          </w:p>
        </w:tc>
        <w:tc>
          <w:tcPr>
            <w:tcW w:w="2088" w:type="dxa"/>
            <w:shd w:val="clear" w:color="auto" w:fill="F3F6F9"/>
            <w:vAlign w:val="center"/>
          </w:tcPr>
          <w:p w14:paraId="66992339" w14:textId="77777777" w:rsidR="00304772" w:rsidRDefault="00000000">
            <w:r>
              <w:rPr>
                <w:sz w:val="15"/>
              </w:rPr>
              <w:t>Sample-selection rule for the retinal-injury analyses.</w:t>
            </w:r>
          </w:p>
        </w:tc>
        <w:tc>
          <w:tcPr>
            <w:tcW w:w="864" w:type="dxa"/>
            <w:shd w:val="clear" w:color="auto" w:fill="F3F6F9"/>
            <w:vAlign w:val="center"/>
          </w:tcPr>
          <w:p w14:paraId="1BE92D88" w14:textId="77777777" w:rsidR="00304772" w:rsidRDefault="00000000">
            <w:r>
              <w:rPr>
                <w:sz w:val="16"/>
              </w:rPr>
              <w:t>No</w:t>
            </w:r>
          </w:p>
        </w:tc>
        <w:tc>
          <w:tcPr>
            <w:tcW w:w="1152" w:type="dxa"/>
            <w:shd w:val="clear" w:color="auto" w:fill="F3F6F9"/>
            <w:vAlign w:val="center"/>
          </w:tcPr>
          <w:p w14:paraId="5B847C7E" w14:textId="77777777" w:rsidR="00304772" w:rsidRDefault="00000000">
            <w:r>
              <w:rPr>
                <w:sz w:val="16"/>
              </w:rPr>
              <w:t>Binary inclusion filter</w:t>
            </w:r>
          </w:p>
        </w:tc>
        <w:tc>
          <w:tcPr>
            <w:tcW w:w="1224" w:type="dxa"/>
            <w:shd w:val="clear" w:color="auto" w:fill="F3F6F9"/>
            <w:vAlign w:val="center"/>
          </w:tcPr>
          <w:p w14:paraId="04A8CF8F" w14:textId="77777777" w:rsidR="00304772" w:rsidRDefault="00000000">
            <w:r>
              <w:rPr>
                <w:sz w:val="16"/>
              </w:rPr>
              <w:t>0/1</w:t>
            </w:r>
          </w:p>
        </w:tc>
      </w:tr>
      <w:tr w:rsidR="00304772" w14:paraId="428EAEBB" w14:textId="77777777">
        <w:trPr>
          <w:cantSplit/>
          <w:jc w:val="center"/>
        </w:trPr>
        <w:tc>
          <w:tcPr>
            <w:tcW w:w="1440" w:type="dxa"/>
            <w:vAlign w:val="center"/>
          </w:tcPr>
          <w:p w14:paraId="4203088E" w14:textId="77777777" w:rsidR="00304772" w:rsidRDefault="00000000">
            <w:r>
              <w:rPr>
                <w:sz w:val="16"/>
              </w:rPr>
              <w:t>Severe retinal injury</w:t>
            </w:r>
          </w:p>
        </w:tc>
        <w:tc>
          <w:tcPr>
            <w:tcW w:w="1800" w:type="dxa"/>
            <w:vAlign w:val="center"/>
          </w:tcPr>
          <w:p w14:paraId="096BFF2A" w14:textId="77777777" w:rsidR="00304772" w:rsidRDefault="00000000">
            <w:r>
              <w:rPr>
                <w:sz w:val="16"/>
              </w:rPr>
              <w:t>Q5.3.2.8; Q5.3.2.9</w:t>
            </w:r>
            <w:r>
              <w:rPr>
                <w:sz w:val="16"/>
              </w:rPr>
              <w:br/>
              <w:t>(analysis restricted to Q5.3.1.10 = 1)</w:t>
            </w:r>
          </w:p>
        </w:tc>
        <w:tc>
          <w:tcPr>
            <w:tcW w:w="4320" w:type="dxa"/>
            <w:vAlign w:val="center"/>
          </w:tcPr>
          <w:p w14:paraId="0F289DFE" w14:textId="77777777" w:rsidR="00304772" w:rsidRDefault="00000000">
            <w:r>
              <w:rPr>
                <w:sz w:val="15"/>
              </w:rPr>
              <w:t>Code 1 if retinoschisis is confirmed by an ophthalmologist (Q5.3.2.8 = 1) OR severe retinal hemorrhage is recorded (Q5.3.2.9 = 1). Code 0 otherwise, among children with a documented ophthalmology evaluation (Q5.3.1.10 = 1).</w:t>
            </w:r>
          </w:p>
        </w:tc>
        <w:tc>
          <w:tcPr>
            <w:tcW w:w="2088" w:type="dxa"/>
            <w:vAlign w:val="center"/>
          </w:tcPr>
          <w:p w14:paraId="2441C170" w14:textId="77777777" w:rsidR="00304772" w:rsidRDefault="00000000">
            <w:r>
              <w:rPr>
                <w:sz w:val="15"/>
              </w:rPr>
              <w:t>Main outcome. Severe ophthalmologic injury used as the paper's dependent variable.</w:t>
            </w:r>
          </w:p>
        </w:tc>
        <w:tc>
          <w:tcPr>
            <w:tcW w:w="864" w:type="dxa"/>
            <w:vAlign w:val="center"/>
          </w:tcPr>
          <w:p w14:paraId="09A6A6F4" w14:textId="77777777" w:rsidR="00304772" w:rsidRDefault="00000000">
            <w:r>
              <w:rPr>
                <w:sz w:val="16"/>
              </w:rPr>
              <w:t>No</w:t>
            </w:r>
          </w:p>
        </w:tc>
        <w:tc>
          <w:tcPr>
            <w:tcW w:w="1152" w:type="dxa"/>
            <w:vAlign w:val="center"/>
          </w:tcPr>
          <w:p w14:paraId="595F9A22" w14:textId="77777777" w:rsidR="00304772" w:rsidRDefault="00000000">
            <w:r>
              <w:rPr>
                <w:sz w:val="16"/>
              </w:rPr>
              <w:t>Binary categorical</w:t>
            </w:r>
          </w:p>
        </w:tc>
        <w:tc>
          <w:tcPr>
            <w:tcW w:w="1224" w:type="dxa"/>
            <w:vAlign w:val="center"/>
          </w:tcPr>
          <w:p w14:paraId="43A8ECBC" w14:textId="77777777" w:rsidR="00304772" w:rsidRDefault="00000000">
            <w:r>
              <w:rPr>
                <w:sz w:val="16"/>
              </w:rPr>
              <w:t>0/1</w:t>
            </w:r>
          </w:p>
        </w:tc>
      </w:tr>
      <w:tr w:rsidR="00304772" w14:paraId="5CBC0E5E" w14:textId="77777777">
        <w:trPr>
          <w:cantSplit/>
          <w:jc w:val="center"/>
        </w:trPr>
        <w:tc>
          <w:tcPr>
            <w:tcW w:w="1440" w:type="dxa"/>
            <w:vAlign w:val="center"/>
          </w:tcPr>
          <w:p w14:paraId="76D20BE1" w14:textId="77777777" w:rsidR="00304772" w:rsidRDefault="00000000">
            <w:r>
              <w:rPr>
                <w:sz w:val="16"/>
              </w:rPr>
              <w:t>Abuse / abusive head trauma</w:t>
            </w:r>
          </w:p>
        </w:tc>
        <w:tc>
          <w:tcPr>
            <w:tcW w:w="1800" w:type="dxa"/>
            <w:vAlign w:val="center"/>
          </w:tcPr>
          <w:p w14:paraId="731EAFAB" w14:textId="77777777" w:rsidR="00304772" w:rsidRDefault="00000000">
            <w:r>
              <w:rPr>
                <w:sz w:val="16"/>
              </w:rPr>
              <w:t>Q5.2.1; Q5.2.3; Q5.2.5; Q5.2.6; Q5.3.2.1; Q5.3.2.2; Q5.3.2.3; Q5.3.2.4; Q5.3.2.5; Q4.3.5; Q5.3.2.7</w:t>
            </w:r>
          </w:p>
        </w:tc>
        <w:tc>
          <w:tcPr>
            <w:tcW w:w="4320" w:type="dxa"/>
            <w:vAlign w:val="center"/>
          </w:tcPr>
          <w:p w14:paraId="7B4639C4" w14:textId="77777777" w:rsidR="00304772" w:rsidRDefault="00000000">
            <w:r>
              <w:rPr>
                <w:sz w:val="15"/>
              </w:rPr>
              <w:t>Study-defined composite. Code 1 if any a priori abuse criterion is met: independent witness to abusive event, caregiver admission / denial pattern, historically inconsistent accidental explanation, or count of suspicious injuries &gt;= 2. Suspicious injuries are CML/epiphyseal separation, rib fracture, scapula/sternum fracture, digit fracture, vertebral injury, scald burn, and intra-abdominal injury. Exact mapping of the categorical response options inside Q5.2.3 is inferred because the workbook does not include the separate form legend.</w:t>
            </w:r>
          </w:p>
        </w:tc>
        <w:tc>
          <w:tcPr>
            <w:tcW w:w="2088" w:type="dxa"/>
            <w:vAlign w:val="center"/>
          </w:tcPr>
          <w:p w14:paraId="5022FDC7" w14:textId="77777777" w:rsidR="00304772" w:rsidRDefault="00000000">
            <w:r>
              <w:rPr>
                <w:sz w:val="15"/>
              </w:rPr>
              <w:t>Composite study classification for abusive head trauma. Not a single raw field.</w:t>
            </w:r>
          </w:p>
        </w:tc>
        <w:tc>
          <w:tcPr>
            <w:tcW w:w="864" w:type="dxa"/>
            <w:vAlign w:val="center"/>
          </w:tcPr>
          <w:p w14:paraId="696E9295" w14:textId="77777777" w:rsidR="00304772" w:rsidRDefault="00000000">
            <w:r>
              <w:rPr>
                <w:sz w:val="16"/>
              </w:rPr>
              <w:t>No</w:t>
            </w:r>
            <w:r>
              <w:rPr>
                <w:sz w:val="16"/>
              </w:rPr>
              <w:br/>
              <w:t>(composite classification)</w:t>
            </w:r>
          </w:p>
        </w:tc>
        <w:tc>
          <w:tcPr>
            <w:tcW w:w="1152" w:type="dxa"/>
            <w:vAlign w:val="center"/>
          </w:tcPr>
          <w:p w14:paraId="51FA4F6B" w14:textId="77777777" w:rsidR="00304772" w:rsidRDefault="00000000">
            <w:r>
              <w:rPr>
                <w:sz w:val="16"/>
              </w:rPr>
              <w:t>Binary categorical</w:t>
            </w:r>
          </w:p>
        </w:tc>
        <w:tc>
          <w:tcPr>
            <w:tcW w:w="1224" w:type="dxa"/>
            <w:vAlign w:val="center"/>
          </w:tcPr>
          <w:p w14:paraId="0AC5AE4A" w14:textId="77777777" w:rsidR="00304772" w:rsidRDefault="00000000">
            <w:r>
              <w:rPr>
                <w:sz w:val="16"/>
              </w:rPr>
              <w:t>0/1</w:t>
            </w:r>
          </w:p>
        </w:tc>
      </w:tr>
      <w:tr w:rsidR="00304772" w14:paraId="706C7A7A" w14:textId="77777777">
        <w:trPr>
          <w:cantSplit/>
          <w:jc w:val="center"/>
        </w:trPr>
        <w:tc>
          <w:tcPr>
            <w:tcW w:w="1440" w:type="dxa"/>
            <w:vAlign w:val="center"/>
          </w:tcPr>
          <w:p w14:paraId="358022E9" w14:textId="77777777" w:rsidR="00304772" w:rsidRDefault="00000000">
            <w:r>
              <w:rPr>
                <w:sz w:val="16"/>
              </w:rPr>
              <w:t>Age</w:t>
            </w:r>
          </w:p>
        </w:tc>
        <w:tc>
          <w:tcPr>
            <w:tcW w:w="1800" w:type="dxa"/>
            <w:vAlign w:val="center"/>
          </w:tcPr>
          <w:p w14:paraId="0FC81AAA" w14:textId="77777777" w:rsidR="00304772" w:rsidRDefault="00000000">
            <w:r>
              <w:rPr>
                <w:sz w:val="16"/>
              </w:rPr>
              <w:t>Q2.3.1</w:t>
            </w:r>
          </w:p>
        </w:tc>
        <w:tc>
          <w:tcPr>
            <w:tcW w:w="4320" w:type="dxa"/>
            <w:vAlign w:val="center"/>
          </w:tcPr>
          <w:p w14:paraId="0AB3B351" w14:textId="77777777" w:rsidR="00304772" w:rsidRDefault="00000000">
            <w:r>
              <w:rPr>
                <w:sz w:val="15"/>
              </w:rPr>
              <w:t>Use the child's age in months at admission directly from the raw field.</w:t>
            </w:r>
          </w:p>
        </w:tc>
        <w:tc>
          <w:tcPr>
            <w:tcW w:w="2088" w:type="dxa"/>
            <w:vAlign w:val="center"/>
          </w:tcPr>
          <w:p w14:paraId="2AF2EFD0" w14:textId="77777777" w:rsidR="00304772" w:rsidRDefault="00000000">
            <w:r>
              <w:rPr>
                <w:sz w:val="15"/>
              </w:rPr>
              <w:t>Child age in months at presentation.</w:t>
            </w:r>
          </w:p>
        </w:tc>
        <w:tc>
          <w:tcPr>
            <w:tcW w:w="864" w:type="dxa"/>
            <w:vAlign w:val="center"/>
          </w:tcPr>
          <w:p w14:paraId="44E6B9AE" w14:textId="77777777" w:rsidR="00304772" w:rsidRDefault="00000000">
            <w:r>
              <w:rPr>
                <w:sz w:val="16"/>
              </w:rPr>
              <w:t>No</w:t>
            </w:r>
          </w:p>
        </w:tc>
        <w:tc>
          <w:tcPr>
            <w:tcW w:w="1152" w:type="dxa"/>
            <w:vAlign w:val="center"/>
          </w:tcPr>
          <w:p w14:paraId="626E2E1D" w14:textId="77777777" w:rsidR="00304772" w:rsidRDefault="00000000">
            <w:r>
              <w:rPr>
                <w:sz w:val="16"/>
              </w:rPr>
              <w:t>Continuous numeric</w:t>
            </w:r>
          </w:p>
        </w:tc>
        <w:tc>
          <w:tcPr>
            <w:tcW w:w="1224" w:type="dxa"/>
            <w:vAlign w:val="center"/>
          </w:tcPr>
          <w:p w14:paraId="37EBE993" w14:textId="77777777" w:rsidR="00304772" w:rsidRDefault="00000000">
            <w:r>
              <w:rPr>
                <w:sz w:val="16"/>
              </w:rPr>
              <w:t>Observed 0-36 months in uploaded subset</w:t>
            </w:r>
          </w:p>
        </w:tc>
      </w:tr>
      <w:tr w:rsidR="00304772" w14:paraId="6B39534F" w14:textId="77777777">
        <w:trPr>
          <w:cantSplit/>
          <w:jc w:val="center"/>
        </w:trPr>
        <w:tc>
          <w:tcPr>
            <w:tcW w:w="1440" w:type="dxa"/>
            <w:vAlign w:val="center"/>
          </w:tcPr>
          <w:p w14:paraId="0CA37E81" w14:textId="77777777" w:rsidR="00304772" w:rsidRDefault="00000000">
            <w:r>
              <w:rPr>
                <w:sz w:val="16"/>
              </w:rPr>
              <w:t>Respiratory compromise</w:t>
            </w:r>
          </w:p>
        </w:tc>
        <w:tc>
          <w:tcPr>
            <w:tcW w:w="1800" w:type="dxa"/>
            <w:vAlign w:val="center"/>
          </w:tcPr>
          <w:p w14:paraId="7738C8CB" w14:textId="77777777" w:rsidR="00304772" w:rsidRDefault="00000000">
            <w:r>
              <w:rPr>
                <w:sz w:val="16"/>
              </w:rPr>
              <w:t>Q4.2.1</w:t>
            </w:r>
          </w:p>
        </w:tc>
        <w:tc>
          <w:tcPr>
            <w:tcW w:w="4320" w:type="dxa"/>
            <w:vAlign w:val="center"/>
          </w:tcPr>
          <w:p w14:paraId="587BFAD9" w14:textId="77777777" w:rsidR="00304772" w:rsidRDefault="00000000">
            <w:r>
              <w:rPr>
                <w:sz w:val="15"/>
              </w:rPr>
              <w:t>Direct carry from the indicator for clinically significant respiratory compromise before hospital admission.</w:t>
            </w:r>
          </w:p>
        </w:tc>
        <w:tc>
          <w:tcPr>
            <w:tcW w:w="2088" w:type="dxa"/>
            <w:vAlign w:val="center"/>
          </w:tcPr>
          <w:p w14:paraId="27532E46" w14:textId="77777777" w:rsidR="00304772" w:rsidRDefault="00000000">
            <w:r>
              <w:rPr>
                <w:sz w:val="15"/>
              </w:rPr>
              <w:t>Need for respiratory support before ED arrival.</w:t>
            </w:r>
          </w:p>
        </w:tc>
        <w:tc>
          <w:tcPr>
            <w:tcW w:w="864" w:type="dxa"/>
            <w:vAlign w:val="center"/>
          </w:tcPr>
          <w:p w14:paraId="3D230C4C" w14:textId="77777777" w:rsidR="00304772" w:rsidRDefault="00000000">
            <w:r>
              <w:rPr>
                <w:sz w:val="16"/>
              </w:rPr>
              <w:t>No</w:t>
            </w:r>
          </w:p>
        </w:tc>
        <w:tc>
          <w:tcPr>
            <w:tcW w:w="1152" w:type="dxa"/>
            <w:vAlign w:val="center"/>
          </w:tcPr>
          <w:p w14:paraId="049B836C" w14:textId="77777777" w:rsidR="00304772" w:rsidRDefault="00000000">
            <w:r>
              <w:rPr>
                <w:sz w:val="16"/>
              </w:rPr>
              <w:t>Binary categorical</w:t>
            </w:r>
          </w:p>
        </w:tc>
        <w:tc>
          <w:tcPr>
            <w:tcW w:w="1224" w:type="dxa"/>
            <w:vAlign w:val="center"/>
          </w:tcPr>
          <w:p w14:paraId="5D0D8878" w14:textId="77777777" w:rsidR="00304772" w:rsidRDefault="00000000">
            <w:r>
              <w:rPr>
                <w:sz w:val="16"/>
              </w:rPr>
              <w:t>0/1</w:t>
            </w:r>
          </w:p>
        </w:tc>
      </w:tr>
      <w:tr w:rsidR="00304772" w14:paraId="3F6D2C33" w14:textId="77777777">
        <w:trPr>
          <w:cantSplit/>
          <w:jc w:val="center"/>
        </w:trPr>
        <w:tc>
          <w:tcPr>
            <w:tcW w:w="1440" w:type="dxa"/>
            <w:vAlign w:val="center"/>
          </w:tcPr>
          <w:p w14:paraId="113DF73C" w14:textId="77777777" w:rsidR="00304772" w:rsidRDefault="00000000">
            <w:r>
              <w:rPr>
                <w:sz w:val="16"/>
              </w:rPr>
              <w:t>Circulatory compromise</w:t>
            </w:r>
          </w:p>
        </w:tc>
        <w:tc>
          <w:tcPr>
            <w:tcW w:w="1800" w:type="dxa"/>
            <w:vAlign w:val="center"/>
          </w:tcPr>
          <w:p w14:paraId="1142841A" w14:textId="77777777" w:rsidR="00304772" w:rsidRDefault="00000000">
            <w:r>
              <w:rPr>
                <w:sz w:val="16"/>
              </w:rPr>
              <w:t>Q4.2.2</w:t>
            </w:r>
          </w:p>
        </w:tc>
        <w:tc>
          <w:tcPr>
            <w:tcW w:w="4320" w:type="dxa"/>
            <w:vAlign w:val="center"/>
          </w:tcPr>
          <w:p w14:paraId="3FD2A1FA" w14:textId="77777777" w:rsidR="00304772" w:rsidRDefault="00000000">
            <w:r>
              <w:rPr>
                <w:sz w:val="15"/>
              </w:rPr>
              <w:t>Direct carry from the indicator for clinically significant circulatory compromise before hospital admission.</w:t>
            </w:r>
          </w:p>
        </w:tc>
        <w:tc>
          <w:tcPr>
            <w:tcW w:w="2088" w:type="dxa"/>
            <w:vAlign w:val="center"/>
          </w:tcPr>
          <w:p w14:paraId="0E9CC712" w14:textId="77777777" w:rsidR="00304772" w:rsidRDefault="00000000">
            <w:r>
              <w:rPr>
                <w:sz w:val="15"/>
              </w:rPr>
              <w:t>Need for circulatory support before ED arrival.</w:t>
            </w:r>
          </w:p>
        </w:tc>
        <w:tc>
          <w:tcPr>
            <w:tcW w:w="864" w:type="dxa"/>
            <w:vAlign w:val="center"/>
          </w:tcPr>
          <w:p w14:paraId="2F8DA973" w14:textId="77777777" w:rsidR="00304772" w:rsidRDefault="00000000">
            <w:r>
              <w:rPr>
                <w:sz w:val="16"/>
              </w:rPr>
              <w:t>No</w:t>
            </w:r>
          </w:p>
        </w:tc>
        <w:tc>
          <w:tcPr>
            <w:tcW w:w="1152" w:type="dxa"/>
            <w:vAlign w:val="center"/>
          </w:tcPr>
          <w:p w14:paraId="68AA652F" w14:textId="77777777" w:rsidR="00304772" w:rsidRDefault="00000000">
            <w:r>
              <w:rPr>
                <w:sz w:val="16"/>
              </w:rPr>
              <w:t>Binary categorical</w:t>
            </w:r>
          </w:p>
        </w:tc>
        <w:tc>
          <w:tcPr>
            <w:tcW w:w="1224" w:type="dxa"/>
            <w:vAlign w:val="center"/>
          </w:tcPr>
          <w:p w14:paraId="6BF8B60E" w14:textId="77777777" w:rsidR="00304772" w:rsidRDefault="00000000">
            <w:r>
              <w:rPr>
                <w:sz w:val="16"/>
              </w:rPr>
              <w:t>0/1</w:t>
            </w:r>
          </w:p>
        </w:tc>
      </w:tr>
      <w:tr w:rsidR="00304772" w14:paraId="5C75CCE2" w14:textId="77777777">
        <w:trPr>
          <w:cantSplit/>
          <w:jc w:val="center"/>
        </w:trPr>
        <w:tc>
          <w:tcPr>
            <w:tcW w:w="1440" w:type="dxa"/>
            <w:vAlign w:val="center"/>
          </w:tcPr>
          <w:p w14:paraId="5A4576C5" w14:textId="77777777" w:rsidR="00304772" w:rsidRDefault="00000000">
            <w:r>
              <w:rPr>
                <w:sz w:val="16"/>
              </w:rPr>
              <w:t>Clinical hypoxia or ischemia</w:t>
            </w:r>
          </w:p>
        </w:tc>
        <w:tc>
          <w:tcPr>
            <w:tcW w:w="1800" w:type="dxa"/>
            <w:vAlign w:val="center"/>
          </w:tcPr>
          <w:p w14:paraId="35EA4007" w14:textId="77777777" w:rsidR="00304772" w:rsidRDefault="00000000">
            <w:r>
              <w:rPr>
                <w:sz w:val="16"/>
              </w:rPr>
              <w:t>Q4.2.1; Q4.2.2</w:t>
            </w:r>
          </w:p>
        </w:tc>
        <w:tc>
          <w:tcPr>
            <w:tcW w:w="4320" w:type="dxa"/>
            <w:vAlign w:val="center"/>
          </w:tcPr>
          <w:p w14:paraId="76A72BEC" w14:textId="77777777" w:rsidR="00304772" w:rsidRDefault="00000000">
            <w:r>
              <w:rPr>
                <w:sz w:val="15"/>
              </w:rPr>
              <w:t>Code 1 if respiratory compromise is present (Q4.2.1 = 1) OR circulatory compromise is present (Q4.2.2 = 1).</w:t>
            </w:r>
          </w:p>
        </w:tc>
        <w:tc>
          <w:tcPr>
            <w:tcW w:w="2088" w:type="dxa"/>
            <w:vAlign w:val="center"/>
          </w:tcPr>
          <w:p w14:paraId="064D05B5" w14:textId="77777777" w:rsidR="00304772" w:rsidRDefault="00000000">
            <w:r>
              <w:rPr>
                <w:sz w:val="15"/>
              </w:rPr>
              <w:t>Combined indicator of a hypoxic / ischemic clinical challenge.</w:t>
            </w:r>
          </w:p>
        </w:tc>
        <w:tc>
          <w:tcPr>
            <w:tcW w:w="864" w:type="dxa"/>
            <w:vAlign w:val="center"/>
          </w:tcPr>
          <w:p w14:paraId="53E0A5BA" w14:textId="77777777" w:rsidR="00304772" w:rsidRDefault="00000000">
            <w:r>
              <w:rPr>
                <w:sz w:val="16"/>
              </w:rPr>
              <w:t>Yes</w:t>
            </w:r>
          </w:p>
        </w:tc>
        <w:tc>
          <w:tcPr>
            <w:tcW w:w="1152" w:type="dxa"/>
            <w:vAlign w:val="center"/>
          </w:tcPr>
          <w:p w14:paraId="6C42BA84" w14:textId="77777777" w:rsidR="00304772" w:rsidRDefault="00000000">
            <w:r>
              <w:rPr>
                <w:sz w:val="16"/>
              </w:rPr>
              <w:t>Binary categorical</w:t>
            </w:r>
          </w:p>
        </w:tc>
        <w:tc>
          <w:tcPr>
            <w:tcW w:w="1224" w:type="dxa"/>
            <w:vAlign w:val="center"/>
          </w:tcPr>
          <w:p w14:paraId="56FA5403" w14:textId="77777777" w:rsidR="00304772" w:rsidRDefault="00000000">
            <w:r>
              <w:rPr>
                <w:sz w:val="16"/>
              </w:rPr>
              <w:t>0/1</w:t>
            </w:r>
          </w:p>
        </w:tc>
      </w:tr>
      <w:tr w:rsidR="00304772" w14:paraId="5103F951" w14:textId="77777777">
        <w:trPr>
          <w:cantSplit/>
          <w:jc w:val="center"/>
        </w:trPr>
        <w:tc>
          <w:tcPr>
            <w:tcW w:w="1440" w:type="dxa"/>
            <w:vAlign w:val="center"/>
          </w:tcPr>
          <w:p w14:paraId="2E41D31E" w14:textId="77777777" w:rsidR="00304772" w:rsidRDefault="00000000">
            <w:r>
              <w:rPr>
                <w:sz w:val="16"/>
              </w:rPr>
              <w:t>Seizure</w:t>
            </w:r>
          </w:p>
        </w:tc>
        <w:tc>
          <w:tcPr>
            <w:tcW w:w="1800" w:type="dxa"/>
            <w:vAlign w:val="center"/>
          </w:tcPr>
          <w:p w14:paraId="2E4CF7A6" w14:textId="77777777" w:rsidR="00304772" w:rsidRDefault="00000000">
            <w:r>
              <w:rPr>
                <w:sz w:val="16"/>
              </w:rPr>
              <w:t>Q4.2.3</w:t>
            </w:r>
          </w:p>
        </w:tc>
        <w:tc>
          <w:tcPr>
            <w:tcW w:w="4320" w:type="dxa"/>
            <w:vAlign w:val="center"/>
          </w:tcPr>
          <w:p w14:paraId="59C5554C" w14:textId="77777777" w:rsidR="00304772" w:rsidRDefault="00000000">
            <w:r>
              <w:rPr>
                <w:sz w:val="15"/>
              </w:rPr>
              <w:t>Direct carry from the seizure indicator.</w:t>
            </w:r>
          </w:p>
        </w:tc>
        <w:tc>
          <w:tcPr>
            <w:tcW w:w="2088" w:type="dxa"/>
            <w:vAlign w:val="center"/>
          </w:tcPr>
          <w:p w14:paraId="02663515" w14:textId="77777777" w:rsidR="00304772" w:rsidRDefault="00000000">
            <w:r>
              <w:rPr>
                <w:sz w:val="15"/>
              </w:rPr>
              <w:t>Seizures prior to ED arrival.</w:t>
            </w:r>
          </w:p>
        </w:tc>
        <w:tc>
          <w:tcPr>
            <w:tcW w:w="864" w:type="dxa"/>
            <w:vAlign w:val="center"/>
          </w:tcPr>
          <w:p w14:paraId="260F0C65" w14:textId="77777777" w:rsidR="00304772" w:rsidRDefault="00000000">
            <w:r>
              <w:rPr>
                <w:sz w:val="16"/>
              </w:rPr>
              <w:t>No</w:t>
            </w:r>
          </w:p>
        </w:tc>
        <w:tc>
          <w:tcPr>
            <w:tcW w:w="1152" w:type="dxa"/>
            <w:vAlign w:val="center"/>
          </w:tcPr>
          <w:p w14:paraId="2A5B4727" w14:textId="77777777" w:rsidR="00304772" w:rsidRDefault="00000000">
            <w:r>
              <w:rPr>
                <w:sz w:val="16"/>
              </w:rPr>
              <w:t>Binary categorical</w:t>
            </w:r>
          </w:p>
        </w:tc>
        <w:tc>
          <w:tcPr>
            <w:tcW w:w="1224" w:type="dxa"/>
            <w:vAlign w:val="center"/>
          </w:tcPr>
          <w:p w14:paraId="0AC56017" w14:textId="77777777" w:rsidR="00304772" w:rsidRDefault="00000000">
            <w:r>
              <w:rPr>
                <w:sz w:val="16"/>
              </w:rPr>
              <w:t>0/1</w:t>
            </w:r>
          </w:p>
        </w:tc>
      </w:tr>
      <w:tr w:rsidR="00304772" w14:paraId="3A921683" w14:textId="77777777">
        <w:trPr>
          <w:cantSplit/>
          <w:jc w:val="center"/>
        </w:trPr>
        <w:tc>
          <w:tcPr>
            <w:tcW w:w="1440" w:type="dxa"/>
            <w:vAlign w:val="center"/>
          </w:tcPr>
          <w:p w14:paraId="208083A7" w14:textId="77777777" w:rsidR="00304772" w:rsidRDefault="00000000">
            <w:r>
              <w:rPr>
                <w:sz w:val="16"/>
              </w:rPr>
              <w:t>Altered consciousness</w:t>
            </w:r>
          </w:p>
        </w:tc>
        <w:tc>
          <w:tcPr>
            <w:tcW w:w="1800" w:type="dxa"/>
            <w:vAlign w:val="center"/>
          </w:tcPr>
          <w:p w14:paraId="7D474E5E" w14:textId="77777777" w:rsidR="00304772" w:rsidRDefault="00000000">
            <w:r>
              <w:rPr>
                <w:sz w:val="16"/>
              </w:rPr>
              <w:t>Q4.2.4</w:t>
            </w:r>
          </w:p>
        </w:tc>
        <w:tc>
          <w:tcPr>
            <w:tcW w:w="4320" w:type="dxa"/>
            <w:vAlign w:val="center"/>
          </w:tcPr>
          <w:p w14:paraId="33966EE6" w14:textId="77777777" w:rsidR="00304772" w:rsidRDefault="00000000">
            <w:r>
              <w:rPr>
                <w:sz w:val="15"/>
              </w:rPr>
              <w:t>Direct carry from the indicator for clear impairment or loss of consciousness before hospital admission.</w:t>
            </w:r>
          </w:p>
        </w:tc>
        <w:tc>
          <w:tcPr>
            <w:tcW w:w="2088" w:type="dxa"/>
            <w:vAlign w:val="center"/>
          </w:tcPr>
          <w:p w14:paraId="2D29460C" w14:textId="77777777" w:rsidR="00304772" w:rsidRDefault="00000000">
            <w:r>
              <w:rPr>
                <w:sz w:val="15"/>
              </w:rPr>
              <w:t>Loss or alteration of consciousness prior to ED arrival.</w:t>
            </w:r>
          </w:p>
        </w:tc>
        <w:tc>
          <w:tcPr>
            <w:tcW w:w="864" w:type="dxa"/>
            <w:vAlign w:val="center"/>
          </w:tcPr>
          <w:p w14:paraId="237101B1" w14:textId="77777777" w:rsidR="00304772" w:rsidRDefault="00000000">
            <w:r>
              <w:rPr>
                <w:sz w:val="16"/>
              </w:rPr>
              <w:t>No</w:t>
            </w:r>
          </w:p>
        </w:tc>
        <w:tc>
          <w:tcPr>
            <w:tcW w:w="1152" w:type="dxa"/>
            <w:vAlign w:val="center"/>
          </w:tcPr>
          <w:p w14:paraId="415ABA25" w14:textId="77777777" w:rsidR="00304772" w:rsidRDefault="00000000">
            <w:r>
              <w:rPr>
                <w:sz w:val="16"/>
              </w:rPr>
              <w:t>Binary categorical</w:t>
            </w:r>
          </w:p>
        </w:tc>
        <w:tc>
          <w:tcPr>
            <w:tcW w:w="1224" w:type="dxa"/>
            <w:vAlign w:val="center"/>
          </w:tcPr>
          <w:p w14:paraId="50A3E4EC" w14:textId="77777777" w:rsidR="00304772" w:rsidRDefault="00000000">
            <w:r>
              <w:rPr>
                <w:sz w:val="16"/>
              </w:rPr>
              <w:t>0/1</w:t>
            </w:r>
          </w:p>
        </w:tc>
      </w:tr>
      <w:tr w:rsidR="00304772" w14:paraId="35BE225C" w14:textId="77777777">
        <w:trPr>
          <w:cantSplit/>
          <w:jc w:val="center"/>
        </w:trPr>
        <w:tc>
          <w:tcPr>
            <w:tcW w:w="1440" w:type="dxa"/>
            <w:vAlign w:val="center"/>
          </w:tcPr>
          <w:p w14:paraId="11768532" w14:textId="77777777" w:rsidR="00304772" w:rsidRDefault="00000000">
            <w:r>
              <w:rPr>
                <w:sz w:val="16"/>
              </w:rPr>
              <w:t>Duration of altered consciousness</w:t>
            </w:r>
          </w:p>
        </w:tc>
        <w:tc>
          <w:tcPr>
            <w:tcW w:w="1800" w:type="dxa"/>
            <w:vAlign w:val="center"/>
          </w:tcPr>
          <w:p w14:paraId="0AE08E55" w14:textId="77777777" w:rsidR="00304772" w:rsidRDefault="00000000">
            <w:r>
              <w:rPr>
                <w:sz w:val="16"/>
              </w:rPr>
              <w:t>Q4.2.4; Q4.2.5; Q4.2.6; Q4.2.7</w:t>
            </w:r>
          </w:p>
        </w:tc>
        <w:tc>
          <w:tcPr>
            <w:tcW w:w="4320" w:type="dxa"/>
            <w:vAlign w:val="center"/>
          </w:tcPr>
          <w:p w14:paraId="63C10B13" w14:textId="77777777" w:rsidR="00304772" w:rsidRDefault="00000000">
            <w:r>
              <w:rPr>
                <w:sz w:val="15"/>
              </w:rPr>
              <w:t>Create an ordered 0-4 scale: 0 = no altered consciousness; 1 = altered consciousness resolved before admission; 2 = altered consciousness lasted &lt;24 hours after admission; 3 = altered consciousness lasted &gt;24 hours; 4 = altered consciousness lasted &gt;24 hours with flaccidity / decorticate / decerebrate posturing. The last step is a practical reconstruction from Q4.2.7, which is not a perfect textual match to the paper's wording 'with deterioration.'</w:t>
            </w:r>
          </w:p>
        </w:tc>
        <w:tc>
          <w:tcPr>
            <w:tcW w:w="2088" w:type="dxa"/>
            <w:vAlign w:val="center"/>
          </w:tcPr>
          <w:p w14:paraId="7FD2BA94" w14:textId="77777777" w:rsidR="00304772" w:rsidRDefault="00000000">
            <w:r>
              <w:rPr>
                <w:sz w:val="15"/>
              </w:rPr>
              <w:t>Ordered severity indicator used as a mediator; interpreted in the paper as a marker of more severe parenchymal brain injury.</w:t>
            </w:r>
          </w:p>
        </w:tc>
        <w:tc>
          <w:tcPr>
            <w:tcW w:w="864" w:type="dxa"/>
            <w:vAlign w:val="center"/>
          </w:tcPr>
          <w:p w14:paraId="524CC86F" w14:textId="77777777" w:rsidR="00304772" w:rsidRDefault="00000000">
            <w:r>
              <w:rPr>
                <w:sz w:val="16"/>
              </w:rPr>
              <w:t>Yes</w:t>
            </w:r>
          </w:p>
        </w:tc>
        <w:tc>
          <w:tcPr>
            <w:tcW w:w="1152" w:type="dxa"/>
            <w:vAlign w:val="center"/>
          </w:tcPr>
          <w:p w14:paraId="66B23026" w14:textId="77777777" w:rsidR="00304772" w:rsidRDefault="00000000">
            <w:r>
              <w:rPr>
                <w:sz w:val="16"/>
              </w:rPr>
              <w:t>Ordinal categorical</w:t>
            </w:r>
          </w:p>
        </w:tc>
        <w:tc>
          <w:tcPr>
            <w:tcW w:w="1224" w:type="dxa"/>
            <w:vAlign w:val="center"/>
          </w:tcPr>
          <w:p w14:paraId="5CEE1C3C" w14:textId="77777777" w:rsidR="00304772" w:rsidRDefault="00000000">
            <w:r>
              <w:rPr>
                <w:sz w:val="16"/>
              </w:rPr>
              <w:t>0-4</w:t>
            </w:r>
          </w:p>
        </w:tc>
      </w:tr>
      <w:tr w:rsidR="00304772" w14:paraId="13127EEB" w14:textId="77777777">
        <w:trPr>
          <w:cantSplit/>
          <w:jc w:val="center"/>
        </w:trPr>
        <w:tc>
          <w:tcPr>
            <w:tcW w:w="1440" w:type="dxa"/>
            <w:vAlign w:val="center"/>
          </w:tcPr>
          <w:p w14:paraId="5A38E0DD" w14:textId="77777777" w:rsidR="00304772" w:rsidRDefault="00000000">
            <w:r>
              <w:rPr>
                <w:sz w:val="16"/>
              </w:rPr>
              <w:t>Subarachnoid hemorrhage</w:t>
            </w:r>
          </w:p>
        </w:tc>
        <w:tc>
          <w:tcPr>
            <w:tcW w:w="1800" w:type="dxa"/>
            <w:vAlign w:val="center"/>
          </w:tcPr>
          <w:p w14:paraId="53175606" w14:textId="77777777" w:rsidR="00304772" w:rsidRDefault="00000000">
            <w:r>
              <w:rPr>
                <w:sz w:val="16"/>
              </w:rPr>
              <w:t>Q4.4.7</w:t>
            </w:r>
          </w:p>
        </w:tc>
        <w:tc>
          <w:tcPr>
            <w:tcW w:w="4320" w:type="dxa"/>
            <w:vAlign w:val="center"/>
          </w:tcPr>
          <w:p w14:paraId="414C18EB" w14:textId="77777777" w:rsidR="00304772" w:rsidRDefault="00000000">
            <w:r>
              <w:rPr>
                <w:sz w:val="15"/>
              </w:rPr>
              <w:t>Direct carry from the indicator for any subarachnoid hemorrhage.</w:t>
            </w:r>
          </w:p>
        </w:tc>
        <w:tc>
          <w:tcPr>
            <w:tcW w:w="2088" w:type="dxa"/>
            <w:vAlign w:val="center"/>
          </w:tcPr>
          <w:p w14:paraId="1F64C910" w14:textId="77777777" w:rsidR="00304772" w:rsidRDefault="00000000">
            <w:r>
              <w:rPr>
                <w:sz w:val="15"/>
              </w:rPr>
              <w:t>Presence of subarachnoid blood on imaging.</w:t>
            </w:r>
          </w:p>
        </w:tc>
        <w:tc>
          <w:tcPr>
            <w:tcW w:w="864" w:type="dxa"/>
            <w:vAlign w:val="center"/>
          </w:tcPr>
          <w:p w14:paraId="78822E8B" w14:textId="77777777" w:rsidR="00304772" w:rsidRDefault="00000000">
            <w:r>
              <w:rPr>
                <w:sz w:val="16"/>
              </w:rPr>
              <w:t>No</w:t>
            </w:r>
          </w:p>
        </w:tc>
        <w:tc>
          <w:tcPr>
            <w:tcW w:w="1152" w:type="dxa"/>
            <w:vAlign w:val="center"/>
          </w:tcPr>
          <w:p w14:paraId="3540927E" w14:textId="77777777" w:rsidR="00304772" w:rsidRDefault="00000000">
            <w:r>
              <w:rPr>
                <w:sz w:val="16"/>
              </w:rPr>
              <w:t>Binary categorical</w:t>
            </w:r>
          </w:p>
        </w:tc>
        <w:tc>
          <w:tcPr>
            <w:tcW w:w="1224" w:type="dxa"/>
            <w:vAlign w:val="center"/>
          </w:tcPr>
          <w:p w14:paraId="0940B954" w14:textId="77777777" w:rsidR="00304772" w:rsidRDefault="00000000">
            <w:r>
              <w:rPr>
                <w:sz w:val="16"/>
              </w:rPr>
              <w:t>0/1</w:t>
            </w:r>
          </w:p>
        </w:tc>
      </w:tr>
      <w:tr w:rsidR="00304772" w14:paraId="57C40C71" w14:textId="77777777">
        <w:trPr>
          <w:cantSplit/>
          <w:jc w:val="center"/>
        </w:trPr>
        <w:tc>
          <w:tcPr>
            <w:tcW w:w="1440" w:type="dxa"/>
            <w:vAlign w:val="center"/>
          </w:tcPr>
          <w:p w14:paraId="479BC813" w14:textId="77777777" w:rsidR="00304772" w:rsidRDefault="00000000">
            <w:r>
              <w:rPr>
                <w:sz w:val="16"/>
              </w:rPr>
              <w:t>Contact subdural</w:t>
            </w:r>
          </w:p>
        </w:tc>
        <w:tc>
          <w:tcPr>
            <w:tcW w:w="1800" w:type="dxa"/>
            <w:vAlign w:val="center"/>
          </w:tcPr>
          <w:p w14:paraId="3E575E6A" w14:textId="77777777" w:rsidR="00304772" w:rsidRDefault="00000000">
            <w:r>
              <w:rPr>
                <w:sz w:val="16"/>
              </w:rPr>
              <w:t>Q4.4.4; Q4.4.5.1; Q4.4.5.3</w:t>
            </w:r>
          </w:p>
        </w:tc>
        <w:tc>
          <w:tcPr>
            <w:tcW w:w="4320" w:type="dxa"/>
            <w:vAlign w:val="center"/>
          </w:tcPr>
          <w:p w14:paraId="38CDD65C" w14:textId="77777777" w:rsidR="00304772" w:rsidRDefault="00000000">
            <w:r>
              <w:rPr>
                <w:sz w:val="15"/>
              </w:rPr>
              <w:t>Code 1 when subdural hemorrhage / fluid collection is present (Q4.4.4 = 1) and the distribution is unilateral (Q4.4.5.1 = 1) rather than interhemispheric (Q4.4.5.3 = 0). This follows the paper's rule that contact-associated subdural is unilateral and not interhemispheric.</w:t>
            </w:r>
          </w:p>
        </w:tc>
        <w:tc>
          <w:tcPr>
            <w:tcW w:w="2088" w:type="dxa"/>
            <w:vAlign w:val="center"/>
          </w:tcPr>
          <w:p w14:paraId="4BA556B2" w14:textId="77777777" w:rsidR="00304772" w:rsidRDefault="00000000">
            <w:r>
              <w:rPr>
                <w:sz w:val="15"/>
              </w:rPr>
              <w:t>Subdural pattern interpreted as more consistent with local contact-force injury.</w:t>
            </w:r>
          </w:p>
        </w:tc>
        <w:tc>
          <w:tcPr>
            <w:tcW w:w="864" w:type="dxa"/>
            <w:vAlign w:val="center"/>
          </w:tcPr>
          <w:p w14:paraId="20FBCB40" w14:textId="77777777" w:rsidR="00304772" w:rsidRDefault="00000000">
            <w:r>
              <w:rPr>
                <w:sz w:val="16"/>
              </w:rPr>
              <w:t>Yes</w:t>
            </w:r>
          </w:p>
        </w:tc>
        <w:tc>
          <w:tcPr>
            <w:tcW w:w="1152" w:type="dxa"/>
            <w:vAlign w:val="center"/>
          </w:tcPr>
          <w:p w14:paraId="76B10EE5" w14:textId="77777777" w:rsidR="00304772" w:rsidRDefault="00000000">
            <w:r>
              <w:rPr>
                <w:sz w:val="16"/>
              </w:rPr>
              <w:t>Binary categorical</w:t>
            </w:r>
          </w:p>
        </w:tc>
        <w:tc>
          <w:tcPr>
            <w:tcW w:w="1224" w:type="dxa"/>
            <w:vAlign w:val="center"/>
          </w:tcPr>
          <w:p w14:paraId="01954D53" w14:textId="77777777" w:rsidR="00304772" w:rsidRDefault="00000000">
            <w:r>
              <w:rPr>
                <w:sz w:val="16"/>
              </w:rPr>
              <w:t>0/1</w:t>
            </w:r>
          </w:p>
        </w:tc>
      </w:tr>
      <w:tr w:rsidR="00304772" w14:paraId="1327685A" w14:textId="77777777">
        <w:trPr>
          <w:cantSplit/>
          <w:jc w:val="center"/>
        </w:trPr>
        <w:tc>
          <w:tcPr>
            <w:tcW w:w="1440" w:type="dxa"/>
            <w:vAlign w:val="center"/>
          </w:tcPr>
          <w:p w14:paraId="171E3A19" w14:textId="77777777" w:rsidR="00304772" w:rsidRDefault="00000000">
            <w:r>
              <w:rPr>
                <w:sz w:val="16"/>
              </w:rPr>
              <w:t>Inertial subdural</w:t>
            </w:r>
          </w:p>
        </w:tc>
        <w:tc>
          <w:tcPr>
            <w:tcW w:w="1800" w:type="dxa"/>
            <w:vAlign w:val="center"/>
          </w:tcPr>
          <w:p w14:paraId="7DA7975D" w14:textId="77777777" w:rsidR="00304772" w:rsidRDefault="00000000">
            <w:r>
              <w:rPr>
                <w:sz w:val="16"/>
              </w:rPr>
              <w:t>Q4.4.4; Q4.4.5.2; Q4.4.5.3</w:t>
            </w:r>
          </w:p>
        </w:tc>
        <w:tc>
          <w:tcPr>
            <w:tcW w:w="4320" w:type="dxa"/>
            <w:vAlign w:val="center"/>
          </w:tcPr>
          <w:p w14:paraId="2166B32A" w14:textId="77777777" w:rsidR="00304772" w:rsidRDefault="00000000">
            <w:r>
              <w:rPr>
                <w:sz w:val="15"/>
              </w:rPr>
              <w:t>Code 1 when subdural hemorrhage / fluid collection is present (Q4.4.4 = 1) and the distribution is bilateral (Q4.4.5.2 = 1) OR interhemispheric (Q4.4.5.3 = 1).</w:t>
            </w:r>
          </w:p>
        </w:tc>
        <w:tc>
          <w:tcPr>
            <w:tcW w:w="2088" w:type="dxa"/>
            <w:vAlign w:val="center"/>
          </w:tcPr>
          <w:p w14:paraId="7BF406C7" w14:textId="77777777" w:rsidR="00304772" w:rsidRDefault="00000000">
            <w:r>
              <w:rPr>
                <w:sz w:val="15"/>
              </w:rPr>
              <w:t>Subdural pattern interpreted as more consistent with inertial / accelerative loading.</w:t>
            </w:r>
          </w:p>
        </w:tc>
        <w:tc>
          <w:tcPr>
            <w:tcW w:w="864" w:type="dxa"/>
            <w:vAlign w:val="center"/>
          </w:tcPr>
          <w:p w14:paraId="5BB50D28" w14:textId="77777777" w:rsidR="00304772" w:rsidRDefault="00000000">
            <w:r>
              <w:rPr>
                <w:sz w:val="16"/>
              </w:rPr>
              <w:t>Yes</w:t>
            </w:r>
          </w:p>
        </w:tc>
        <w:tc>
          <w:tcPr>
            <w:tcW w:w="1152" w:type="dxa"/>
            <w:vAlign w:val="center"/>
          </w:tcPr>
          <w:p w14:paraId="4BC6A3F4" w14:textId="77777777" w:rsidR="00304772" w:rsidRDefault="00000000">
            <w:r>
              <w:rPr>
                <w:sz w:val="16"/>
              </w:rPr>
              <w:t>Binary categorical</w:t>
            </w:r>
          </w:p>
        </w:tc>
        <w:tc>
          <w:tcPr>
            <w:tcW w:w="1224" w:type="dxa"/>
            <w:vAlign w:val="center"/>
          </w:tcPr>
          <w:p w14:paraId="1E8C9B1D" w14:textId="77777777" w:rsidR="00304772" w:rsidRDefault="00000000">
            <w:r>
              <w:rPr>
                <w:sz w:val="16"/>
              </w:rPr>
              <w:t>0/1</w:t>
            </w:r>
          </w:p>
        </w:tc>
      </w:tr>
      <w:tr w:rsidR="00304772" w14:paraId="203B3133" w14:textId="77777777">
        <w:trPr>
          <w:cantSplit/>
          <w:jc w:val="center"/>
        </w:trPr>
        <w:tc>
          <w:tcPr>
            <w:tcW w:w="1440" w:type="dxa"/>
            <w:vAlign w:val="center"/>
          </w:tcPr>
          <w:p w14:paraId="69DAFCBD" w14:textId="77777777" w:rsidR="00304772" w:rsidRDefault="00000000">
            <w:r>
              <w:rPr>
                <w:sz w:val="16"/>
              </w:rPr>
              <w:lastRenderedPageBreak/>
              <w:t>Extra-axial blood</w:t>
            </w:r>
          </w:p>
        </w:tc>
        <w:tc>
          <w:tcPr>
            <w:tcW w:w="1800" w:type="dxa"/>
            <w:vAlign w:val="center"/>
          </w:tcPr>
          <w:p w14:paraId="111ED9C5" w14:textId="77777777" w:rsidR="00304772" w:rsidRDefault="00000000">
            <w:r>
              <w:rPr>
                <w:sz w:val="16"/>
              </w:rPr>
              <w:t>Q4.4.4; Q4.4.7</w:t>
            </w:r>
          </w:p>
        </w:tc>
        <w:tc>
          <w:tcPr>
            <w:tcW w:w="4320" w:type="dxa"/>
            <w:vAlign w:val="center"/>
          </w:tcPr>
          <w:p w14:paraId="67951EC0" w14:textId="77777777" w:rsidR="00304772" w:rsidRDefault="00000000">
            <w:r>
              <w:rPr>
                <w:sz w:val="15"/>
              </w:rPr>
              <w:t>Code 1 if either subdural hemorrhage / fluid collection is present (Q4.4.4 = 1) OR subarachnoid hemorrhage is present (Q4.4.7 = 1).</w:t>
            </w:r>
          </w:p>
        </w:tc>
        <w:tc>
          <w:tcPr>
            <w:tcW w:w="2088" w:type="dxa"/>
            <w:vAlign w:val="center"/>
          </w:tcPr>
          <w:p w14:paraId="5EC990D4" w14:textId="77777777" w:rsidR="00304772" w:rsidRDefault="00000000">
            <w:r>
              <w:rPr>
                <w:sz w:val="15"/>
              </w:rPr>
              <w:t>Broad indicator of extra-axial intracranial bleeding.</w:t>
            </w:r>
          </w:p>
        </w:tc>
        <w:tc>
          <w:tcPr>
            <w:tcW w:w="864" w:type="dxa"/>
            <w:vAlign w:val="center"/>
          </w:tcPr>
          <w:p w14:paraId="75C5F020" w14:textId="77777777" w:rsidR="00304772" w:rsidRDefault="00000000">
            <w:r>
              <w:rPr>
                <w:sz w:val="16"/>
              </w:rPr>
              <w:t>No</w:t>
            </w:r>
            <w:r>
              <w:rPr>
                <w:sz w:val="16"/>
              </w:rPr>
              <w:br/>
              <w:t>(composite bleed indicator)</w:t>
            </w:r>
          </w:p>
        </w:tc>
        <w:tc>
          <w:tcPr>
            <w:tcW w:w="1152" w:type="dxa"/>
            <w:vAlign w:val="center"/>
          </w:tcPr>
          <w:p w14:paraId="4599F708" w14:textId="77777777" w:rsidR="00304772" w:rsidRDefault="00000000">
            <w:r>
              <w:rPr>
                <w:sz w:val="16"/>
              </w:rPr>
              <w:t>Binary categorical</w:t>
            </w:r>
          </w:p>
        </w:tc>
        <w:tc>
          <w:tcPr>
            <w:tcW w:w="1224" w:type="dxa"/>
            <w:vAlign w:val="center"/>
          </w:tcPr>
          <w:p w14:paraId="3EA6CE0A" w14:textId="77777777" w:rsidR="00304772" w:rsidRDefault="00000000">
            <w:r>
              <w:rPr>
                <w:sz w:val="16"/>
              </w:rPr>
              <w:t>0/1</w:t>
            </w:r>
          </w:p>
        </w:tc>
      </w:tr>
      <w:tr w:rsidR="00304772" w14:paraId="7BBB5CDE" w14:textId="77777777">
        <w:trPr>
          <w:cantSplit/>
          <w:jc w:val="center"/>
        </w:trPr>
        <w:tc>
          <w:tcPr>
            <w:tcW w:w="1440" w:type="dxa"/>
            <w:vAlign w:val="center"/>
          </w:tcPr>
          <w:p w14:paraId="19DB23A8" w14:textId="77777777" w:rsidR="00304772" w:rsidRDefault="00000000">
            <w:r>
              <w:rPr>
                <w:sz w:val="16"/>
              </w:rPr>
              <w:t>Cortical brain injury</w:t>
            </w:r>
          </w:p>
        </w:tc>
        <w:tc>
          <w:tcPr>
            <w:tcW w:w="1800" w:type="dxa"/>
            <w:vAlign w:val="center"/>
          </w:tcPr>
          <w:p w14:paraId="06F3AB5E" w14:textId="77777777" w:rsidR="00304772" w:rsidRDefault="00000000">
            <w:r>
              <w:rPr>
                <w:sz w:val="16"/>
              </w:rPr>
              <w:t>Q4.4.8; Q4.4.9</w:t>
            </w:r>
          </w:p>
        </w:tc>
        <w:tc>
          <w:tcPr>
            <w:tcW w:w="4320" w:type="dxa"/>
            <w:vAlign w:val="center"/>
          </w:tcPr>
          <w:p w14:paraId="4D01E5A0" w14:textId="77777777" w:rsidR="00304772" w:rsidRDefault="00000000">
            <w:r>
              <w:rPr>
                <w:sz w:val="15"/>
              </w:rPr>
              <w:t>Code 1 when brain parenchymal contusion / laceration / hemorrhage is present (Q4.4.8 = 1) and cortical involvement is marked (Q4.4.9 = 1).</w:t>
            </w:r>
          </w:p>
        </w:tc>
        <w:tc>
          <w:tcPr>
            <w:tcW w:w="2088" w:type="dxa"/>
            <w:vAlign w:val="center"/>
          </w:tcPr>
          <w:p w14:paraId="5CD318F8" w14:textId="77777777" w:rsidR="00304772" w:rsidRDefault="00000000">
            <w:r>
              <w:rPr>
                <w:sz w:val="15"/>
              </w:rPr>
              <w:t>Parenchymal injury limited to the cortical brain.</w:t>
            </w:r>
          </w:p>
        </w:tc>
        <w:tc>
          <w:tcPr>
            <w:tcW w:w="864" w:type="dxa"/>
            <w:vAlign w:val="center"/>
          </w:tcPr>
          <w:p w14:paraId="2971C6E0" w14:textId="77777777" w:rsidR="00304772" w:rsidRDefault="00000000">
            <w:r>
              <w:rPr>
                <w:sz w:val="16"/>
              </w:rPr>
              <w:t>No</w:t>
            </w:r>
          </w:p>
        </w:tc>
        <w:tc>
          <w:tcPr>
            <w:tcW w:w="1152" w:type="dxa"/>
            <w:vAlign w:val="center"/>
          </w:tcPr>
          <w:p w14:paraId="0CE73E9E" w14:textId="77777777" w:rsidR="00304772" w:rsidRDefault="00000000">
            <w:r>
              <w:rPr>
                <w:sz w:val="16"/>
              </w:rPr>
              <w:t>Binary categorical</w:t>
            </w:r>
          </w:p>
        </w:tc>
        <w:tc>
          <w:tcPr>
            <w:tcW w:w="1224" w:type="dxa"/>
            <w:vAlign w:val="center"/>
          </w:tcPr>
          <w:p w14:paraId="1E59F291" w14:textId="77777777" w:rsidR="00304772" w:rsidRDefault="00000000">
            <w:r>
              <w:rPr>
                <w:sz w:val="16"/>
              </w:rPr>
              <w:t>0/1</w:t>
            </w:r>
          </w:p>
        </w:tc>
      </w:tr>
      <w:tr w:rsidR="00304772" w14:paraId="29BE6A5F" w14:textId="77777777">
        <w:trPr>
          <w:cantSplit/>
          <w:jc w:val="center"/>
        </w:trPr>
        <w:tc>
          <w:tcPr>
            <w:tcW w:w="1440" w:type="dxa"/>
            <w:vAlign w:val="center"/>
          </w:tcPr>
          <w:p w14:paraId="5DE6B9B1" w14:textId="77777777" w:rsidR="00304772" w:rsidRDefault="00000000">
            <w:r>
              <w:rPr>
                <w:sz w:val="16"/>
              </w:rPr>
              <w:t>Subcortical brain injury</w:t>
            </w:r>
          </w:p>
        </w:tc>
        <w:tc>
          <w:tcPr>
            <w:tcW w:w="1800" w:type="dxa"/>
            <w:vAlign w:val="center"/>
          </w:tcPr>
          <w:p w14:paraId="776E9DAE" w14:textId="77777777" w:rsidR="00304772" w:rsidRDefault="00000000">
            <w:r>
              <w:rPr>
                <w:sz w:val="16"/>
              </w:rPr>
              <w:t>Q4.4.8; Q4.4.10</w:t>
            </w:r>
          </w:p>
        </w:tc>
        <w:tc>
          <w:tcPr>
            <w:tcW w:w="4320" w:type="dxa"/>
            <w:vAlign w:val="center"/>
          </w:tcPr>
          <w:p w14:paraId="69A40901" w14:textId="77777777" w:rsidR="00304772" w:rsidRDefault="00000000">
            <w:r>
              <w:rPr>
                <w:sz w:val="15"/>
              </w:rPr>
              <w:t>Code 1 when brain parenchymal contusion / laceration / hemorrhage is present (Q4.4.8 = 1) and subcortical involvement is marked (Q4.4.10 = 1).</w:t>
            </w:r>
          </w:p>
        </w:tc>
        <w:tc>
          <w:tcPr>
            <w:tcW w:w="2088" w:type="dxa"/>
            <w:vAlign w:val="center"/>
          </w:tcPr>
          <w:p w14:paraId="54FA61AD" w14:textId="77777777" w:rsidR="00304772" w:rsidRDefault="00000000">
            <w:r>
              <w:rPr>
                <w:sz w:val="15"/>
              </w:rPr>
              <w:t>Parenchymal injury involving subcortical or deeper brain structures.</w:t>
            </w:r>
          </w:p>
        </w:tc>
        <w:tc>
          <w:tcPr>
            <w:tcW w:w="864" w:type="dxa"/>
            <w:vAlign w:val="center"/>
          </w:tcPr>
          <w:p w14:paraId="2481FC6C" w14:textId="77777777" w:rsidR="00304772" w:rsidRDefault="00000000">
            <w:r>
              <w:rPr>
                <w:sz w:val="16"/>
              </w:rPr>
              <w:t>No</w:t>
            </w:r>
          </w:p>
        </w:tc>
        <w:tc>
          <w:tcPr>
            <w:tcW w:w="1152" w:type="dxa"/>
            <w:vAlign w:val="center"/>
          </w:tcPr>
          <w:p w14:paraId="29BD7528" w14:textId="77777777" w:rsidR="00304772" w:rsidRDefault="00000000">
            <w:r>
              <w:rPr>
                <w:sz w:val="16"/>
              </w:rPr>
              <w:t>Binary categorical</w:t>
            </w:r>
          </w:p>
        </w:tc>
        <w:tc>
          <w:tcPr>
            <w:tcW w:w="1224" w:type="dxa"/>
            <w:vAlign w:val="center"/>
          </w:tcPr>
          <w:p w14:paraId="644442AA" w14:textId="77777777" w:rsidR="00304772" w:rsidRDefault="00000000">
            <w:r>
              <w:rPr>
                <w:sz w:val="16"/>
              </w:rPr>
              <w:t>0/1</w:t>
            </w:r>
          </w:p>
        </w:tc>
      </w:tr>
      <w:tr w:rsidR="00304772" w14:paraId="4CBF3BE2" w14:textId="77777777">
        <w:trPr>
          <w:cantSplit/>
          <w:jc w:val="center"/>
        </w:trPr>
        <w:tc>
          <w:tcPr>
            <w:tcW w:w="1440" w:type="dxa"/>
            <w:vAlign w:val="center"/>
          </w:tcPr>
          <w:p w14:paraId="09038699" w14:textId="77777777" w:rsidR="00304772" w:rsidRDefault="00000000">
            <w:r>
              <w:rPr>
                <w:sz w:val="16"/>
              </w:rPr>
              <w:t>Focal HIE</w:t>
            </w:r>
          </w:p>
        </w:tc>
        <w:tc>
          <w:tcPr>
            <w:tcW w:w="1800" w:type="dxa"/>
            <w:vAlign w:val="center"/>
          </w:tcPr>
          <w:p w14:paraId="674F4504" w14:textId="77777777" w:rsidR="00304772" w:rsidRDefault="00000000">
            <w:r>
              <w:rPr>
                <w:sz w:val="16"/>
              </w:rPr>
              <w:t>Q4.4.12; Q4.4.13; Q4.4.14</w:t>
            </w:r>
          </w:p>
        </w:tc>
        <w:tc>
          <w:tcPr>
            <w:tcW w:w="4320" w:type="dxa"/>
            <w:vAlign w:val="center"/>
          </w:tcPr>
          <w:p w14:paraId="67179573" w14:textId="77777777" w:rsidR="00304772" w:rsidRDefault="00000000">
            <w:r>
              <w:rPr>
                <w:sz w:val="15"/>
              </w:rPr>
              <w:t>Code 1 when brain hypoxia / ischemia / swelling is present (Q4.4.12 = 1) and the depth / distribution fields indicate a cortical and unilateral pattern. The raw supporting items Q4.4.13 and Q4.4.14 appear in the workbook as category codes 1-2; the exact label-to-number mapping is inferred from the paper's definitions rather than verified from a separate codebook.</w:t>
            </w:r>
          </w:p>
        </w:tc>
        <w:tc>
          <w:tcPr>
            <w:tcW w:w="2088" w:type="dxa"/>
            <w:vAlign w:val="center"/>
          </w:tcPr>
          <w:p w14:paraId="0ECD454E" w14:textId="77777777" w:rsidR="00304772" w:rsidRDefault="00000000">
            <w:r>
              <w:rPr>
                <w:sz w:val="15"/>
              </w:rPr>
              <w:t>Focal hypoxic-ischemic injury or edema on imaging.</w:t>
            </w:r>
          </w:p>
        </w:tc>
        <w:tc>
          <w:tcPr>
            <w:tcW w:w="864" w:type="dxa"/>
            <w:vAlign w:val="center"/>
          </w:tcPr>
          <w:p w14:paraId="73E883B8" w14:textId="77777777" w:rsidR="00304772" w:rsidRDefault="00000000">
            <w:r>
              <w:rPr>
                <w:sz w:val="16"/>
              </w:rPr>
              <w:t>No</w:t>
            </w:r>
            <w:r>
              <w:rPr>
                <w:sz w:val="16"/>
              </w:rPr>
              <w:br/>
              <w:t>(radiographic class)</w:t>
            </w:r>
          </w:p>
        </w:tc>
        <w:tc>
          <w:tcPr>
            <w:tcW w:w="1152" w:type="dxa"/>
            <w:vAlign w:val="center"/>
          </w:tcPr>
          <w:p w14:paraId="3A122780" w14:textId="77777777" w:rsidR="00304772" w:rsidRDefault="00000000">
            <w:r>
              <w:rPr>
                <w:sz w:val="16"/>
              </w:rPr>
              <w:t>Binary categorical</w:t>
            </w:r>
          </w:p>
        </w:tc>
        <w:tc>
          <w:tcPr>
            <w:tcW w:w="1224" w:type="dxa"/>
            <w:vAlign w:val="center"/>
          </w:tcPr>
          <w:p w14:paraId="65822480" w14:textId="77777777" w:rsidR="00304772" w:rsidRDefault="00000000">
            <w:r>
              <w:rPr>
                <w:sz w:val="16"/>
              </w:rPr>
              <w:t>0/1</w:t>
            </w:r>
          </w:p>
        </w:tc>
      </w:tr>
      <w:tr w:rsidR="00304772" w14:paraId="2CB2E925" w14:textId="77777777">
        <w:trPr>
          <w:cantSplit/>
          <w:jc w:val="center"/>
        </w:trPr>
        <w:tc>
          <w:tcPr>
            <w:tcW w:w="1440" w:type="dxa"/>
            <w:vAlign w:val="center"/>
          </w:tcPr>
          <w:p w14:paraId="5F6930D4" w14:textId="77777777" w:rsidR="00304772" w:rsidRDefault="00000000">
            <w:r>
              <w:rPr>
                <w:sz w:val="16"/>
              </w:rPr>
              <w:t>Diffuse HIE</w:t>
            </w:r>
          </w:p>
        </w:tc>
        <w:tc>
          <w:tcPr>
            <w:tcW w:w="1800" w:type="dxa"/>
            <w:vAlign w:val="center"/>
          </w:tcPr>
          <w:p w14:paraId="61832C26" w14:textId="77777777" w:rsidR="00304772" w:rsidRDefault="00000000">
            <w:r>
              <w:rPr>
                <w:sz w:val="16"/>
              </w:rPr>
              <w:t>Q4.4.12; Q4.4.13; Q4.4.14</w:t>
            </w:r>
          </w:p>
        </w:tc>
        <w:tc>
          <w:tcPr>
            <w:tcW w:w="4320" w:type="dxa"/>
            <w:vAlign w:val="center"/>
          </w:tcPr>
          <w:p w14:paraId="0041A6AB" w14:textId="77777777" w:rsidR="00304772" w:rsidRDefault="00000000">
            <w:r>
              <w:rPr>
                <w:sz w:val="15"/>
              </w:rPr>
              <w:t>Code 1 when brain hypoxia / ischemia / swelling is present (Q4.4.12 = 1) and the depth / distribution fields indicate either bilateral involvement or subcortical / deeper involvement. As above, the raw supporting items Q4.4.13 and Q4.4.14 are coded 1-2 in the workbook and their exact legend is inferred from the paper.</w:t>
            </w:r>
          </w:p>
        </w:tc>
        <w:tc>
          <w:tcPr>
            <w:tcW w:w="2088" w:type="dxa"/>
            <w:vAlign w:val="center"/>
          </w:tcPr>
          <w:p w14:paraId="71A3A112" w14:textId="77777777" w:rsidR="00304772" w:rsidRDefault="00000000">
            <w:r>
              <w:rPr>
                <w:sz w:val="15"/>
              </w:rPr>
              <w:t>Diffuse hypoxic-ischemic injury / edema; interpreted in the paper as a marker of more severe parenchymal injury and / or raised intracranial pressure.</w:t>
            </w:r>
          </w:p>
        </w:tc>
        <w:tc>
          <w:tcPr>
            <w:tcW w:w="864" w:type="dxa"/>
            <w:vAlign w:val="center"/>
          </w:tcPr>
          <w:p w14:paraId="2D671D29" w14:textId="77777777" w:rsidR="00304772" w:rsidRDefault="00000000">
            <w:r>
              <w:rPr>
                <w:sz w:val="16"/>
              </w:rPr>
              <w:t>No</w:t>
            </w:r>
            <w:r>
              <w:rPr>
                <w:sz w:val="16"/>
              </w:rPr>
              <w:br/>
              <w:t>(radiographic class; interpreted as severity surrogate in discussion)</w:t>
            </w:r>
          </w:p>
        </w:tc>
        <w:tc>
          <w:tcPr>
            <w:tcW w:w="1152" w:type="dxa"/>
            <w:vAlign w:val="center"/>
          </w:tcPr>
          <w:p w14:paraId="67D68C14" w14:textId="77777777" w:rsidR="00304772" w:rsidRDefault="00000000">
            <w:r>
              <w:rPr>
                <w:sz w:val="16"/>
              </w:rPr>
              <w:t>Binary categorical</w:t>
            </w:r>
          </w:p>
        </w:tc>
        <w:tc>
          <w:tcPr>
            <w:tcW w:w="1224" w:type="dxa"/>
            <w:vAlign w:val="center"/>
          </w:tcPr>
          <w:p w14:paraId="2CC8C178" w14:textId="77777777" w:rsidR="00304772" w:rsidRDefault="00000000">
            <w:r>
              <w:rPr>
                <w:sz w:val="16"/>
              </w:rPr>
              <w:t>0/1</w:t>
            </w:r>
          </w:p>
        </w:tc>
      </w:tr>
      <w:tr w:rsidR="00304772" w14:paraId="7706E580" w14:textId="77777777">
        <w:trPr>
          <w:cantSplit/>
          <w:jc w:val="center"/>
        </w:trPr>
        <w:tc>
          <w:tcPr>
            <w:tcW w:w="1440" w:type="dxa"/>
            <w:vAlign w:val="center"/>
          </w:tcPr>
          <w:p w14:paraId="66A6EE08" w14:textId="77777777" w:rsidR="00304772" w:rsidRDefault="00000000">
            <w:r>
              <w:rPr>
                <w:sz w:val="16"/>
              </w:rPr>
              <w:t>Inertial injury</w:t>
            </w:r>
          </w:p>
        </w:tc>
        <w:tc>
          <w:tcPr>
            <w:tcW w:w="1800" w:type="dxa"/>
            <w:vAlign w:val="center"/>
          </w:tcPr>
          <w:p w14:paraId="2D068E96" w14:textId="77777777" w:rsidR="00304772" w:rsidRDefault="00000000">
            <w:r>
              <w:rPr>
                <w:sz w:val="16"/>
              </w:rPr>
              <w:t>Q4.2.4 + derived inertial subdural</w:t>
            </w:r>
          </w:p>
        </w:tc>
        <w:tc>
          <w:tcPr>
            <w:tcW w:w="4320" w:type="dxa"/>
            <w:vAlign w:val="center"/>
          </w:tcPr>
          <w:p w14:paraId="6F98D69F" w14:textId="77777777" w:rsidR="00304772" w:rsidRDefault="00000000">
            <w:r>
              <w:rPr>
                <w:sz w:val="15"/>
              </w:rPr>
              <w:t>Code 1 if altered consciousness is present (Q4.2.4 = 1) OR inertial subdural = 1. This follows the paper's rule that inertial loading is inferred from altered consciousness, inertial subdural, or both.</w:t>
            </w:r>
          </w:p>
        </w:tc>
        <w:tc>
          <w:tcPr>
            <w:tcW w:w="2088" w:type="dxa"/>
            <w:vAlign w:val="center"/>
          </w:tcPr>
          <w:p w14:paraId="556E9290" w14:textId="77777777" w:rsidR="00304772" w:rsidRDefault="00000000">
            <w:r>
              <w:rPr>
                <w:sz w:val="15"/>
              </w:rPr>
              <w:t>Biomechanics-oriented indicator of inertial / accelerative injury.</w:t>
            </w:r>
          </w:p>
        </w:tc>
        <w:tc>
          <w:tcPr>
            <w:tcW w:w="864" w:type="dxa"/>
            <w:vAlign w:val="center"/>
          </w:tcPr>
          <w:p w14:paraId="0DF98172" w14:textId="77777777" w:rsidR="00304772" w:rsidRDefault="00000000">
            <w:r>
              <w:rPr>
                <w:sz w:val="16"/>
              </w:rPr>
              <w:t>Yes</w:t>
            </w:r>
          </w:p>
        </w:tc>
        <w:tc>
          <w:tcPr>
            <w:tcW w:w="1152" w:type="dxa"/>
            <w:vAlign w:val="center"/>
          </w:tcPr>
          <w:p w14:paraId="37E7B1CE" w14:textId="77777777" w:rsidR="00304772" w:rsidRDefault="00000000">
            <w:r>
              <w:rPr>
                <w:sz w:val="16"/>
              </w:rPr>
              <w:t>Binary categorical</w:t>
            </w:r>
          </w:p>
        </w:tc>
        <w:tc>
          <w:tcPr>
            <w:tcW w:w="1224" w:type="dxa"/>
            <w:vAlign w:val="center"/>
          </w:tcPr>
          <w:p w14:paraId="4E9CF8F0" w14:textId="77777777" w:rsidR="00304772" w:rsidRDefault="00000000">
            <w:r>
              <w:rPr>
                <w:sz w:val="16"/>
              </w:rPr>
              <w:t>0/1</w:t>
            </w:r>
          </w:p>
        </w:tc>
      </w:tr>
      <w:tr w:rsidR="00304772" w14:paraId="7C76C97B" w14:textId="77777777">
        <w:trPr>
          <w:cantSplit/>
          <w:jc w:val="center"/>
        </w:trPr>
        <w:tc>
          <w:tcPr>
            <w:tcW w:w="1440" w:type="dxa"/>
            <w:vAlign w:val="center"/>
          </w:tcPr>
          <w:p w14:paraId="5E9F694B" w14:textId="77777777" w:rsidR="00304772" w:rsidRDefault="00000000">
            <w:r>
              <w:rPr>
                <w:sz w:val="16"/>
              </w:rPr>
              <w:t>Contact injury</w:t>
            </w:r>
          </w:p>
        </w:tc>
        <w:tc>
          <w:tcPr>
            <w:tcW w:w="1800" w:type="dxa"/>
            <w:vAlign w:val="center"/>
          </w:tcPr>
          <w:p w14:paraId="24973D96" w14:textId="77777777" w:rsidR="00304772" w:rsidRDefault="00000000">
            <w:r>
              <w:rPr>
                <w:sz w:val="16"/>
              </w:rPr>
              <w:t>Q4.3.1; Q4.4.1; Q4.4.3</w:t>
            </w:r>
          </w:p>
        </w:tc>
        <w:tc>
          <w:tcPr>
            <w:tcW w:w="4320" w:type="dxa"/>
            <w:vAlign w:val="center"/>
          </w:tcPr>
          <w:p w14:paraId="59226714" w14:textId="77777777" w:rsidR="00304772" w:rsidRDefault="00000000">
            <w:r>
              <w:rPr>
                <w:sz w:val="15"/>
              </w:rPr>
              <w:t>Code 1 if any craniofacial soft tissue injury is present (Q4.3.1 = 1) OR any skull fracture is present (Q4.4.1 = 1) OR any epidural hemorrhage is present (Q4.4.3 = 1).</w:t>
            </w:r>
          </w:p>
        </w:tc>
        <w:tc>
          <w:tcPr>
            <w:tcW w:w="2088" w:type="dxa"/>
            <w:vAlign w:val="center"/>
          </w:tcPr>
          <w:p w14:paraId="17D93DF7" w14:textId="77777777" w:rsidR="00304772" w:rsidRDefault="00000000">
            <w:r>
              <w:rPr>
                <w:sz w:val="15"/>
              </w:rPr>
              <w:t>Biomechanics-oriented indicator of contact-impact injury.</w:t>
            </w:r>
          </w:p>
        </w:tc>
        <w:tc>
          <w:tcPr>
            <w:tcW w:w="864" w:type="dxa"/>
            <w:vAlign w:val="center"/>
          </w:tcPr>
          <w:p w14:paraId="042ADC17" w14:textId="77777777" w:rsidR="00304772" w:rsidRDefault="00000000">
            <w:r>
              <w:rPr>
                <w:sz w:val="16"/>
              </w:rPr>
              <w:t>Yes</w:t>
            </w:r>
          </w:p>
        </w:tc>
        <w:tc>
          <w:tcPr>
            <w:tcW w:w="1152" w:type="dxa"/>
            <w:vAlign w:val="center"/>
          </w:tcPr>
          <w:p w14:paraId="7B4A0A09" w14:textId="77777777" w:rsidR="00304772" w:rsidRDefault="00000000">
            <w:r>
              <w:rPr>
                <w:sz w:val="16"/>
              </w:rPr>
              <w:t>Binary categorical</w:t>
            </w:r>
          </w:p>
        </w:tc>
        <w:tc>
          <w:tcPr>
            <w:tcW w:w="1224" w:type="dxa"/>
            <w:vAlign w:val="center"/>
          </w:tcPr>
          <w:p w14:paraId="626FF780" w14:textId="77777777" w:rsidR="00304772" w:rsidRDefault="00000000">
            <w:r>
              <w:rPr>
                <w:sz w:val="16"/>
              </w:rPr>
              <w:t>0/1</w:t>
            </w:r>
          </w:p>
        </w:tc>
      </w:tr>
      <w:tr w:rsidR="00304772" w14:paraId="63593089" w14:textId="77777777">
        <w:trPr>
          <w:cantSplit/>
          <w:jc w:val="center"/>
        </w:trPr>
        <w:tc>
          <w:tcPr>
            <w:tcW w:w="1440" w:type="dxa"/>
            <w:vAlign w:val="center"/>
          </w:tcPr>
          <w:p w14:paraId="741C67AB" w14:textId="77777777" w:rsidR="00304772" w:rsidRDefault="00000000">
            <w:r>
              <w:rPr>
                <w:sz w:val="16"/>
              </w:rPr>
              <w:t>Isolated inertial injury</w:t>
            </w:r>
          </w:p>
        </w:tc>
        <w:tc>
          <w:tcPr>
            <w:tcW w:w="1800" w:type="dxa"/>
            <w:vAlign w:val="center"/>
          </w:tcPr>
          <w:p w14:paraId="00C21239" w14:textId="77777777" w:rsidR="00304772" w:rsidRDefault="00000000">
            <w:r>
              <w:rPr>
                <w:sz w:val="16"/>
              </w:rPr>
              <w:t>Derived inertial injury; derived contact injury</w:t>
            </w:r>
          </w:p>
        </w:tc>
        <w:tc>
          <w:tcPr>
            <w:tcW w:w="4320" w:type="dxa"/>
            <w:vAlign w:val="center"/>
          </w:tcPr>
          <w:p w14:paraId="3041B501" w14:textId="77777777" w:rsidR="00304772" w:rsidRDefault="00000000">
            <w:r>
              <w:rPr>
                <w:sz w:val="15"/>
              </w:rPr>
              <w:t>Code 1 if inertial injury = 1 AND contact injury = 0.</w:t>
            </w:r>
          </w:p>
        </w:tc>
        <w:tc>
          <w:tcPr>
            <w:tcW w:w="2088" w:type="dxa"/>
            <w:vAlign w:val="center"/>
          </w:tcPr>
          <w:p w14:paraId="63C9A5DA" w14:textId="77777777" w:rsidR="00304772" w:rsidRDefault="00000000">
            <w:r>
              <w:rPr>
                <w:sz w:val="15"/>
              </w:rPr>
              <w:t>'Pure' inertial / accelerative injury indicator used as a main candidate exposure in the mediation analysis.</w:t>
            </w:r>
          </w:p>
        </w:tc>
        <w:tc>
          <w:tcPr>
            <w:tcW w:w="864" w:type="dxa"/>
            <w:vAlign w:val="center"/>
          </w:tcPr>
          <w:p w14:paraId="49EC9445" w14:textId="77777777" w:rsidR="00304772" w:rsidRDefault="00000000">
            <w:r>
              <w:rPr>
                <w:sz w:val="16"/>
              </w:rPr>
              <w:t>Yes</w:t>
            </w:r>
          </w:p>
        </w:tc>
        <w:tc>
          <w:tcPr>
            <w:tcW w:w="1152" w:type="dxa"/>
            <w:vAlign w:val="center"/>
          </w:tcPr>
          <w:p w14:paraId="1400E4CD" w14:textId="77777777" w:rsidR="00304772" w:rsidRDefault="00000000">
            <w:r>
              <w:rPr>
                <w:sz w:val="16"/>
              </w:rPr>
              <w:t>Binary categorical</w:t>
            </w:r>
          </w:p>
        </w:tc>
        <w:tc>
          <w:tcPr>
            <w:tcW w:w="1224" w:type="dxa"/>
            <w:vAlign w:val="center"/>
          </w:tcPr>
          <w:p w14:paraId="015635C3" w14:textId="77777777" w:rsidR="00304772" w:rsidRDefault="00000000">
            <w:r>
              <w:rPr>
                <w:sz w:val="16"/>
              </w:rPr>
              <w:t>0/1</w:t>
            </w:r>
          </w:p>
        </w:tc>
      </w:tr>
    </w:tbl>
    <w:p w14:paraId="6FA7E889" w14:textId="77777777" w:rsidR="00304772" w:rsidRDefault="00000000">
      <w:pPr>
        <w:spacing w:before="120"/>
      </w:pPr>
      <w:r>
        <w:rPr>
          <w:b/>
          <w:sz w:val="18"/>
        </w:rPr>
        <w:t xml:space="preserve">Interpretive note. </w:t>
      </w:r>
      <w:r>
        <w:rPr>
          <w:sz w:val="18"/>
        </w:rPr>
        <w:t>Variables such as contact subdural, inertial subdural, inertial injury, contact injury, clinical hypoxia or ischemia, and duration of altered consciousness are not simple raw fields. They are derived constructs that the paper uses either as proxies or as structured severity indicators.</w:t>
      </w:r>
    </w:p>
    <w:sectPr w:rsidR="00304772"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0126409">
    <w:abstractNumId w:val="8"/>
  </w:num>
  <w:num w:numId="2" w16cid:durableId="233857933">
    <w:abstractNumId w:val="6"/>
  </w:num>
  <w:num w:numId="3" w16cid:durableId="1669744238">
    <w:abstractNumId w:val="5"/>
  </w:num>
  <w:num w:numId="4" w16cid:durableId="131338849">
    <w:abstractNumId w:val="4"/>
  </w:num>
  <w:num w:numId="5" w16cid:durableId="1188107259">
    <w:abstractNumId w:val="7"/>
  </w:num>
  <w:num w:numId="6" w16cid:durableId="318340981">
    <w:abstractNumId w:val="3"/>
  </w:num>
  <w:num w:numId="7" w16cid:durableId="474563615">
    <w:abstractNumId w:val="2"/>
  </w:num>
  <w:num w:numId="8" w16cid:durableId="1522285214">
    <w:abstractNumId w:val="1"/>
  </w:num>
  <w:num w:numId="9" w16cid:durableId="1281107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772"/>
    <w:rsid w:val="00326F90"/>
    <w:rsid w:val="008C23C1"/>
    <w:rsid w:val="009317B1"/>
    <w:rsid w:val="00AA1D8D"/>
    <w:rsid w:val="00B47730"/>
    <w:rsid w:val="00CB0664"/>
    <w:rsid w:val="00D908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4FFAE2"/>
  <w14:defaultImageDpi w14:val="300"/>
  <w15:docId w15:val="{8C94BF6A-C825-0741-AF99-F48EB201A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1402</Words>
  <Characters>8315</Characters>
  <Application>Microsoft Office Word</Application>
  <DocSecurity>0</DocSecurity>
  <Lines>361</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Nath3,A (pgt)</cp:lastModifiedBy>
  <cp:revision>3</cp:revision>
  <dcterms:created xsi:type="dcterms:W3CDTF">2013-12-23T23:15:00Z</dcterms:created>
  <dcterms:modified xsi:type="dcterms:W3CDTF">2026-04-16T07:46:00Z</dcterms:modified>
  <cp:category/>
</cp:coreProperties>
</file>