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E4DC" w14:textId="48CFCC7E" w:rsidR="00212EC2" w:rsidRPr="00212EC2" w:rsidRDefault="00212EC2" w:rsidP="00212EC2">
      <w:pPr>
        <w:jc w:val="both"/>
        <w:rPr>
          <w:rFonts w:ascii="Arial" w:hAnsi="Arial" w:cs="Arial"/>
          <w:b/>
          <w:bCs/>
          <w:sz w:val="28"/>
          <w:szCs w:val="28"/>
          <w:lang w:val="en-US"/>
        </w:rPr>
      </w:pPr>
      <w:r w:rsidRPr="00212EC2">
        <w:rPr>
          <w:rFonts w:ascii="Arial" w:hAnsi="Arial" w:cs="Arial"/>
          <w:b/>
          <w:bCs/>
          <w:sz w:val="28"/>
          <w:szCs w:val="28"/>
          <w:lang w:val="en-US"/>
        </w:rPr>
        <w:t xml:space="preserve">Significance and </w:t>
      </w:r>
      <w:r w:rsidR="00D420ED">
        <w:rPr>
          <w:rFonts w:ascii="Arial" w:hAnsi="Arial" w:cs="Arial"/>
          <w:b/>
          <w:bCs/>
          <w:sz w:val="28"/>
          <w:szCs w:val="28"/>
          <w:lang w:val="en-US"/>
        </w:rPr>
        <w:t>n</w:t>
      </w:r>
      <w:r w:rsidRPr="00212EC2">
        <w:rPr>
          <w:rFonts w:ascii="Arial" w:hAnsi="Arial" w:cs="Arial"/>
          <w:b/>
          <w:bCs/>
          <w:sz w:val="28"/>
          <w:szCs w:val="28"/>
          <w:lang w:val="en-US"/>
        </w:rPr>
        <w:t xml:space="preserve">ecessity of </w:t>
      </w:r>
      <w:r w:rsidR="00D420ED">
        <w:rPr>
          <w:rFonts w:ascii="Arial" w:hAnsi="Arial" w:cs="Arial"/>
          <w:b/>
          <w:bCs/>
          <w:sz w:val="28"/>
          <w:szCs w:val="28"/>
          <w:lang w:val="en-US"/>
        </w:rPr>
        <w:t>t</w:t>
      </w:r>
      <w:r w:rsidRPr="00212EC2">
        <w:rPr>
          <w:rFonts w:ascii="Arial" w:hAnsi="Arial" w:cs="Arial"/>
          <w:b/>
          <w:bCs/>
          <w:sz w:val="28"/>
          <w:szCs w:val="28"/>
          <w:lang w:val="en-US"/>
        </w:rPr>
        <w:t xml:space="preserve">his </w:t>
      </w:r>
      <w:r w:rsidR="00D420ED">
        <w:rPr>
          <w:rFonts w:ascii="Arial" w:hAnsi="Arial" w:cs="Arial"/>
          <w:b/>
          <w:bCs/>
          <w:sz w:val="28"/>
          <w:szCs w:val="28"/>
          <w:lang w:val="en-US"/>
        </w:rPr>
        <w:t>project</w:t>
      </w:r>
    </w:p>
    <w:p w14:paraId="7257A442" w14:textId="311096F2" w:rsidR="00212EC2" w:rsidRPr="00212EC2" w:rsidRDefault="00212EC2" w:rsidP="00212EC2">
      <w:pPr>
        <w:jc w:val="both"/>
        <w:rPr>
          <w:rFonts w:ascii="Arial" w:hAnsi="Arial" w:cs="Arial"/>
          <w:lang w:val="en-US"/>
        </w:rPr>
      </w:pPr>
      <w:r w:rsidRPr="00212EC2">
        <w:rPr>
          <w:rFonts w:ascii="Arial" w:hAnsi="Arial" w:cs="Arial"/>
          <w:lang w:val="en-US"/>
        </w:rPr>
        <w:t xml:space="preserve">Despite major advances in </w:t>
      </w:r>
      <w:proofErr w:type="spellStart"/>
      <w:r w:rsidRPr="00212EC2">
        <w:rPr>
          <w:rFonts w:ascii="Arial" w:hAnsi="Arial" w:cs="Arial"/>
          <w:lang w:val="en-US"/>
        </w:rPr>
        <w:t>glycoproteomics</w:t>
      </w:r>
      <w:proofErr w:type="spellEnd"/>
      <w:r w:rsidRPr="00212EC2">
        <w:rPr>
          <w:rFonts w:ascii="Arial" w:hAnsi="Arial" w:cs="Arial"/>
          <w:lang w:val="en-US"/>
        </w:rPr>
        <w:t xml:space="preserve"> and structural biology, a critical gap remains in understanding how disease-associated mutations affect </w:t>
      </w:r>
      <w:r w:rsidR="0060120A" w:rsidRPr="00212EC2">
        <w:rPr>
          <w:rFonts w:ascii="Arial" w:hAnsi="Arial" w:cs="Arial"/>
          <w:lang w:val="en-US"/>
        </w:rPr>
        <w:t>glycosylated</w:t>
      </w:r>
      <w:r w:rsidRPr="00212EC2">
        <w:rPr>
          <w:rFonts w:ascii="Arial" w:hAnsi="Arial" w:cs="Arial"/>
          <w:lang w:val="en-US"/>
        </w:rPr>
        <w:t xml:space="preserve"> proteins at the structural and mechanistic level. Current approaches largely treat glycosylation as a binary feature</w:t>
      </w:r>
      <w:r w:rsidR="00D420ED">
        <w:rPr>
          <w:rFonts w:ascii="Arial" w:hAnsi="Arial" w:cs="Arial"/>
          <w:lang w:val="en-US"/>
        </w:rPr>
        <w:t xml:space="preserve">, </w:t>
      </w:r>
      <w:r w:rsidRPr="00212EC2">
        <w:rPr>
          <w:rFonts w:ascii="Arial" w:hAnsi="Arial" w:cs="Arial"/>
          <w:lang w:val="en-US"/>
        </w:rPr>
        <w:t>present or absent</w:t>
      </w:r>
      <w:r w:rsidR="00D420ED">
        <w:rPr>
          <w:rFonts w:ascii="Arial" w:hAnsi="Arial" w:cs="Arial"/>
          <w:lang w:val="en-US"/>
        </w:rPr>
        <w:t xml:space="preserve">, </w:t>
      </w:r>
      <w:r w:rsidRPr="00212EC2">
        <w:rPr>
          <w:rFonts w:ascii="Arial" w:hAnsi="Arial" w:cs="Arial"/>
          <w:lang w:val="en-US"/>
        </w:rPr>
        <w:t xml:space="preserve">without accounting for the </w:t>
      </w:r>
      <w:r w:rsidRPr="00212EC2">
        <w:rPr>
          <w:rFonts w:ascii="Arial" w:hAnsi="Arial" w:cs="Arial"/>
          <w:b/>
          <w:bCs/>
          <w:lang w:val="en-US"/>
        </w:rPr>
        <w:t>three-dimensional context</w:t>
      </w:r>
      <w:r w:rsidRPr="00212EC2">
        <w:rPr>
          <w:rFonts w:ascii="Arial" w:hAnsi="Arial" w:cs="Arial"/>
          <w:lang w:val="en-US"/>
        </w:rPr>
        <w:t xml:space="preserve"> in which glycans operate. As a result, the field lacks a unified framework to distinguish between mutations that disrupt glycosylation </w:t>
      </w:r>
      <w:proofErr w:type="spellStart"/>
      <w:r w:rsidRPr="00212EC2">
        <w:rPr>
          <w:rFonts w:ascii="Arial" w:hAnsi="Arial" w:cs="Arial"/>
          <w:lang w:val="en-US"/>
        </w:rPr>
        <w:t>sequons</w:t>
      </w:r>
      <w:proofErr w:type="spellEnd"/>
      <w:r w:rsidRPr="00212EC2">
        <w:rPr>
          <w:rFonts w:ascii="Arial" w:hAnsi="Arial" w:cs="Arial"/>
          <w:lang w:val="en-US"/>
        </w:rPr>
        <w:t xml:space="preserve"> and those that perturb </w:t>
      </w:r>
      <w:r w:rsidRPr="00212EC2">
        <w:rPr>
          <w:rFonts w:ascii="Arial" w:hAnsi="Arial" w:cs="Arial"/>
          <w:b/>
          <w:bCs/>
          <w:lang w:val="en-US"/>
        </w:rPr>
        <w:t>non-covalent glycan–protein interactions</w:t>
      </w:r>
      <w:r w:rsidRPr="00212EC2">
        <w:rPr>
          <w:rFonts w:ascii="Arial" w:hAnsi="Arial" w:cs="Arial"/>
          <w:lang w:val="en-US"/>
        </w:rPr>
        <w:t>, both of which may have distinct and functionally significant consequences.</w:t>
      </w:r>
    </w:p>
    <w:p w14:paraId="27457E1A"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This limitation has important implications. Sequence-based predictors and large-scale </w:t>
      </w:r>
      <w:proofErr w:type="spellStart"/>
      <w:r w:rsidRPr="00212EC2">
        <w:rPr>
          <w:rFonts w:ascii="Arial" w:hAnsi="Arial" w:cs="Arial"/>
          <w:lang w:val="en-US"/>
        </w:rPr>
        <w:t>glycoproteomics</w:t>
      </w:r>
      <w:proofErr w:type="spellEnd"/>
      <w:r w:rsidRPr="00212EC2">
        <w:rPr>
          <w:rFonts w:ascii="Arial" w:hAnsi="Arial" w:cs="Arial"/>
          <w:lang w:val="en-US"/>
        </w:rPr>
        <w:t xml:space="preserve"> datasets can identify candidate variants, but they provide limited mechanistic insight into how these mutations alter protein folding, stability, or intermolecular interactions. Similarly, structural prediction tools do not explicitly model glycans or their dynamic behavior, leaving a substantial gap between </w:t>
      </w:r>
      <w:r w:rsidRPr="00212EC2">
        <w:rPr>
          <w:rFonts w:ascii="Arial" w:hAnsi="Arial" w:cs="Arial"/>
          <w:b/>
          <w:bCs/>
          <w:lang w:val="en-US"/>
        </w:rPr>
        <w:t>variant identification and functional interpretation</w:t>
      </w:r>
      <w:r w:rsidRPr="00212EC2">
        <w:rPr>
          <w:rFonts w:ascii="Arial" w:hAnsi="Arial" w:cs="Arial"/>
          <w:lang w:val="en-US"/>
        </w:rPr>
        <w:t>. Without this mechanistic understanding, it is difficult to prioritize variants for experimental validation or to fully explain disease phenotypes associated with glycoprotein dysfunction.</w:t>
      </w:r>
    </w:p>
    <w:p w14:paraId="30036451" w14:textId="06030193" w:rsidR="00212EC2" w:rsidRPr="00212EC2" w:rsidRDefault="00212EC2" w:rsidP="00212EC2">
      <w:pPr>
        <w:jc w:val="both"/>
        <w:rPr>
          <w:rFonts w:ascii="Arial" w:hAnsi="Arial" w:cs="Arial"/>
          <w:lang w:val="en-US"/>
        </w:rPr>
      </w:pPr>
      <w:r w:rsidRPr="00212EC2">
        <w:rPr>
          <w:rFonts w:ascii="Arial" w:hAnsi="Arial" w:cs="Arial"/>
          <w:lang w:val="en-US"/>
        </w:rPr>
        <w:t xml:space="preserve">The framework developed in this study addresses this gap by integrating glycosylation annotations, structural modeling, and variant analysis into a single, structure-informed pipeline. Importantly, it distinguishes between two mechanistic classes of mutations: those that alter glycan occupancy through gain or loss of </w:t>
      </w:r>
      <w:proofErr w:type="spellStart"/>
      <w:r w:rsidRPr="00212EC2">
        <w:rPr>
          <w:rFonts w:ascii="Arial" w:hAnsi="Arial" w:cs="Arial"/>
          <w:lang w:val="en-US"/>
        </w:rPr>
        <w:t>sequons</w:t>
      </w:r>
      <w:proofErr w:type="spellEnd"/>
      <w:r w:rsidRPr="00212EC2">
        <w:rPr>
          <w:rFonts w:ascii="Arial" w:hAnsi="Arial" w:cs="Arial"/>
          <w:lang w:val="en-US"/>
        </w:rPr>
        <w:t xml:space="preserve">, and those that disrupt local glycan-mediated interaction networks. This dual perspective is essential, as it captures both </w:t>
      </w:r>
      <w:r w:rsidRPr="00212EC2">
        <w:rPr>
          <w:rFonts w:ascii="Arial" w:hAnsi="Arial" w:cs="Arial"/>
          <w:b/>
          <w:bCs/>
          <w:lang w:val="en-US"/>
        </w:rPr>
        <w:t>covalent and non-covalent contributions</w:t>
      </w:r>
      <w:r w:rsidRPr="00212EC2">
        <w:rPr>
          <w:rFonts w:ascii="Arial" w:hAnsi="Arial" w:cs="Arial"/>
          <w:lang w:val="en-US"/>
        </w:rPr>
        <w:t xml:space="preserve"> to glycoprotein </w:t>
      </w:r>
      <w:r w:rsidRPr="00212EC2">
        <w:rPr>
          <w:rFonts w:ascii="Arial" w:hAnsi="Arial" w:cs="Arial"/>
          <w:lang w:val="en-US"/>
        </w:rPr>
        <w:t xml:space="preserve">structure, </w:t>
      </w:r>
      <w:r w:rsidRPr="00212EC2">
        <w:rPr>
          <w:rFonts w:ascii="Arial" w:hAnsi="Arial" w:cs="Arial"/>
          <w:lang w:val="en-US"/>
        </w:rPr>
        <w:t>an aspect that is largely overlooked in existing methodologies.</w:t>
      </w:r>
    </w:p>
    <w:p w14:paraId="0D2C4C19"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By enabling visualization and analysis of glycan–protein interactions in three-dimensional space, this approach provides a necessary bridge between high-throughput data and molecular mechanism. It establishes a foundation for more accurate interpretation of disease-associated variants and opens new avenues for studying how post-translational modifications contribute to protein function. Ultimately, this work is essential for advancing the field toward a more </w:t>
      </w:r>
      <w:r w:rsidRPr="00212EC2">
        <w:rPr>
          <w:rFonts w:ascii="Arial" w:hAnsi="Arial" w:cs="Arial"/>
          <w:b/>
          <w:bCs/>
          <w:lang w:val="en-US"/>
        </w:rPr>
        <w:t>mechanistically grounded understanding of glycoprotein biology</w:t>
      </w:r>
      <w:r w:rsidRPr="00212EC2">
        <w:rPr>
          <w:rFonts w:ascii="Arial" w:hAnsi="Arial" w:cs="Arial"/>
          <w:lang w:val="en-US"/>
        </w:rPr>
        <w:t>, with implications for disease research, biomarker discovery, and therapeutic development.</w:t>
      </w:r>
    </w:p>
    <w:p w14:paraId="210522E4" w14:textId="5910F446" w:rsidR="00212EC2" w:rsidRPr="00212EC2" w:rsidRDefault="00212EC2" w:rsidP="00212EC2">
      <w:pPr>
        <w:jc w:val="both"/>
        <w:rPr>
          <w:rFonts w:ascii="Arial" w:hAnsi="Arial" w:cs="Arial"/>
          <w:b/>
          <w:bCs/>
          <w:sz w:val="28"/>
          <w:szCs w:val="28"/>
          <w:lang w:val="en-US"/>
        </w:rPr>
      </w:pPr>
      <w:r w:rsidRPr="00212EC2">
        <w:rPr>
          <w:rFonts w:ascii="Arial" w:hAnsi="Arial" w:cs="Arial"/>
          <w:b/>
          <w:bCs/>
          <w:sz w:val="28"/>
          <w:szCs w:val="28"/>
          <w:lang w:val="en-US"/>
        </w:rPr>
        <w:t xml:space="preserve">Strengths and </w:t>
      </w:r>
      <w:r w:rsidR="00D420ED">
        <w:rPr>
          <w:rFonts w:ascii="Arial" w:hAnsi="Arial" w:cs="Arial"/>
          <w:b/>
          <w:bCs/>
          <w:sz w:val="28"/>
          <w:szCs w:val="28"/>
          <w:lang w:val="en-US"/>
        </w:rPr>
        <w:t>l</w:t>
      </w:r>
      <w:r w:rsidRPr="00212EC2">
        <w:rPr>
          <w:rFonts w:ascii="Arial" w:hAnsi="Arial" w:cs="Arial"/>
          <w:b/>
          <w:bCs/>
          <w:sz w:val="28"/>
          <w:szCs w:val="28"/>
          <w:lang w:val="en-US"/>
        </w:rPr>
        <w:t xml:space="preserve">imitations of the </w:t>
      </w:r>
      <w:r w:rsidR="00D420ED">
        <w:rPr>
          <w:rFonts w:ascii="Arial" w:hAnsi="Arial" w:cs="Arial"/>
          <w:b/>
          <w:bCs/>
          <w:sz w:val="28"/>
          <w:szCs w:val="28"/>
          <w:lang w:val="en-US"/>
        </w:rPr>
        <w:t>p</w:t>
      </w:r>
      <w:r w:rsidRPr="00212EC2">
        <w:rPr>
          <w:rFonts w:ascii="Arial" w:hAnsi="Arial" w:cs="Arial"/>
          <w:b/>
          <w:bCs/>
          <w:sz w:val="28"/>
          <w:szCs w:val="28"/>
          <w:lang w:val="en-US"/>
        </w:rPr>
        <w:t xml:space="preserve">roposed </w:t>
      </w:r>
      <w:r w:rsidR="00D420ED">
        <w:rPr>
          <w:rFonts w:ascii="Arial" w:hAnsi="Arial" w:cs="Arial"/>
          <w:b/>
          <w:bCs/>
          <w:sz w:val="28"/>
          <w:szCs w:val="28"/>
          <w:lang w:val="en-US"/>
        </w:rPr>
        <w:t>f</w:t>
      </w:r>
      <w:r w:rsidRPr="00212EC2">
        <w:rPr>
          <w:rFonts w:ascii="Arial" w:hAnsi="Arial" w:cs="Arial"/>
          <w:b/>
          <w:bCs/>
          <w:sz w:val="28"/>
          <w:szCs w:val="28"/>
          <w:lang w:val="en-US"/>
        </w:rPr>
        <w:t>ramework</w:t>
      </w:r>
    </w:p>
    <w:p w14:paraId="5D184497" w14:textId="2490063C" w:rsidR="00212EC2" w:rsidRPr="00212EC2" w:rsidRDefault="00212EC2" w:rsidP="00212EC2">
      <w:pPr>
        <w:jc w:val="both"/>
        <w:rPr>
          <w:rFonts w:ascii="Arial" w:hAnsi="Arial" w:cs="Arial"/>
          <w:lang w:val="en-US"/>
        </w:rPr>
      </w:pPr>
      <w:r w:rsidRPr="00212EC2">
        <w:rPr>
          <w:rFonts w:ascii="Arial" w:hAnsi="Arial" w:cs="Arial"/>
          <w:lang w:val="en-US"/>
        </w:rPr>
        <w:t>The computational framework presented here offers several key advantages for the analysis of glycosylation-associated variants</w:t>
      </w:r>
      <w:r w:rsidR="00F07A3B">
        <w:rPr>
          <w:rFonts w:ascii="Arial" w:hAnsi="Arial" w:cs="Arial"/>
          <w:lang w:val="en-US"/>
        </w:rPr>
        <w:t>:</w:t>
      </w:r>
    </w:p>
    <w:p w14:paraId="070C44CD"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First, it provides </w:t>
      </w:r>
      <w:r w:rsidRPr="00212EC2">
        <w:rPr>
          <w:rFonts w:ascii="Arial" w:hAnsi="Arial" w:cs="Arial"/>
          <w:b/>
          <w:bCs/>
          <w:lang w:val="en-US"/>
        </w:rPr>
        <w:t>integrative, structure-based insight</w:t>
      </w:r>
      <w:r w:rsidRPr="00212EC2">
        <w:rPr>
          <w:rFonts w:ascii="Arial" w:hAnsi="Arial" w:cs="Arial"/>
          <w:lang w:val="en-US"/>
        </w:rPr>
        <w:t xml:space="preserve"> by combining glycoproteomic annotations, structural data, and variant information. This enables analysis of mutations in their </w:t>
      </w:r>
      <w:r w:rsidRPr="00212EC2">
        <w:rPr>
          <w:rFonts w:ascii="Arial" w:hAnsi="Arial" w:cs="Arial"/>
          <w:b/>
          <w:bCs/>
          <w:lang w:val="en-US"/>
        </w:rPr>
        <w:t>three-dimensional context</w:t>
      </w:r>
      <w:r w:rsidRPr="00212EC2">
        <w:rPr>
          <w:rFonts w:ascii="Arial" w:hAnsi="Arial" w:cs="Arial"/>
          <w:lang w:val="en-US"/>
        </w:rPr>
        <w:t>, which is not achievable using sequence-based approaches alone.</w:t>
      </w:r>
    </w:p>
    <w:p w14:paraId="7CB82E2E"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Second, the framework introduces a </w:t>
      </w:r>
      <w:r w:rsidRPr="00212EC2">
        <w:rPr>
          <w:rFonts w:ascii="Arial" w:hAnsi="Arial" w:cs="Arial"/>
          <w:b/>
          <w:bCs/>
          <w:lang w:val="en-US"/>
        </w:rPr>
        <w:t>mechanistic classification</w:t>
      </w:r>
      <w:r w:rsidRPr="00212EC2">
        <w:rPr>
          <w:rFonts w:ascii="Arial" w:hAnsi="Arial" w:cs="Arial"/>
          <w:lang w:val="en-US"/>
        </w:rPr>
        <w:t xml:space="preserve"> of variants into those affecting glycan occupancy and those perturbing non-covalent interactions. This distinction allows for more precise interpretation of how mutations influence glycoprotein structure and function.</w:t>
      </w:r>
    </w:p>
    <w:p w14:paraId="40D0A661" w14:textId="3851A66A" w:rsidR="00212EC2" w:rsidRPr="00212EC2" w:rsidRDefault="00212EC2" w:rsidP="00212EC2">
      <w:pPr>
        <w:jc w:val="both"/>
        <w:rPr>
          <w:rFonts w:ascii="Arial" w:hAnsi="Arial" w:cs="Arial"/>
          <w:lang w:val="en-US"/>
        </w:rPr>
      </w:pPr>
      <w:r w:rsidRPr="00212EC2">
        <w:rPr>
          <w:rFonts w:ascii="Arial" w:hAnsi="Arial" w:cs="Arial"/>
          <w:lang w:val="en-US"/>
        </w:rPr>
        <w:t xml:space="preserve">Third, the use of complementary computational </w:t>
      </w:r>
      <w:r w:rsidRPr="00212EC2">
        <w:rPr>
          <w:rFonts w:ascii="Arial" w:hAnsi="Arial" w:cs="Arial"/>
          <w:lang w:val="en-US"/>
        </w:rPr>
        <w:t xml:space="preserve">tools, </w:t>
      </w:r>
      <w:r w:rsidRPr="00212EC2">
        <w:rPr>
          <w:rFonts w:ascii="Arial" w:hAnsi="Arial" w:cs="Arial"/>
          <w:lang w:val="en-US"/>
        </w:rPr>
        <w:t>including structural visualization, energy minimization, and molecular modeling</w:t>
      </w:r>
      <w:r w:rsidR="00B33921">
        <w:rPr>
          <w:rFonts w:ascii="Arial" w:hAnsi="Arial" w:cs="Arial"/>
          <w:lang w:val="en-US"/>
        </w:rPr>
        <w:t xml:space="preserve"> </w:t>
      </w:r>
      <w:r w:rsidRPr="00212EC2">
        <w:rPr>
          <w:rFonts w:ascii="Arial" w:hAnsi="Arial" w:cs="Arial"/>
          <w:lang w:val="en-US"/>
        </w:rPr>
        <w:t xml:space="preserve">allows for </w:t>
      </w:r>
      <w:r w:rsidRPr="00212EC2">
        <w:rPr>
          <w:rFonts w:ascii="Arial" w:hAnsi="Arial" w:cs="Arial"/>
          <w:b/>
          <w:bCs/>
          <w:lang w:val="en-US"/>
        </w:rPr>
        <w:t>multi-scale analysis</w:t>
      </w:r>
      <w:r w:rsidRPr="00212EC2">
        <w:rPr>
          <w:rFonts w:ascii="Arial" w:hAnsi="Arial" w:cs="Arial"/>
          <w:lang w:val="en-US"/>
        </w:rPr>
        <w:t>, ranging from local steric effects to broader structural implications. This flexibility makes the approach broadly applicable across diverse glycoproteins.</w:t>
      </w:r>
    </w:p>
    <w:p w14:paraId="1F8BA0E5" w14:textId="77777777" w:rsidR="00212EC2" w:rsidRPr="00212EC2" w:rsidRDefault="00212EC2" w:rsidP="00212EC2">
      <w:pPr>
        <w:jc w:val="both"/>
        <w:rPr>
          <w:rFonts w:ascii="Arial" w:hAnsi="Arial" w:cs="Arial"/>
          <w:lang w:val="en-US"/>
        </w:rPr>
      </w:pPr>
      <w:r w:rsidRPr="00212EC2">
        <w:rPr>
          <w:rFonts w:ascii="Arial" w:hAnsi="Arial" w:cs="Arial"/>
          <w:lang w:val="en-US"/>
        </w:rPr>
        <w:lastRenderedPageBreak/>
        <w:t>However, several limitations should be considered.</w:t>
      </w:r>
    </w:p>
    <w:p w14:paraId="4AA839DF"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A primary limitation is the reliance on </w:t>
      </w:r>
      <w:r w:rsidRPr="00212EC2">
        <w:rPr>
          <w:rFonts w:ascii="Arial" w:hAnsi="Arial" w:cs="Arial"/>
          <w:b/>
          <w:bCs/>
          <w:lang w:val="en-US"/>
        </w:rPr>
        <w:t>static structural models</w:t>
      </w:r>
      <w:r w:rsidRPr="00212EC2">
        <w:rPr>
          <w:rFonts w:ascii="Arial" w:hAnsi="Arial" w:cs="Arial"/>
          <w:lang w:val="en-US"/>
        </w:rPr>
        <w:t>, which do not capture the dynamic nature of glycan–protein interactions. Glycans are highly flexible, and their interactions with proteins may fluctuate over time, potentially altering the conclusions drawn from static snapshots.</w:t>
      </w:r>
    </w:p>
    <w:p w14:paraId="32C10132"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In addition, the accuracy of the analysis depends on the </w:t>
      </w:r>
      <w:r w:rsidRPr="00212EC2">
        <w:rPr>
          <w:rFonts w:ascii="Arial" w:hAnsi="Arial" w:cs="Arial"/>
          <w:b/>
          <w:bCs/>
          <w:lang w:val="en-US"/>
        </w:rPr>
        <w:t>quality and completeness of available structural data</w:t>
      </w:r>
      <w:r w:rsidRPr="00212EC2">
        <w:rPr>
          <w:rFonts w:ascii="Arial" w:hAnsi="Arial" w:cs="Arial"/>
          <w:lang w:val="en-US"/>
        </w:rPr>
        <w:t>. Many experimentally determined structures lack fully resolved glycans, requiring computational modeling that introduces uncertainty.</w:t>
      </w:r>
    </w:p>
    <w:p w14:paraId="3157A532"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The framework is also constrained by </w:t>
      </w:r>
      <w:r w:rsidRPr="00212EC2">
        <w:rPr>
          <w:rFonts w:ascii="Arial" w:hAnsi="Arial" w:cs="Arial"/>
          <w:b/>
          <w:bCs/>
          <w:lang w:val="en-US"/>
        </w:rPr>
        <w:t>approximations in energy minimization and modeling methods</w:t>
      </w:r>
      <w:r w:rsidRPr="00212EC2">
        <w:rPr>
          <w:rFonts w:ascii="Arial" w:hAnsi="Arial" w:cs="Arial"/>
          <w:lang w:val="en-US"/>
        </w:rPr>
        <w:t>, which may not fully represent physiological conditions, particularly in the absence of explicit solvent and long-timescale dynamics.</w:t>
      </w:r>
    </w:p>
    <w:p w14:paraId="0A693454"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Finally, the current implementation has been applied to a </w:t>
      </w:r>
      <w:r w:rsidRPr="00212EC2">
        <w:rPr>
          <w:rFonts w:ascii="Arial" w:hAnsi="Arial" w:cs="Arial"/>
          <w:b/>
          <w:bCs/>
          <w:lang w:val="en-US"/>
        </w:rPr>
        <w:t>limited number of case studies</w:t>
      </w:r>
      <w:r w:rsidRPr="00212EC2">
        <w:rPr>
          <w:rFonts w:ascii="Arial" w:hAnsi="Arial" w:cs="Arial"/>
          <w:lang w:val="en-US"/>
        </w:rPr>
        <w:t>, and broader validation across large datasets will be necessary to assess generalizability and predictive performance.</w:t>
      </w:r>
    </w:p>
    <w:p w14:paraId="010920BC" w14:textId="77777777" w:rsidR="00212EC2" w:rsidRPr="00212EC2" w:rsidRDefault="00212EC2" w:rsidP="00212EC2">
      <w:pPr>
        <w:jc w:val="both"/>
        <w:rPr>
          <w:rFonts w:ascii="Arial" w:hAnsi="Arial" w:cs="Arial"/>
          <w:lang w:val="en-US"/>
        </w:rPr>
      </w:pPr>
      <w:r w:rsidRPr="00212EC2">
        <w:rPr>
          <w:rFonts w:ascii="Arial" w:hAnsi="Arial" w:cs="Arial"/>
          <w:lang w:val="en-US"/>
        </w:rPr>
        <w:t xml:space="preserve">Despite these limitations, the proposed approach provides a valuable foundation for structure-informed analysis of glycosylation. Many of these challenges can be addressed in future work through the incorporation of molecular dynamics simulations, improved glycan modeling, and integration with experimental datasets. As such, the limitations represent not only constraints but also </w:t>
      </w:r>
      <w:r w:rsidRPr="00212EC2">
        <w:rPr>
          <w:rFonts w:ascii="Arial" w:hAnsi="Arial" w:cs="Arial"/>
          <w:b/>
          <w:bCs/>
          <w:lang w:val="en-US"/>
        </w:rPr>
        <w:t>opportunities for methodological advancement</w:t>
      </w:r>
      <w:r w:rsidRPr="00212EC2">
        <w:rPr>
          <w:rFonts w:ascii="Arial" w:hAnsi="Arial" w:cs="Arial"/>
          <w:lang w:val="en-US"/>
        </w:rPr>
        <w:t>.</w:t>
      </w:r>
    </w:p>
    <w:p w14:paraId="6AC0CF93" w14:textId="012E68DF" w:rsidR="00EA389A" w:rsidRPr="00212EC2" w:rsidRDefault="00212EC2" w:rsidP="00212EC2">
      <w:pPr>
        <w:jc w:val="both"/>
        <w:rPr>
          <w:rFonts w:ascii="Arial" w:hAnsi="Arial" w:cs="Arial"/>
          <w:b/>
          <w:bCs/>
          <w:sz w:val="28"/>
          <w:szCs w:val="28"/>
          <w:lang w:val="en-US"/>
        </w:rPr>
      </w:pPr>
      <w:r w:rsidRPr="00212EC2">
        <w:rPr>
          <w:rFonts w:ascii="Arial" w:hAnsi="Arial" w:cs="Arial"/>
          <w:b/>
          <w:bCs/>
          <w:sz w:val="28"/>
          <w:szCs w:val="28"/>
          <w:lang w:val="en-US"/>
        </w:rPr>
        <w:t>Critical gaps (Priority analyses)</w:t>
      </w:r>
    </w:p>
    <w:p w14:paraId="199AD176" w14:textId="7C390F53" w:rsidR="00212EC2" w:rsidRPr="00F07A3B" w:rsidRDefault="00EC000B" w:rsidP="00F07A3B">
      <w:pPr>
        <w:pStyle w:val="ListParagraph"/>
        <w:numPr>
          <w:ilvl w:val="0"/>
          <w:numId w:val="1"/>
        </w:numPr>
        <w:jc w:val="both"/>
        <w:rPr>
          <w:rFonts w:ascii="Arial" w:hAnsi="Arial" w:cs="Arial"/>
          <w:lang w:val="en-US"/>
        </w:rPr>
      </w:pPr>
      <w:r w:rsidRPr="00F07A3B">
        <w:rPr>
          <w:rFonts w:ascii="Arial" w:hAnsi="Arial" w:cs="Arial"/>
          <w:lang w:val="en-US"/>
        </w:rPr>
        <w:t>Run the pipeline on a dataset-level analysis</w:t>
      </w:r>
    </w:p>
    <w:p w14:paraId="13E08B7F" w14:textId="5A34EDC6" w:rsidR="00EC000B" w:rsidRPr="00F07A3B" w:rsidRDefault="00EC000B" w:rsidP="00F07A3B">
      <w:pPr>
        <w:pStyle w:val="ListParagraph"/>
        <w:numPr>
          <w:ilvl w:val="0"/>
          <w:numId w:val="1"/>
        </w:numPr>
        <w:jc w:val="both"/>
        <w:rPr>
          <w:rFonts w:ascii="Arial" w:hAnsi="Arial" w:cs="Arial"/>
          <w:lang w:val="en-US"/>
        </w:rPr>
      </w:pPr>
      <w:r w:rsidRPr="00F07A3B">
        <w:rPr>
          <w:rFonts w:ascii="Arial" w:hAnsi="Arial" w:cs="Arial"/>
          <w:lang w:val="en-US"/>
        </w:rPr>
        <w:t xml:space="preserve">Outputs: % of variants that disrupt or create </w:t>
      </w:r>
      <w:proofErr w:type="spellStart"/>
      <w:r w:rsidRPr="00F07A3B">
        <w:rPr>
          <w:rFonts w:ascii="Arial" w:hAnsi="Arial" w:cs="Arial"/>
          <w:lang w:val="en-US"/>
        </w:rPr>
        <w:t>sequons</w:t>
      </w:r>
      <w:proofErr w:type="spellEnd"/>
      <w:r w:rsidRPr="00F07A3B">
        <w:rPr>
          <w:rFonts w:ascii="Arial" w:hAnsi="Arial" w:cs="Arial"/>
          <w:lang w:val="en-US"/>
        </w:rPr>
        <w:t>; % of variants affecting glycan-interacting residues. Figure: variant class distribution and heatmap of disease-associated structural alterations.</w:t>
      </w:r>
    </w:p>
    <w:p w14:paraId="04B64829" w14:textId="13C3F024" w:rsidR="00EC000B" w:rsidRPr="00F07A3B" w:rsidRDefault="00EC000B" w:rsidP="00F07A3B">
      <w:pPr>
        <w:pStyle w:val="ListParagraph"/>
        <w:numPr>
          <w:ilvl w:val="0"/>
          <w:numId w:val="1"/>
        </w:numPr>
        <w:jc w:val="both"/>
        <w:rPr>
          <w:rFonts w:ascii="Arial" w:hAnsi="Arial" w:cs="Arial"/>
          <w:lang w:val="en-US"/>
        </w:rPr>
      </w:pPr>
      <w:r w:rsidRPr="00F07A3B">
        <w:rPr>
          <w:rFonts w:ascii="Arial" w:hAnsi="Arial" w:cs="Arial"/>
          <w:lang w:val="en-US"/>
        </w:rPr>
        <w:t xml:space="preserve">Quantitative </w:t>
      </w:r>
      <w:r w:rsidR="0060120A" w:rsidRPr="00F07A3B">
        <w:rPr>
          <w:rFonts w:ascii="Arial" w:hAnsi="Arial" w:cs="Arial"/>
          <w:lang w:val="en-US"/>
        </w:rPr>
        <w:t>analysis</w:t>
      </w:r>
      <w:r w:rsidRPr="00F07A3B">
        <w:rPr>
          <w:rFonts w:ascii="Arial" w:hAnsi="Arial" w:cs="Arial"/>
          <w:lang w:val="en-US"/>
        </w:rPr>
        <w:t>: distance to glycan, hydrogen-bond count, glycoprotein stability</w:t>
      </w:r>
    </w:p>
    <w:p w14:paraId="463E7137" w14:textId="77C49A6C" w:rsidR="00EC000B" w:rsidRPr="00F07A3B" w:rsidRDefault="00EC000B" w:rsidP="00F07A3B">
      <w:pPr>
        <w:pStyle w:val="ListParagraph"/>
        <w:numPr>
          <w:ilvl w:val="0"/>
          <w:numId w:val="1"/>
        </w:numPr>
        <w:jc w:val="both"/>
        <w:rPr>
          <w:rFonts w:ascii="Arial" w:hAnsi="Arial" w:cs="Arial"/>
          <w:lang w:val="en-US"/>
        </w:rPr>
      </w:pPr>
      <w:r w:rsidRPr="00F07A3B">
        <w:rPr>
          <w:rFonts w:ascii="Arial" w:hAnsi="Arial" w:cs="Arial"/>
          <w:lang w:val="en-US"/>
        </w:rPr>
        <w:t>Molecular dynamics</w:t>
      </w:r>
    </w:p>
    <w:p w14:paraId="5F3C31F2" w14:textId="57D7CF11" w:rsidR="00EC000B" w:rsidRPr="00212EC2" w:rsidRDefault="00EC000B" w:rsidP="00212EC2">
      <w:pPr>
        <w:jc w:val="both"/>
        <w:rPr>
          <w:rFonts w:ascii="Arial" w:hAnsi="Arial" w:cs="Arial"/>
          <w:lang w:val="en-US"/>
        </w:rPr>
      </w:pPr>
      <w:r w:rsidRPr="00F07A3B">
        <w:rPr>
          <w:rFonts w:ascii="Arial" w:hAnsi="Arial" w:cs="Arial"/>
          <w:b/>
          <w:bCs/>
          <w:lang w:val="en-US"/>
        </w:rPr>
        <w:t xml:space="preserve">Final goal: </w:t>
      </w:r>
      <w:r w:rsidRPr="00F07A3B">
        <w:rPr>
          <w:rFonts w:ascii="Arial" w:hAnsi="Arial" w:cs="Arial"/>
          <w:u w:val="single"/>
          <w:lang w:val="en-US"/>
        </w:rPr>
        <w:t xml:space="preserve">Define glycan-interacting residues </w:t>
      </w:r>
      <w:r w:rsidR="00D420ED">
        <w:rPr>
          <w:rFonts w:ascii="Arial" w:hAnsi="Arial" w:cs="Arial"/>
          <w:u w:val="single"/>
          <w:lang w:val="en-US"/>
        </w:rPr>
        <w:t xml:space="preserve">related to disease </w:t>
      </w:r>
      <w:r w:rsidRPr="00F07A3B">
        <w:rPr>
          <w:rFonts w:ascii="Arial" w:hAnsi="Arial" w:cs="Arial"/>
          <w:u w:val="single"/>
          <w:lang w:val="en-US"/>
        </w:rPr>
        <w:t>systematically</w:t>
      </w:r>
    </w:p>
    <w:sectPr w:rsidR="00EC000B" w:rsidRPr="00212EC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F39CA"/>
    <w:multiLevelType w:val="hybridMultilevel"/>
    <w:tmpl w:val="6A0489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3680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0"/>
  </w:compat>
  <w:rsids>
    <w:rsidRoot w:val="00E83FFA"/>
    <w:rsid w:val="00212EC2"/>
    <w:rsid w:val="00377936"/>
    <w:rsid w:val="0060120A"/>
    <w:rsid w:val="00944A65"/>
    <w:rsid w:val="00B33921"/>
    <w:rsid w:val="00D420ED"/>
    <w:rsid w:val="00E83FFA"/>
    <w:rsid w:val="00EA389A"/>
    <w:rsid w:val="00EC000B"/>
    <w:rsid w:val="00F07A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8F50F"/>
  <w15:chartTrackingRefBased/>
  <w15:docId w15:val="{473EEF9E-5EA8-4850-B2BB-73B96DB44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FF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83FF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83FF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83FF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83FF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3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FF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83FF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83FF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83FF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83FF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83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FFA"/>
    <w:rPr>
      <w:rFonts w:eastAsiaTheme="majorEastAsia" w:cstheme="majorBidi"/>
      <w:color w:val="272727" w:themeColor="text1" w:themeTint="D8"/>
    </w:rPr>
  </w:style>
  <w:style w:type="paragraph" w:styleId="Title">
    <w:name w:val="Title"/>
    <w:basedOn w:val="Normal"/>
    <w:next w:val="Normal"/>
    <w:link w:val="TitleChar"/>
    <w:uiPriority w:val="10"/>
    <w:qFormat/>
    <w:rsid w:val="00E83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F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F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3FFA"/>
    <w:rPr>
      <w:i/>
      <w:iCs/>
      <w:color w:val="404040" w:themeColor="text1" w:themeTint="BF"/>
    </w:rPr>
  </w:style>
  <w:style w:type="paragraph" w:styleId="ListParagraph">
    <w:name w:val="List Paragraph"/>
    <w:basedOn w:val="Normal"/>
    <w:uiPriority w:val="34"/>
    <w:qFormat/>
    <w:rsid w:val="00E83FFA"/>
    <w:pPr>
      <w:ind w:left="720"/>
      <w:contextualSpacing/>
    </w:pPr>
  </w:style>
  <w:style w:type="character" w:styleId="IntenseEmphasis">
    <w:name w:val="Intense Emphasis"/>
    <w:basedOn w:val="DefaultParagraphFont"/>
    <w:uiPriority w:val="21"/>
    <w:qFormat/>
    <w:rsid w:val="00E83FFA"/>
    <w:rPr>
      <w:i/>
      <w:iCs/>
      <w:color w:val="365F91" w:themeColor="accent1" w:themeShade="BF"/>
    </w:rPr>
  </w:style>
  <w:style w:type="paragraph" w:styleId="IntenseQuote">
    <w:name w:val="Intense Quote"/>
    <w:basedOn w:val="Normal"/>
    <w:next w:val="Normal"/>
    <w:link w:val="IntenseQuoteChar"/>
    <w:uiPriority w:val="30"/>
    <w:qFormat/>
    <w:rsid w:val="00E83FF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3FFA"/>
    <w:rPr>
      <w:i/>
      <w:iCs/>
      <w:color w:val="365F91" w:themeColor="accent1" w:themeShade="BF"/>
    </w:rPr>
  </w:style>
  <w:style w:type="character" w:styleId="IntenseReference">
    <w:name w:val="Intense Reference"/>
    <w:basedOn w:val="DefaultParagraphFont"/>
    <w:uiPriority w:val="32"/>
    <w:qFormat/>
    <w:rsid w:val="00E83FF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Maccioni, Luca (NIH/NIAAA) [F]</dc:creator>
  <cp:keywords/>
  <dc:description/>
  <cp:lastModifiedBy>Maccioni, Luca (NIH/NIAAA) [F]</cp:lastModifiedBy>
  <cp:revision>7</cp:revision>
  <dcterms:created xsi:type="dcterms:W3CDTF">2026-04-11T18:28:00Z</dcterms:created>
  <dcterms:modified xsi:type="dcterms:W3CDTF">2026-04-11T21:01:00Z</dcterms:modified>
</cp:coreProperties>
</file>