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8b2332a9ded3164087a584f1b6dfd1861c5b36"/>
    <w:p>
      <w:pPr>
        <w:pStyle w:val="Heading1"/>
      </w:pPr>
      <w:r>
        <w:t xml:space="preserve">Respostas da Atividade - Rede de Kohonen (SOM)</w:t>
      </w:r>
    </w:p>
    <w:p>
      <w:pPr>
        <w:pStyle w:val="FirstParagraph"/>
      </w:pPr>
      <w:r>
        <w:t xml:space="preserve">Esta atividade apresenta os resultados obtidos com o treinamento e a simulação de uma</w:t>
      </w:r>
      <w:r>
        <w:t xml:space="preserve"> </w:t>
      </w:r>
      <w:r>
        <w:rPr>
          <w:bCs/>
          <w:b/>
        </w:rPr>
        <w:t xml:space="preserve">Rede de Kohonen (Self-Organizing Map - SOM)</w:t>
      </w:r>
      <w:r>
        <w:t xml:space="preserve"> </w:t>
      </w:r>
      <w:r>
        <w:t xml:space="preserve">para detecção de similaridades e agrupamento de amostras imperfeitas de borracha em um processo industrial.</w:t>
      </w:r>
    </w:p>
    <w:p>
      <w:r>
        <w:pict>
          <v:rect style="width:0;height:1.5pt" o:hralign="center" o:hrstd="t" o:hr="t"/>
        </w:pict>
      </w:r>
    </w:p>
    <w:bookmarkStart w:id="22" w:name="Xac25bd45ce03dee0fef4d648ec80d9980c0c742"/>
    <w:p>
      <w:pPr>
        <w:pStyle w:val="Heading2"/>
      </w:pPr>
      <w:r>
        <w:t xml:space="preserve">1. Mapeamento das Regiões do Grid 4x4 (Questão 1)</w:t>
      </w:r>
    </w:p>
    <w:p>
      <w:pPr>
        <w:pStyle w:val="FirstParagraph"/>
      </w:pPr>
      <w:r>
        <w:t xml:space="preserve">O grid topológico bidimensional de tamanho 4x4 (16 neurônios) foi treinado utilizando as 120 amostras de dados contidas no apêndice da atividade, com os seguintes parâmetros configurados: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Neurônios no Grid:</w:t>
      </w:r>
      <w:r>
        <w:t xml:space="preserve"> </w:t>
      </w:r>
      <w:r>
        <w:t xml:space="preserve">16 neurônios dispostos em 4x4, mapeados com coordenadas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para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Taxa de Aprendizado (</w:t>
      </w:r>
      <m:oMath>
        <m:r>
          <m:t>η</m:t>
        </m:r>
      </m:oMath>
      <w:r>
        <w:rPr>
          <w:bCs/>
          <w:b/>
        </w:rPr>
        <w:t xml:space="preserve">):</w:t>
      </w:r>
      <w:r>
        <w:t xml:space="preserve"> </w:t>
      </w:r>
      <m:oMath>
        <m:r>
          <m:t>0.001</m:t>
        </m:r>
      </m:oMath>
      <w:r>
        <w:t xml:space="preserve"> </w:t>
      </w:r>
      <w:r>
        <w:t xml:space="preserve">(fixo).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Raio de Vizinhança (</w:t>
      </w:r>
      <m:oMath>
        <m:r>
          <m:t>R</m:t>
        </m:r>
      </m:oMath>
      <w:r>
        <w:rPr>
          <w:bCs/>
          <w:b/>
        </w:rPr>
        <w:t xml:space="preserve">):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(vizinhos Manhattan directos: distância</w:t>
      </w:r>
      <w:r>
        <w:t xml:space="preserve"> </w:t>
      </w:r>
      <m:oMath>
        <m:r>
          <m:rPr>
            <m:sty m:val="p"/>
          </m:rPr>
          <m:t>≤</m:t>
        </m:r>
        <m:r>
          <m:t>1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Épocas de Treinamento:</w:t>
      </w:r>
      <w:r>
        <w:t xml:space="preserve"> </w:t>
      </w:r>
      <m:oMath>
        <m:r>
          <m:t>10.000</m:t>
        </m:r>
      </m:oMath>
      <w:r>
        <w:t xml:space="preserve"> </w:t>
      </w:r>
      <w:r>
        <w:t xml:space="preserve">épocas (para garantir a convergência estável dos pesos).</w:t>
      </w:r>
    </w:p>
    <w:p>
      <w:pPr>
        <w:pStyle w:val="BodyText"/>
      </w:pPr>
      <w:r>
        <w:t xml:space="preserve">De acordo com o enunciado, as amostras pertencem a três classes conhecidas: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A:</w:t>
      </w:r>
      <w:r>
        <w:t xml:space="preserve"> </w:t>
      </w:r>
      <w:r>
        <w:t xml:space="preserve">Amostras 1 a 20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0.25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0.25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0.20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B:</w:t>
      </w:r>
      <w:r>
        <w:t xml:space="preserve"> </w:t>
      </w:r>
      <w:r>
        <w:t xml:space="preserve">Amostras 21 a 60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0.75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0.25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0.75</m:t>
        </m:r>
      </m:oMath>
      <w: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C:</w:t>
      </w:r>
      <w:r>
        <w:t xml:space="preserve"> </w:t>
      </w:r>
      <w:r>
        <w:t xml:space="preserve">Amostras 61 a 120 (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0.50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0.75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≈</m:t>
        </m:r>
        <m:r>
          <m:t>0.50</m:t>
        </m:r>
      </m:oMath>
      <w:r>
        <w:t xml:space="preserve">)</w:t>
      </w:r>
    </w:p>
    <w:bookmarkStart w:id="20" w:name="organização-topológica-do-grid-4x4"/>
    <w:p>
      <w:pPr>
        <w:pStyle w:val="Heading3"/>
      </w:pPr>
      <w:r>
        <w:t xml:space="preserve">Organização Topológica do Grid 4x4</w:t>
      </w:r>
    </w:p>
    <w:p>
      <w:pPr>
        <w:pStyle w:val="FirstParagraph"/>
      </w:pPr>
      <w:r>
        <w:t xml:space="preserve">Após o treinamento, o mapeamento obtido para cada neurônio (representando a contagem de amostras de cada classe que ativaram o neurônio correspondente como vencedor) foi o seguinte:</w:t>
      </w:r>
    </w:p>
    <w:p>
      <w:pPr>
        <w:pStyle w:val="SourceCode"/>
      </w:pPr>
      <w:r>
        <w:rPr>
          <w:rStyle w:val="VerbatimChar"/>
        </w:rPr>
        <w:t xml:space="preserve">+--------------------------+--------------------------+--------------------------+--------------------------+</w:t>
      </w:r>
      <w:r>
        <w:br/>
      </w:r>
      <w:r>
        <w:rPr>
          <w:rStyle w:val="VerbatimChar"/>
        </w:rPr>
        <w:t xml:space="preserve">| Neurônio 01 (N01): [C]   | Neurônio 02 (N02): [C]   | Neurônio 03 (N03): [B]   | Neurônio 04 (N04): [B]   |</w:t>
      </w:r>
      <w:r>
        <w:br/>
      </w:r>
      <w:r>
        <w:rPr>
          <w:rStyle w:val="VerbatimChar"/>
        </w:rPr>
        <w:t xml:space="preserve">| (A:0, B:0, C:11)         | (A:0, B:0, C:11)         | (A:0, B:1, C:0)          | (A:0, B:18, C:0)         |</w:t>
      </w:r>
      <w:r>
        <w:br/>
      </w:r>
      <w:r>
        <w:rPr>
          <w:rStyle w:val="VerbatimChar"/>
        </w:rPr>
        <w:t xml:space="preserve">+--------------------------+--------------------------+--------------------------+--------------------------+</w:t>
      </w:r>
      <w:r>
        <w:br/>
      </w:r>
      <w:r>
        <w:rPr>
          <w:rStyle w:val="VerbatimChar"/>
        </w:rPr>
        <w:t xml:space="preserve">| Neurônio 05 (N05): [C]   | Neurônio 06 (N06): [C]   | Neurônio 07 (N07): [B]   | Neurônio 08 (N08): [B]   |</w:t>
      </w:r>
      <w:r>
        <w:br/>
      </w:r>
      <w:r>
        <w:rPr>
          <w:rStyle w:val="VerbatimChar"/>
        </w:rPr>
        <w:t xml:space="preserve">| (A:0, B:0, C:11)         | (A:0, B:0, C:6)          | (A:0, B:2, C:0)          | (A:0, B:19, C:0)         |</w:t>
      </w:r>
      <w:r>
        <w:br/>
      </w:r>
      <w:r>
        <w:rPr>
          <w:rStyle w:val="VerbatimChar"/>
        </w:rPr>
        <w:t xml:space="preserve">+--------------------------+--------------------------+--------------------------+--------------------------+</w:t>
      </w:r>
      <w:r>
        <w:br/>
      </w:r>
      <w:r>
        <w:rPr>
          <w:rStyle w:val="VerbatimChar"/>
        </w:rPr>
        <w:t xml:space="preserve">| Neurônio 09 (N09): [C]   | Neurônio 10 (N10): [-]   | Neurônio 11 (N11): [A]   | Neurônio 12 (N12): [-]   |</w:t>
      </w:r>
      <w:r>
        <w:br/>
      </w:r>
      <w:r>
        <w:rPr>
          <w:rStyle w:val="VerbatimChar"/>
        </w:rPr>
        <w:t xml:space="preserve">| (A:0, B:0, C:7)          | (A:0, B:0, C:0) - Inat   | (A:5, B:0, C:0)          | (A:0, B:0, C:0) - Inat   |</w:t>
      </w:r>
      <w:r>
        <w:br/>
      </w:r>
      <w:r>
        <w:rPr>
          <w:rStyle w:val="VerbatimChar"/>
        </w:rPr>
        <w:t xml:space="preserve">+--------------------------+--------------------------+--------------------------+--------------------------+</w:t>
      </w:r>
      <w:r>
        <w:br/>
      </w:r>
      <w:r>
        <w:rPr>
          <w:rStyle w:val="VerbatimChar"/>
        </w:rPr>
        <w:t xml:space="preserve">| Neurônio 13 (N13): [C]   | Neurônio 14 (N14): [-]   | Neurônio 15 (N15): [A]   | Neurônio 16 (N16): [A]   |</w:t>
      </w:r>
      <w:r>
        <w:br/>
      </w:r>
      <w:r>
        <w:rPr>
          <w:rStyle w:val="VerbatimChar"/>
        </w:rPr>
        <w:t xml:space="preserve">| (A:0, B:0, C:14)         | (A:0, B:0, C:0) - Inat   | (A:6, B:0, C:0)          | (A:9, B:0, C:0)          |</w:t>
      </w:r>
      <w:r>
        <w:br/>
      </w:r>
      <w:r>
        <w:rPr>
          <w:rStyle w:val="VerbatimChar"/>
        </w:rPr>
        <w:t xml:space="preserve">+--------------------------+--------------------------+--------------------------+--------------------------+</w:t>
      </w:r>
    </w:p>
    <w:bookmarkEnd w:id="20"/>
    <w:bookmarkStart w:id="21" w:name="Xbf74b3a34d93b35b8047bf754d4856b6f9b8f1b"/>
    <w:p>
      <w:pPr>
        <w:pStyle w:val="Heading3"/>
      </w:pPr>
      <w:r>
        <w:t xml:space="preserve">Regiões Definidas para as Classes A, B e C:</w:t>
      </w:r>
    </w:p>
    <w:p>
      <w:pPr>
        <w:pStyle w:val="FirstParagraph"/>
      </w:pPr>
      <w:r>
        <w:t xml:space="preserve">O mapa se organizou de forma perfeitamente contígua e separada espacialmente: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A:</w:t>
      </w:r>
      <w:r>
        <w:t xml:space="preserve"> </w:t>
      </w:r>
      <w:r>
        <w:t xml:space="preserve">Ativada pelos neurônios</w:t>
      </w:r>
      <w:r>
        <w:t xml:space="preserve"> </w:t>
      </w:r>
      <w:r>
        <w:rPr>
          <w:bCs/>
          <w:b/>
        </w:rPr>
        <w:t xml:space="preserve">11, 15 e 16</w:t>
      </w:r>
      <w:r>
        <w:t xml:space="preserve"> </w:t>
      </w:r>
      <w:r>
        <w:t xml:space="preserve">(canto inferior direito do grid).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B:</w:t>
      </w:r>
      <w:r>
        <w:t xml:space="preserve"> </w:t>
      </w:r>
      <w:r>
        <w:t xml:space="preserve">Ativada pelos neurônios</w:t>
      </w:r>
      <w:r>
        <w:t xml:space="preserve"> </w:t>
      </w:r>
      <w:r>
        <w:rPr>
          <w:bCs/>
          <w:b/>
        </w:rPr>
        <w:t xml:space="preserve">3, 4, 7 e 8</w:t>
      </w:r>
      <w:r>
        <w:t xml:space="preserve"> </w:t>
      </w:r>
      <w:r>
        <w:t xml:space="preserve">(canto superior direito do grid).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Classe C:</w:t>
      </w:r>
      <w:r>
        <w:t xml:space="preserve"> </w:t>
      </w:r>
      <w:r>
        <w:t xml:space="preserve">Ativada pelos neurônios</w:t>
      </w:r>
      <w:r>
        <w:t xml:space="preserve"> </w:t>
      </w:r>
      <w:r>
        <w:rPr>
          <w:bCs/>
          <w:b/>
        </w:rPr>
        <w:t xml:space="preserve">1, 2, 5, 6, 9 e 13</w:t>
      </w:r>
      <w:r>
        <w:t xml:space="preserve"> </w:t>
      </w:r>
      <w:r>
        <w:t xml:space="preserve">(toda a metade e lateral esquerda do grid).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Neurônios Inativos (sem amostras ativas):</w:t>
      </w:r>
      <w:r>
        <w:t xml:space="preserve"> </w:t>
      </w:r>
      <w:r>
        <w:rPr>
          <w:bCs/>
          <w:b/>
        </w:rPr>
        <w:t xml:space="preserve">10, 12 e 14</w:t>
      </w:r>
      <w:r>
        <w:t xml:space="preserve">. Eles agem como fronteiras/transições neutras na topologia do mapa.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0438bc9bb39cd861155d536d47c2687250ba161"/>
    <w:p>
      <w:pPr>
        <w:pStyle w:val="Heading2"/>
      </w:pPr>
      <w:r>
        <w:t xml:space="preserve">2. Classificação das Amostras de Teste (Questão 2)</w:t>
      </w:r>
    </w:p>
    <w:p>
      <w:pPr>
        <w:pStyle w:val="FirstParagraph"/>
      </w:pPr>
      <w:r>
        <w:t xml:space="preserve">Utilizando a rede treinada e o mapeamento espacial obtido acima, classificamos as 12 amostras de teste fornecidas. O resultado da classificação foi: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Amostra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Neurônio Vencedor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Classe Atribuída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Neurônio 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Classe 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Xd447c8b425dc73d14e6663376c64adac648587c"/>
    <w:p>
      <w:pPr>
        <w:pStyle w:val="Heading2"/>
      </w:pPr>
      <w:r>
        <w:t xml:space="preserve">3. Demonstração Matemática: Regra de Hebb por Minimização de Erro (Questão 3)</w:t>
      </w:r>
    </w:p>
    <w:p>
      <w:pPr>
        <w:pStyle w:val="FirstParagraph"/>
      </w:pPr>
      <w:r>
        <w:t xml:space="preserve">Deseja-se demonstrar que a regra de alteração de pesos</w:t>
      </w:r>
      <w:r>
        <w:t xml:space="preserve"> </w:t>
      </w:r>
      <w:r>
        <w:t xml:space="preserve">“</w:t>
      </w:r>
      <w:r>
        <w:t xml:space="preserve">Norma Euclidiana</w:t>
      </w:r>
      <w:r>
        <w:t xml:space="preserve">”</w:t>
      </w:r>
      <w:r>
        <w:t xml:space="preserve"> </w:t>
      </w:r>
      <w:r>
        <w:t xml:space="preserve">para um padrão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t xml:space="preserve">é obtida a partir da minimização da função do erro quadrático médio de um neurônio vencedor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Start w:id="24" w:name="demonstração"/>
    <w:p>
      <w:pPr>
        <w:pStyle w:val="Heading3"/>
      </w:pPr>
      <w:r>
        <w:t xml:space="preserve">Demonstração:</w:t>
      </w:r>
    </w:p>
    <w:p>
      <w:pPr>
        <w:pStyle w:val="FirstParagraph"/>
      </w:pPr>
      <w:r>
        <w:t xml:space="preserve">Para minimizar a função de erro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em relação a um peso específico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do neurônio vencedor</w:t>
      </w:r>
      <w:r>
        <w:t xml:space="preserve"> </w:t>
      </w:r>
      <m:oMath>
        <m:r>
          <m:t>j</m:t>
        </m:r>
      </m:oMath>
      <w:r>
        <w:t xml:space="preserve">, aplicamos o método do</w:t>
      </w:r>
      <w:r>
        <w:t xml:space="preserve"> </w:t>
      </w:r>
      <w:r>
        <w:rPr>
          <w:bCs/>
          <w:b/>
        </w:rPr>
        <w:t xml:space="preserve">Gradiente Descendente</w:t>
      </w:r>
      <w:r>
        <w:t xml:space="preserve">. A regra do gradiente estabelece que a variação do peso (</w:t>
      </w:r>
      <m:oMath>
        <m:r>
          <m:t>Δ</m:t>
        </m:r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) deve ser proporcional à direção oposta do gradiente da função de erro: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representa a taxa de aprendizado positivo (</w:t>
      </w:r>
      <m:oMath>
        <m:r>
          <m:t>0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≤</m:t>
        </m:r>
        <m:r>
          <m:t>1</m:t>
        </m:r>
      </m:oMath>
      <w:r>
        <w:t xml:space="preserve">).</w:t>
      </w:r>
    </w:p>
    <w:p>
      <w:pPr>
        <w:pStyle w:val="BodyText"/>
      </w:pPr>
      <w:r>
        <w:t xml:space="preserve">Calculamos a derivada parcial da função de erro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em relação a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j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d>
        </m:oMath>
      </m:oMathPara>
    </w:p>
    <w:p>
      <w:pPr>
        <w:pStyle w:val="FirstParagraph"/>
      </w:pPr>
      <w:r>
        <w:t xml:space="preserve">Pela linearidade da derivada, todos os termos da soma com índice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i</m:t>
        </m:r>
      </m:oMath>
      <w:r>
        <w:t xml:space="preserve"> </w:t>
      </w:r>
      <w:r>
        <w:t xml:space="preserve">possuem derivada nula com relação a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(já que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é independente de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se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i</m:t>
        </m:r>
      </m:oMath>
      <w:r>
        <w:t xml:space="preserve">). Portanto, a derivada simplifica-se para: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j</m:t>
                          </m:r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Aplicando a</w:t>
      </w:r>
      <w:r>
        <w:t xml:space="preserve"> </w:t>
      </w:r>
      <w:r>
        <w:rPr>
          <w:bCs/>
          <w:b/>
        </w:rPr>
        <w:t xml:space="preserve">regra da cadeia</w:t>
      </w:r>
      <w:r>
        <w:t xml:space="preserve">:</w:t>
      </w:r>
      <w:r>
        <w:t xml:space="preserve"> </w:t>
      </w:r>
      <w:r>
        <w:t xml:space="preserve">1. Derivada da parte externa: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2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2. Derivada da parte interna com relação a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den>
        </m:f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j</m:t>
                </m:r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</w:p>
    <w:p>
      <w:pPr>
        <w:pStyle w:val="BodyText"/>
      </w:pPr>
      <w:r>
        <w:t xml:space="preserve">Multiplicando os termos: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Substituindo essa derivada parcial de volta na regra do gradiente descendente: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Assim, a regra de atualização dos pesos no instante</w:t>
      </w:r>
      <w:r>
        <w:t xml:space="preserve"> </w:t>
      </w:r>
      <m:oMath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será: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Δ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j</m:t>
              </m:r>
              <m:r>
                <m:t>i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+</m:t>
          </m:r>
          <m:r>
            <m:t>η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Essa equação corresponde exatamente à regra de aprendizado do neurônio vencedor em mapas auto-organizáveis de Kohonen (e cooperativamente estendida aos seus vizinhos topológicos dentro do raio de vizinhança</w:t>
      </w:r>
      <w:r>
        <w:t xml:space="preserve"> </w:t>
      </w:r>
      <m:oMath>
        <m:r>
          <m:t>R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Fim da Demonstração.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2026-05-28T18:45:02Z</dcterms:created>
  <dcterms:modified xsi:type="dcterms:W3CDTF">2026-05-28T18:45:02Z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