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 e VARCHAR são tipos de dados caractere, a diferença é que CHAR é um tipo de dado de comprimento fixo e VARCHAR é de comprimento variável.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Usamos CHAR quando os tamanhos que desejamos armazenar na coluna de uma tabela são de tamanho consistentes e semelhantes. Exemplo: Número de telefone, CEP, CPF, CGC, etc. O tipo CHAR possui um tamanho fixo, assim se você tentar armazenar um valor maior que o definido numa coluna do tipo CHAR ele será truncado.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você definir uma coluna da tabela (campo) como CHAR(10) e armazenar um caractere apenas ele vai armazenar mais nove espaços em branco.( Por causa desta característica o tipo de dados CHAR é chamado de tipo de dados com tamanho fixo.)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VARCHAR quando os tamanhos a serem armazenados na coluna da tabela variam consideravelmente. Ex: Endereço,Nomes, URL, etc. Dessa forma um valor menor irá ocupar menos espaço que um valor maior.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tipo de dados VARCHAR armazena somente a quantidade de caracteres que foram definidos na usa criação.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Assim, se você definir uma coluna da tabela (campo) como VARCHAR(10) e armazenar um caractere ele vai armazenar somente o caractere sem colocar espaços para completar o tamanho definido na criação.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atributo-chave: cod_(nome do atributo-chave)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marcar PK N 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todo o resto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atributos “nome”, “valor” “devolucao” …= VARCHAR(80)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começar a ligação entre as tabelas com o que você que apareça a chave estrangeira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(apagar o primeiro nome que é o nome da tabela, no caso"usuarios" e colocar no final "_fk"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ligação n:m para criar uma tabela intermediária juntando as duas para gerenciar melhor (muitos para muitos)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número fracionário = double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ligação N primeiro Depois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ligação entre duas tabelas e tiver chave estrangeira é tracejado (desmarcar PK)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Revisão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