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2" name="image2.png"/>
            <a:graphic>
              <a:graphicData uri="http://schemas.openxmlformats.org/drawingml/2006/picture">
                <pic:pic>
                  <pic:nvPicPr>
                    <pic:cNvPr descr="Símbolo da Universidade Federal de Santa Catarina" id="0" name="image2.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9">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1808857844"/>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3">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54">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No Brasil, o estudo desses processos ganhou maior destaque a partir dos anos 2000, impulsionado pela expansão da exploração de petróleo em águas profundas e pelos potenciais impactos dos movimentos de massa sobre infraestruturas submarinas e campos petrolíferos (Kowsmann </w:t>
      </w:r>
      <w:r w:rsidDel="00000000" w:rsidR="00000000" w:rsidRPr="00000000">
        <w:rPr>
          <w:i w:val="1"/>
          <w:iCs w:val="1"/>
          <w:rtl w:val="0"/>
        </w:rPr>
        <w:t xml:space="preserve">et al</w:t>
      </w:r>
      <w:r w:rsidDel="00000000" w:rsidR="00000000" w:rsidRPr="00000000">
        <w:rPr>
          <w:rtl w:val="0"/>
        </w:rPr>
        <w:t xml:space="preserve">., 2015).</w:t>
      </w:r>
    </w:p>
    <w:p w:rsidR="00000000" w:rsidDel="00000000" w:rsidP="00000000" w:rsidRDefault="00000000" w:rsidRPr="00000000" w14:paraId="00000055">
      <w:pPr>
        <w:spacing w:after="0" w:before="0" w:line="360" w:lineRule="auto"/>
        <w:ind w:firstLine="709"/>
        <w:jc w:val="both"/>
        <w:rPr/>
      </w:pPr>
      <w:r w:rsidDel="00000000" w:rsidR="00000000" w:rsidRPr="00000000">
        <w:rPr>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w:t>
      </w:r>
      <w:r w:rsidDel="00000000" w:rsidR="00000000" w:rsidRPr="00000000">
        <w:rPr>
          <w:highlight w:val="yellow"/>
          <w:rtl w:val="0"/>
        </w:rPr>
        <w:t xml:space="preserve">principalmente, o número de eventos envolvidos (Clare </w:t>
      </w:r>
      <w:r w:rsidDel="00000000" w:rsidR="00000000" w:rsidRPr="00000000">
        <w:rPr>
          <w:i w:val="1"/>
          <w:iCs w:val="1"/>
          <w:highlight w:val="yellow"/>
          <w:rtl w:val="0"/>
        </w:rPr>
        <w:t xml:space="preserve">et al</w:t>
      </w:r>
      <w:r w:rsidDel="00000000" w:rsidR="00000000" w:rsidRPr="00000000">
        <w:rPr>
          <w:highlight w:val="yellow"/>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yellow"/>
          <w:rtl w:val="0"/>
        </w:rPr>
        <w:t xml:space="preserve">Horizontal-to-Vertical Spectral Ratio</w:t>
      </w:r>
      <w:r w:rsidDel="00000000" w:rsidR="00000000" w:rsidRPr="00000000">
        <w:rPr>
          <w:highlight w:val="yellow"/>
          <w:rtl w:val="0"/>
        </w:rPr>
        <w:t xml:space="preserve"> (HVSR) (Nakamura, 1989), utilizando dados obtidos por sismógrafos de fundo oceânico (</w:t>
      </w:r>
      <w:r w:rsidDel="00000000" w:rsidR="00000000" w:rsidRPr="00000000">
        <w:rPr>
          <w:i w:val="1"/>
          <w:iCs w:val="1"/>
          <w:highlight w:val="yellow"/>
          <w:rtl w:val="0"/>
        </w:rPr>
        <w:t xml:space="preserve">Ocean Bottom Seismometers</w:t>
      </w:r>
      <w:r w:rsidDel="00000000" w:rsidR="00000000" w:rsidRPr="00000000">
        <w:rPr>
          <w:highlight w:val="yellow"/>
          <w:rtl w:val="0"/>
        </w:rPr>
        <w:t xml:space="preserve"> — OBS). </w:t>
      </w:r>
      <w:r w:rsidDel="00000000" w:rsidR="00000000" w:rsidRPr="00000000">
        <w:rPr>
          <w:rtl w:val="0"/>
        </w:rPr>
      </w:r>
    </w:p>
    <w:p w:rsidR="00000000" w:rsidDel="00000000" w:rsidP="00000000" w:rsidRDefault="00000000" w:rsidRPr="00000000" w14:paraId="00000056">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7">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8">
      <w:pPr>
        <w:spacing w:after="0" w:line="240" w:lineRule="auto"/>
        <w:jc w:val="both"/>
        <w:rPr/>
      </w:pPr>
      <w:r w:rsidDel="00000000" w:rsidR="00000000" w:rsidRPr="00000000">
        <w:rPr>
          <w:rtl w:val="0"/>
        </w:rPr>
        <w:t xml:space="preserve">Caracterizar os depósitos de movimento de massa no talude continental na porção norte da Bacia de Santos</w:t>
      </w:r>
    </w:p>
    <w:p w:rsidR="00000000" w:rsidDel="00000000" w:rsidP="00000000" w:rsidRDefault="00000000" w:rsidRPr="00000000" w14:paraId="00000059">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B">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C">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D">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5E">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Classificar os depósitos/complexos de movimentos de massa.</w:t>
      </w:r>
    </w:p>
    <w:p w:rsidR="00000000" w:rsidDel="00000000" w:rsidP="00000000" w:rsidRDefault="00000000" w:rsidRPr="00000000" w14:paraId="0000005F">
      <w:pPr>
        <w:numPr>
          <w:ilvl w:val="0"/>
          <w:numId w:val="1"/>
        </w:numPr>
        <w:spacing w:after="0" w:line="240" w:lineRule="auto"/>
        <w:ind w:left="720" w:hanging="360"/>
        <w:jc w:val="both"/>
        <w:rPr>
          <w:highlight w:val="yellow"/>
        </w:rPr>
      </w:pPr>
      <w:r w:rsidDel="00000000" w:rsidR="00000000" w:rsidRPr="00000000">
        <w:rPr>
          <w:highlight w:val="yellow"/>
          <w:rtl w:val="0"/>
        </w:rPr>
        <w:t xml:space="preserve">Correlacionar os depósitos/complexos com idade de sedimentos datados na área de estudo </w:t>
      </w:r>
    </w:p>
    <w:p w:rsidR="00000000" w:rsidDel="00000000" w:rsidP="00000000" w:rsidRDefault="00000000" w:rsidRPr="00000000" w14:paraId="00000060">
      <w:pPr>
        <w:numPr>
          <w:ilvl w:val="0"/>
          <w:numId w:val="1"/>
        </w:numPr>
        <w:spacing w:after="0" w:line="240" w:lineRule="auto"/>
        <w:ind w:left="720" w:hanging="360"/>
        <w:jc w:val="both"/>
        <w:rPr>
          <w:highlight w:val="yellow"/>
        </w:rPr>
      </w:pPr>
      <w:r w:rsidDel="00000000" w:rsidR="00000000" w:rsidRPr="00000000">
        <w:rPr>
          <w:highlight w:val="yellow"/>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1">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62">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63">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64">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65">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66">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9">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A">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B">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D">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E">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F">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0">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71">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2">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3">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4">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5">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76">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7">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9">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B">
      <w:pPr>
        <w:keepNext w:val="1"/>
        <w:spacing w:after="60" w:before="120" w:line="240" w:lineRule="auto"/>
        <w:ind w:left="0" w:firstLine="0"/>
        <w:jc w:val="center"/>
        <w:rPr/>
      </w:pPr>
      <w:r w:rsidDel="00000000" w:rsidR="00000000" w:rsidRPr="00000000">
        <w:rPr/>
        <w:drawing>
          <wp:inline distB="114300" distT="114300" distL="114300" distR="114300">
            <wp:extent cx="4690796" cy="4706302"/>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keepNext w:val="1"/>
        <w:spacing w:after="0" w:before="0" w:line="240" w:lineRule="auto"/>
        <w:ind w:left="0"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D">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07E">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7F">
      <w:pPr>
        <w:pStyle w:val="Heading3"/>
        <w:keepNext w:val="1"/>
        <w:spacing w:after="120" w:before="240" w:lineRule="auto"/>
        <w:ind w:firstLine="0"/>
        <w:jc w:val="left"/>
        <w:rPr/>
      </w:pPr>
      <w:bookmarkStart w:colFirst="0" w:colLast="0" w:name="_meybu3i0zoza" w:id="2"/>
      <w:bookmarkEnd w:id="2"/>
      <w:r w:rsidDel="00000000" w:rsidR="00000000" w:rsidRPr="00000000">
        <w:rPr>
          <w:rtl w:val="0"/>
        </w:rPr>
        <w:t xml:space="preserve">2.2.2 Formas externas das fácies sísmicas</w:t>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2">
      <w:pPr>
        <w:keepNext w:val="1"/>
        <w:spacing w:after="60" w:before="120" w:line="240" w:lineRule="auto"/>
        <w:ind w:left="0" w:firstLine="0"/>
        <w:jc w:val="center"/>
        <w:rPr/>
      </w:pPr>
      <w:r w:rsidDel="00000000" w:rsidR="00000000" w:rsidRPr="00000000">
        <w:rPr/>
        <w:drawing>
          <wp:inline distB="114300" distT="114300" distL="114300" distR="114300">
            <wp:extent cx="5759775" cy="12954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keepNext w:val="1"/>
        <w:spacing w:after="0" w:before="0" w:line="240" w:lineRule="auto"/>
        <w:ind w:left="0" w:firstLine="0"/>
        <w:jc w:val="center"/>
        <w:rPr>
          <w:sz w:val="20"/>
          <w:szCs w:val="20"/>
        </w:rPr>
      </w:pPr>
      <w:r w:rsidDel="00000000" w:rsidR="00000000" w:rsidRPr="00000000">
        <w:rPr>
          <w:sz w:val="20"/>
          <w:szCs w:val="20"/>
          <w:rtl w:val="0"/>
        </w:rPr>
        <w:t xml:space="preserve">Figura 2 — Formas externas das fácies sísmicas: (A) lençóis ondulados ou drapes; (B) montiformas; (C) geometria de preenchimento</w:t>
      </w:r>
    </w:p>
    <w:p w:rsidR="00000000" w:rsidDel="00000000" w:rsidP="00000000" w:rsidRDefault="00000000" w:rsidRPr="00000000" w14:paraId="00000084">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5">
      <w:pPr>
        <w:spacing w:after="0" w:before="0" w:line="360" w:lineRule="auto"/>
        <w:ind w:firstLine="709"/>
        <w:jc w:val="both"/>
        <w:rPr/>
      </w:pPr>
      <w:r w:rsidDel="00000000" w:rsidR="00000000" w:rsidRPr="00000000">
        <w:rPr>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6">
      <w:pPr>
        <w:keepNext w:val="1"/>
        <w:spacing w:after="60" w:before="120" w:line="240" w:lineRule="auto"/>
        <w:ind w:left="0" w:firstLine="0"/>
        <w:jc w:val="center"/>
        <w:rPr/>
      </w:pPr>
      <w:r w:rsidDel="00000000" w:rsidR="00000000" w:rsidRPr="00000000">
        <w:rPr/>
        <w:drawing>
          <wp:inline distB="114300" distT="114300" distL="114300" distR="114300">
            <wp:extent cx="5444561" cy="2798774"/>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keepNext w:val="1"/>
        <w:spacing w:after="0" w:before="0" w:line="240" w:lineRule="auto"/>
        <w:ind w:left="0" w:firstLine="0"/>
        <w:jc w:val="center"/>
        <w:rPr>
          <w:sz w:val="20"/>
          <w:szCs w:val="20"/>
        </w:rPr>
      </w:pPr>
      <w:r w:rsidDel="00000000" w:rsidR="00000000" w:rsidRPr="00000000">
        <w:rPr>
          <w:sz w:val="20"/>
          <w:szCs w:val="20"/>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8">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9">
      <w:pPr>
        <w:pStyle w:val="Heading2"/>
        <w:spacing w:after="0" w:lineRule="auto"/>
        <w:jc w:val="both"/>
        <w:rPr/>
      </w:pPr>
      <w:bookmarkStart w:colFirst="0" w:colLast="0" w:name="_pfgfl1mim8bb" w:id="3"/>
      <w:bookmarkEnd w:id="3"/>
      <w:r w:rsidDel="00000000" w:rsidR="00000000" w:rsidRPr="00000000">
        <w:rPr>
          <w:rtl w:val="0"/>
        </w:rPr>
        <w:t xml:space="preserve">2.3 Movimentos de Massa </w:t>
      </w:r>
    </w:p>
    <w:p w:rsidR="00000000" w:rsidDel="00000000" w:rsidP="00000000" w:rsidRDefault="00000000" w:rsidRPr="00000000" w14:paraId="0000008A">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8B">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8E">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8F">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90">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91">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92">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93">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94">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97">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B">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C">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D">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E">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F">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A0">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1">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2">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4">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A5">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A6">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4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B">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AD">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AE">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AF">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B1">
      <w:pPr>
        <w:rPr/>
      </w:pPr>
      <w:r w:rsidDel="00000000" w:rsidR="00000000" w:rsidRPr="00000000">
        <w:br w:type="page"/>
      </w:r>
      <w:r w:rsidDel="00000000" w:rsidR="00000000" w:rsidRPr="00000000">
        <w:rPr>
          <w:rtl w:val="0"/>
        </w:rPr>
      </w:r>
    </w:p>
    <w:p w:rsidR="00000000" w:rsidDel="00000000" w:rsidP="00000000" w:rsidRDefault="00000000" w:rsidRPr="00000000" w14:paraId="000000B2">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B3">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0">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B4">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1">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B5">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2">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B6">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3">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B7">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B8">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4">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0B9">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0BA">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5">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0BB">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6">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0BC">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7">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0BD">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8">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0BE">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19">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0BF">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0">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0C0">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1">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0C1">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2">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0C2">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3">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0C3">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4">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0C4">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5">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0C5">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0C6">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6">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0C7">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7">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0C8">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8">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0C9">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29">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0CA">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0">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0CB">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1">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CC">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2">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0CD">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3">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0CE">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4">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0CF">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5">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0D0">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6">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D1">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7">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0D2">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8">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0D3">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39">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0D4">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0">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0D5">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0D6">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1">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0D7">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0D8">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2">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0D9">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3">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0DA">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4">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0DB">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0DC">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0DD">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5">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0DE">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6">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0DF">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7">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0E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E1">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E2">
      <w:pPr>
        <w:rPr/>
      </w:pPr>
      <w:r w:rsidDel="00000000" w:rsidR="00000000" w:rsidRPr="00000000">
        <w:br w:type="page"/>
      </w:r>
      <w:r w:rsidDel="00000000" w:rsidR="00000000" w:rsidRPr="00000000">
        <w:rPr>
          <w:rtl w:val="0"/>
        </w:rPr>
      </w:r>
    </w:p>
    <w:p w:rsidR="00000000" w:rsidDel="00000000" w:rsidP="00000000" w:rsidRDefault="00000000" w:rsidRPr="00000000" w14:paraId="000000E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E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8"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306/111302730367" TargetMode="External"/><Relationship Id="rId20" Type="http://schemas.openxmlformats.org/officeDocument/2006/relationships/hyperlink" Target="https://www.gov.br/anp/pt-br/rodadas-anp/rodadas-concluidas/concessao-de-blocos-exploratorios/15a-rodada-licitacoes-blocos/arquivos/areas-oferecidas/sumario_geologico_r15_santos.pdf" TargetMode="External"/><Relationship Id="rId42" Type="http://schemas.openxmlformats.org/officeDocument/2006/relationships/hyperlink" Target="https://doi.org/10.1016/B978-85-352-6208-7.50011-8" TargetMode="External"/><Relationship Id="rId41" Type="http://schemas.openxmlformats.org/officeDocument/2006/relationships/hyperlink" Target="http://www.repositorio.jesuita.org.br/handle/UNISINOS/10129" TargetMode="External"/><Relationship Id="rId22" Type="http://schemas.openxmlformats.org/officeDocument/2006/relationships/hyperlink" Target="https://doi.org/10.1016/j.margeo.2016.06.003" TargetMode="External"/><Relationship Id="rId44" Type="http://schemas.openxmlformats.org/officeDocument/2006/relationships/hyperlink" Target="https://doi.org/10.5670/oceanog.2014.38" TargetMode="External"/><Relationship Id="rId21" Type="http://schemas.openxmlformats.org/officeDocument/2006/relationships/hyperlink" Target="https://doi.org/10.1016/B978-85-352-6937-6.50009-4" TargetMode="External"/><Relationship Id="rId43" Type="http://schemas.openxmlformats.org/officeDocument/2006/relationships/hyperlink" Target="https://doi.org/10.5530/jscires.10.3.45" TargetMode="External"/><Relationship Id="rId24" Type="http://schemas.openxmlformats.org/officeDocument/2006/relationships/hyperlink" Target="https://doi.org/10.1029/95RG03287" TargetMode="External"/><Relationship Id="rId46" Type="http://schemas.openxmlformats.org/officeDocument/2006/relationships/hyperlink" Target="https://doi.org/10.48550/arXiv.2106.06050" TargetMode="External"/><Relationship Id="rId23" Type="http://schemas.openxmlformats.org/officeDocument/2006/relationships/hyperlink" Target="https://www.guralp.com/" TargetMode="External"/><Relationship Id="rId45" Type="http://schemas.openxmlformats.org/officeDocument/2006/relationships/hyperlink" Target="https://doi.org/10.1016/j.margeo.2014.01.00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doi.org/10.1306/09011514210" TargetMode="External"/><Relationship Id="rId48" Type="http://schemas.openxmlformats.org/officeDocument/2006/relationships/footer" Target="footer1.xml"/><Relationship Id="rId25" Type="http://schemas.openxmlformats.org/officeDocument/2006/relationships/hyperlink" Target="https://sbgf.org.br/mysbgf/eventos/expanded_abstracts/17th_CISBGf/920211118142805III_SBGGM_DRA_CIZIA_MARIA_MARGEM_CONTINENTAL.pdf" TargetMode="External"/><Relationship Id="rId47" Type="http://schemas.openxmlformats.org/officeDocument/2006/relationships/hyperlink" Target="https://doi.org/10.1190/1.9781560801580" TargetMode="External"/><Relationship Id="rId28" Type="http://schemas.openxmlformats.org/officeDocument/2006/relationships/hyperlink" Target="https://doi.org/10.3390/jmse8120968" TargetMode="External"/><Relationship Id="rId27" Type="http://schemas.openxmlformats.org/officeDocument/2006/relationships/hyperlink" Target="https://doi.org/10.1016/B978-85-352-6937-6.50012-4"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doi.org/10.1002/9781444304398.ch5" TargetMode="External"/><Relationship Id="rId7" Type="http://schemas.openxmlformats.org/officeDocument/2006/relationships/image" Target="media/image3.png"/><Relationship Id="rId8" Type="http://schemas.openxmlformats.org/officeDocument/2006/relationships/image" Target="media/image1.png"/><Relationship Id="rId31" Type="http://schemas.openxmlformats.org/officeDocument/2006/relationships/hyperlink" Target="http://www.cpgg.ufba.br/gr-geof/geo213/trabalhos-graducao/Adson-Meneses.pdf" TargetMode="External"/><Relationship Id="rId30" Type="http://schemas.openxmlformats.org/officeDocument/2006/relationships/hyperlink" Target="https://doi.org/10.2110/sepmsp.096.423" TargetMode="External"/><Relationship Id="rId11" Type="http://schemas.openxmlformats.org/officeDocument/2006/relationships/hyperlink" Target="https://lume.ufrgs.br/handle/10183/139096" TargetMode="External"/><Relationship Id="rId33" Type="http://schemas.openxmlformats.org/officeDocument/2006/relationships/hyperlink" Target="https://doi.org/10.1306/M26490C8" TargetMode="External"/><Relationship Id="rId10" Type="http://schemas.openxmlformats.org/officeDocument/2006/relationships/hyperlink" Target="https://doi.org/10.22456/1807-9806.144416" TargetMode="External"/><Relationship Id="rId32" Type="http://schemas.openxmlformats.org/officeDocument/2006/relationships/hyperlink" Target="https://doi.org/10.1590/S0102-261X2005000300006" TargetMode="External"/><Relationship Id="rId13" Type="http://schemas.openxmlformats.org/officeDocument/2006/relationships/hyperlink" Target="https://doi.org/10.1016/B978-85-352-6937-6.50013-6" TargetMode="External"/><Relationship Id="rId35" Type="http://schemas.openxmlformats.org/officeDocument/2006/relationships/hyperlink" Target="https://doi.org/10.1130/B31221.1" TargetMode="External"/><Relationship Id="rId12" Type="http://schemas.openxmlformats.org/officeDocument/2006/relationships/hyperlink" Target="https://doi.org/10.1017/CBO9781139628921.004" TargetMode="External"/><Relationship Id="rId34" Type="http://schemas.openxmlformats.org/officeDocument/2006/relationships/hyperlink" Target="https://doi.org/10.1111/j.1365-2117.2007.00340.x" TargetMode="External"/><Relationship Id="rId15" Type="http://schemas.openxmlformats.org/officeDocument/2006/relationships/hyperlink" Target="https://doi.org/10.1007/978-3-319-20979-1_3" TargetMode="External"/><Relationship Id="rId37" Type="http://schemas.openxmlformats.org/officeDocument/2006/relationships/hyperlink" Target="https://doi.org/10.1190/1.9781560801740" TargetMode="External"/><Relationship Id="rId14" Type="http://schemas.openxmlformats.org/officeDocument/2006/relationships/hyperlink" Target="https://doi.org/10.1190/sbgf2005-275" TargetMode="External"/><Relationship Id="rId36"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17" Type="http://schemas.openxmlformats.org/officeDocument/2006/relationships/hyperlink" Target="https://doi.org/10.1190/1.9781560801900" TargetMode="External"/><Relationship Id="rId39" Type="http://schemas.openxmlformats.org/officeDocument/2006/relationships/hyperlink" Target="https://doi.org/10.1016/j.margeo.2016.01.009" TargetMode="External"/><Relationship Id="rId16" Type="http://schemas.openxmlformats.org/officeDocument/2006/relationships/hyperlink" Target="https://doi.org/10.1190/1.2098670" TargetMode="External"/><Relationship Id="rId38" Type="http://schemas.openxmlformats.org/officeDocument/2006/relationships/hyperlink" Target="https://doi.org/10.1108/DTA-08-2023-0461" TargetMode="External"/><Relationship Id="rId19" Type="http://schemas.openxmlformats.org/officeDocument/2006/relationships/hyperlink" Target="https://www.elsevier.com/products/scopus" TargetMode="External"/><Relationship Id="rId18" Type="http://schemas.openxmlformats.org/officeDocument/2006/relationships/hyperlink" Target="https://doi.org/10.1144/SP477.1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