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3" name="image4.png"/>
            <a:graphic>
              <a:graphicData uri="http://schemas.openxmlformats.org/drawingml/2006/picture">
                <pic:pic>
                  <pic:nvPicPr>
                    <pic:cNvPr descr="Símbolo da Universidade Federal de Santa Catarina" id="0" name="image4.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i w:val="1"/>
          <w:iCs w:val="1"/>
          <w:color w:val="595959"/>
        </w:rPr>
      </w:pPr>
      <w:r w:rsidDel="00000000" w:rsidR="00000000" w:rsidRPr="00000000">
        <w:rPr>
          <w:i w:val="1"/>
          <w:iCs w:val="1"/>
          <w:color w:val="595959"/>
          <w:rtl w:val="0"/>
        </w:rPr>
        <w:t xml:space="preserve">Figura 1 — Esquemas de padrões de configuração dos refletores</w:t>
      </w:r>
    </w:p>
    <w:p w:rsidR="00000000" w:rsidDel="00000000" w:rsidP="00000000" w:rsidRDefault="00000000" w:rsidRPr="00000000" w14:paraId="0000003F">
      <w:pPr>
        <w:spacing w:after="120" w:line="360" w:lineRule="auto"/>
        <w:ind w:firstLine="0"/>
        <w:jc w:val="left"/>
        <w:rPr>
          <w:i w:val="1"/>
          <w:iCs w:val="1"/>
          <w:color w:val="595959"/>
        </w:rPr>
      </w:pPr>
      <w:r w:rsidDel="00000000" w:rsidR="00000000" w:rsidRPr="00000000">
        <w:rPr>
          <w:i w:val="1"/>
          <w:iCs w:val="1"/>
          <w:color w:val="595959"/>
          <w:rtl w:val="0"/>
        </w:rPr>
        <w:t xml:space="preserve">Figura 2 — Formas externas das fácies sísmicas</w:t>
      </w:r>
    </w:p>
    <w:p w:rsidR="00000000" w:rsidDel="00000000" w:rsidP="00000000" w:rsidRDefault="00000000" w:rsidRPr="00000000" w14:paraId="00000040">
      <w:pPr>
        <w:spacing w:after="120" w:line="360" w:lineRule="auto"/>
        <w:ind w:firstLine="0"/>
        <w:jc w:val="left"/>
        <w:rPr>
          <w:i w:val="1"/>
          <w:iCs w:val="1"/>
          <w:color w:val="595959"/>
        </w:rPr>
      </w:pPr>
      <w:r w:rsidDel="00000000" w:rsidR="00000000" w:rsidRPr="00000000">
        <w:rPr>
          <w:i w:val="1"/>
          <w:iCs w:val="1"/>
          <w:color w:val="595959"/>
          <w:rtl w:val="0"/>
        </w:rPr>
        <w:t xml:space="preserve">Figura 3 — Padrões de configuração interna dos refletores em geometrias de preenchimento</w:t>
      </w:r>
    </w:p>
    <w:p w:rsidR="00000000" w:rsidDel="00000000" w:rsidP="00000000" w:rsidRDefault="00000000" w:rsidRPr="00000000" w14:paraId="00000041">
      <w:pPr>
        <w:rPr/>
      </w:pPr>
      <w:r w:rsidDel="00000000" w:rsidR="00000000" w:rsidRPr="00000000">
        <w:rPr>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4">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7">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p w:rsidR="00000000" w:rsidDel="00000000" w:rsidP="00000000" w:rsidRDefault="00000000" w:rsidRPr="00000000" w14:paraId="0000004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894479202"/>
        <w:docPartObj>
          <w:docPartGallery w:val="Table of Contents"/>
          <w:docPartUnique w:val="1"/>
        </w:docPartObj>
      </w:sdtPr>
      <w:sdtContent>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br w:type="page"/>
      </w:r>
      <w:r w:rsidDel="00000000" w:rsidR="00000000" w:rsidRPr="00000000">
        <w:rPr>
          <w:rtl w:val="0"/>
        </w:rPr>
      </w:r>
    </w:p>
    <w:p w:rsidR="00000000" w:rsidDel="00000000" w:rsidP="00000000" w:rsidRDefault="00000000" w:rsidRPr="00000000" w14:paraId="00000053">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1 INTRODUÇÃO</w:t>
      </w:r>
      <w:r w:rsidDel="00000000" w:rsidR="00000000" w:rsidRPr="00000000">
        <w:rPr>
          <w:rtl w:val="0"/>
        </w:rPr>
      </w:r>
    </w:p>
    <w:p w:rsidR="00000000" w:rsidDel="00000000" w:rsidP="00000000" w:rsidRDefault="00000000" w:rsidRPr="00000000" w14:paraId="00000054">
      <w:pPr>
        <w:spacing w:after="0" w:before="0" w:line="360" w:lineRule="auto"/>
        <w:ind w:firstLine="709"/>
        <w:jc w:val="both"/>
        <w:rPr>
          <w:highlight w:val="white"/>
        </w:rPr>
      </w:pPr>
      <w:r w:rsidDel="00000000" w:rsidR="00000000" w:rsidRPr="00000000">
        <w:rPr>
          <w:highlight w:val="white"/>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highlight w:val="white"/>
          <w:rtl w:val="0"/>
        </w:rPr>
        <w:t xml:space="preserve">sediment bypassing</w:t>
      </w:r>
      <w:r w:rsidDel="00000000" w:rsidR="00000000" w:rsidRPr="00000000">
        <w:rPr>
          <w:highlight w:val="white"/>
          <w:rtl w:val="0"/>
        </w:rPr>
        <w:t xml:space="preserve"> (Hampton </w:t>
      </w:r>
      <w:r w:rsidDel="00000000" w:rsidR="00000000" w:rsidRPr="00000000">
        <w:rPr>
          <w:i w:val="1"/>
          <w:iCs w:val="1"/>
          <w:highlight w:val="white"/>
          <w:rtl w:val="0"/>
        </w:rPr>
        <w:t xml:space="preserve">et al</w:t>
      </w:r>
      <w:r w:rsidDel="00000000" w:rsidR="00000000" w:rsidRPr="00000000">
        <w:rPr>
          <w:highlight w:val="white"/>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55">
      <w:pPr>
        <w:spacing w:after="0" w:before="0" w:line="360" w:lineRule="auto"/>
        <w:ind w:firstLine="709"/>
        <w:jc w:val="both"/>
        <w:rPr>
          <w:highlight w:val="white"/>
        </w:rPr>
      </w:pPr>
      <w:r w:rsidDel="00000000" w:rsidR="00000000" w:rsidRPr="00000000">
        <w:rPr>
          <w:highlight w:val="white"/>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highlight w:val="white"/>
          <w:rtl w:val="0"/>
        </w:rPr>
        <w:t xml:space="preserve">et al</w:t>
      </w:r>
      <w:r w:rsidDel="00000000" w:rsidR="00000000" w:rsidRPr="00000000">
        <w:rPr>
          <w:highlight w:val="white"/>
          <w:rtl w:val="0"/>
        </w:rPr>
        <w:t xml:space="preserve">., 1996). Mesmo eventos de menor escala podem danificar plataformas de petróleo, dutos e cabos submarinos (Tappin </w:t>
      </w:r>
      <w:r w:rsidDel="00000000" w:rsidR="00000000" w:rsidRPr="00000000">
        <w:rPr>
          <w:i w:val="1"/>
          <w:iCs w:val="1"/>
          <w:highlight w:val="white"/>
          <w:rtl w:val="0"/>
        </w:rPr>
        <w:t xml:space="preserve">et al</w:t>
      </w:r>
      <w:r w:rsidDel="00000000" w:rsidR="00000000" w:rsidRPr="00000000">
        <w:rPr>
          <w:highlight w:val="white"/>
          <w:rtl w:val="0"/>
        </w:rPr>
        <w:t xml:space="preserve">., 2001). </w:t>
      </w:r>
    </w:p>
    <w:p w:rsidR="00000000" w:rsidDel="00000000" w:rsidP="00000000" w:rsidRDefault="00000000" w:rsidRPr="00000000" w14:paraId="00000056">
      <w:pPr>
        <w:spacing w:after="0" w:before="0" w:line="360" w:lineRule="auto"/>
        <w:ind w:firstLine="709"/>
        <w:jc w:val="both"/>
        <w:rPr>
          <w:highlight w:val="white"/>
        </w:rPr>
      </w:pPr>
      <w:r w:rsidDel="00000000" w:rsidR="00000000" w:rsidRPr="00000000">
        <w:rPr>
          <w:highlight w:val="white"/>
          <w:rtl w:val="0"/>
        </w:rPr>
        <w:t xml:space="preserve">Nas últimas décadas, as pesquisas sobre movimentos de massa submarinos foram intensificadas para compreender seus mecanismos de ruptura, processos de transporte e riscos associados. Esse avanço foi favorecido pelo aprimoramento das tecnologias de aquisição de dados </w:t>
      </w:r>
      <w:r w:rsidDel="00000000" w:rsidR="00000000" w:rsidRPr="00000000">
        <w:rPr>
          <w:i w:val="1"/>
          <w:iCs w:val="1"/>
          <w:highlight w:val="white"/>
          <w:rtl w:val="0"/>
        </w:rPr>
        <w:t xml:space="preserve">offshore</w:t>
      </w:r>
      <w:r w:rsidDel="00000000" w:rsidR="00000000" w:rsidRPr="00000000">
        <w:rPr>
          <w:highlight w:val="white"/>
          <w:rtl w:val="0"/>
        </w:rPr>
        <w:t xml:space="preserve"> e pela expansão das atividades de exploração de recursos marinhos. No Brasil, os estudos ganharam maior destaque a partir dos anos 2000, em razão do avanço da exploração de petróleo em águas profundas e dos potenciais impactos desses processos sobre infraestruturas submarinas e campos petrolíferos (Borges et al., 2015; Kowsmann et al., 2015). </w:t>
      </w:r>
    </w:p>
    <w:p w:rsidR="00000000" w:rsidDel="00000000" w:rsidP="00000000" w:rsidRDefault="00000000" w:rsidRPr="00000000" w14:paraId="00000057">
      <w:pPr>
        <w:spacing w:after="0" w:before="0" w:line="360" w:lineRule="auto"/>
        <w:ind w:firstLine="709"/>
        <w:jc w:val="both"/>
        <w:rPr>
          <w:highlight w:val="white"/>
        </w:rPr>
      </w:pPr>
      <w:r w:rsidDel="00000000" w:rsidR="00000000" w:rsidRPr="00000000">
        <w:rPr>
          <w:highlight w:val="white"/>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principalmente, o número de eventos envolvidos (Clare </w:t>
      </w:r>
      <w:r w:rsidDel="00000000" w:rsidR="00000000" w:rsidRPr="00000000">
        <w:rPr>
          <w:i w:val="1"/>
          <w:iCs w:val="1"/>
          <w:highlight w:val="white"/>
          <w:rtl w:val="0"/>
        </w:rPr>
        <w:t xml:space="preserve">et al</w:t>
      </w:r>
      <w:r w:rsidDel="00000000" w:rsidR="00000000" w:rsidRPr="00000000">
        <w:rPr>
          <w:highlight w:val="white"/>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white"/>
          <w:rtl w:val="0"/>
        </w:rPr>
        <w:t xml:space="preserve">Horizontal-to-Vertical Spectral Ratio</w:t>
      </w:r>
      <w:r w:rsidDel="00000000" w:rsidR="00000000" w:rsidRPr="00000000">
        <w:rPr>
          <w:highlight w:val="white"/>
          <w:rtl w:val="0"/>
        </w:rPr>
        <w:t xml:space="preserve"> (HVSR) (Nakamura, 1989), utilizando dados obtidos por sismógrafos de fundo oceânico (</w:t>
      </w:r>
      <w:r w:rsidDel="00000000" w:rsidR="00000000" w:rsidRPr="00000000">
        <w:rPr>
          <w:i w:val="1"/>
          <w:iCs w:val="1"/>
          <w:highlight w:val="white"/>
          <w:rtl w:val="0"/>
        </w:rPr>
        <w:t xml:space="preserve">Ocean Bottom Seismometers</w:t>
      </w:r>
      <w:r w:rsidDel="00000000" w:rsidR="00000000" w:rsidRPr="00000000">
        <w:rPr>
          <w:highlight w:val="white"/>
          <w:rtl w:val="0"/>
        </w:rPr>
        <w:t xml:space="preserve"> — OBS). </w:t>
      </w:r>
    </w:p>
    <w:p w:rsidR="00000000" w:rsidDel="00000000" w:rsidP="00000000" w:rsidRDefault="00000000" w:rsidRPr="00000000" w14:paraId="00000058">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1.1 Objetivos</w:t>
      </w:r>
      <w:r w:rsidDel="00000000" w:rsidR="00000000" w:rsidRPr="00000000">
        <w:rPr>
          <w:rtl w:val="0"/>
        </w:rPr>
      </w:r>
    </w:p>
    <w:p w:rsidR="00000000" w:rsidDel="00000000" w:rsidP="00000000" w:rsidRDefault="00000000" w:rsidRPr="00000000" w14:paraId="00000059">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1.1.1 Objetivo geral</w:t>
      </w:r>
      <w:r w:rsidDel="00000000" w:rsidR="00000000" w:rsidRPr="00000000">
        <w:rPr>
          <w:rtl w:val="0"/>
        </w:rPr>
      </w:r>
    </w:p>
    <w:p w:rsidR="00000000" w:rsidDel="00000000" w:rsidP="00000000" w:rsidRDefault="00000000" w:rsidRPr="00000000" w14:paraId="0000005A">
      <w:pPr>
        <w:spacing w:after="0" w:line="240" w:lineRule="auto"/>
        <w:jc w:val="both"/>
        <w:rPr>
          <w:highlight w:val="white"/>
        </w:rPr>
      </w:pPr>
      <w:r w:rsidDel="00000000" w:rsidR="00000000" w:rsidRPr="00000000">
        <w:rPr>
          <w:highlight w:val="white"/>
          <w:rtl w:val="0"/>
        </w:rPr>
        <w:t xml:space="preserve">Caracterizar os depósitos de movimento de massa no talude continental na porção norte da Bacia de Santos</w:t>
      </w:r>
    </w:p>
    <w:p w:rsidR="00000000" w:rsidDel="00000000" w:rsidP="00000000" w:rsidRDefault="00000000" w:rsidRPr="00000000" w14:paraId="0000005B">
      <w:pPr>
        <w:spacing w:after="0" w:line="240" w:lineRule="auto"/>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5C">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1.1.2 Objetivos específicos</w:t>
      </w:r>
      <w:r w:rsidDel="00000000" w:rsidR="00000000" w:rsidRPr="00000000">
        <w:rPr>
          <w:rtl w:val="0"/>
        </w:rPr>
      </w:r>
    </w:p>
    <w:p w:rsidR="00000000" w:rsidDel="00000000" w:rsidP="00000000" w:rsidRDefault="00000000" w:rsidRPr="00000000" w14:paraId="0000005D">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5E">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5F">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60">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Classificar os depósitos/complexos de movimentos de massa.</w:t>
      </w:r>
    </w:p>
    <w:p w:rsidR="00000000" w:rsidDel="00000000" w:rsidP="00000000" w:rsidRDefault="00000000" w:rsidRPr="00000000" w14:paraId="00000061">
      <w:pPr>
        <w:numPr>
          <w:ilvl w:val="0"/>
          <w:numId w:val="3"/>
        </w:numPr>
        <w:spacing w:after="0" w:line="240" w:lineRule="auto"/>
        <w:ind w:left="720" w:hanging="360"/>
        <w:jc w:val="both"/>
        <w:rPr>
          <w:highlight w:val="white"/>
        </w:rPr>
      </w:pPr>
      <w:r w:rsidDel="00000000" w:rsidR="00000000" w:rsidRPr="00000000">
        <w:rPr>
          <w:highlight w:val="white"/>
          <w:rtl w:val="0"/>
        </w:rPr>
        <w:t xml:space="preserve">Correlacionar os depósitos/complexos com idade de sedimentos datados na área de estudo </w:t>
      </w:r>
    </w:p>
    <w:p w:rsidR="00000000" w:rsidDel="00000000" w:rsidP="00000000" w:rsidRDefault="00000000" w:rsidRPr="00000000" w14:paraId="00000062">
      <w:pPr>
        <w:numPr>
          <w:ilvl w:val="0"/>
          <w:numId w:val="3"/>
        </w:numPr>
        <w:spacing w:after="0" w:line="240" w:lineRule="auto"/>
        <w:ind w:left="720" w:hanging="360"/>
        <w:jc w:val="both"/>
        <w:rPr>
          <w:highlight w:val="white"/>
        </w:rPr>
      </w:pPr>
      <w:r w:rsidDel="00000000" w:rsidR="00000000" w:rsidRPr="00000000">
        <w:rPr>
          <w:highlight w:val="white"/>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3">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1.2 Justificativa</w:t>
      </w:r>
      <w:r w:rsidDel="00000000" w:rsidR="00000000" w:rsidRPr="00000000">
        <w:rPr>
          <w:rtl w:val="0"/>
        </w:rPr>
      </w:r>
    </w:p>
    <w:p w:rsidR="00000000" w:rsidDel="00000000" w:rsidP="00000000" w:rsidRDefault="00000000" w:rsidRPr="00000000" w14:paraId="00000064">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highlight w:val="white"/>
          <w:rtl w:val="0"/>
        </w:rPr>
        <w:t xml:space="preserve">et al</w:t>
      </w:r>
      <w:r w:rsidDel="00000000" w:rsidR="00000000" w:rsidRPr="00000000">
        <w:rPr>
          <w:highlight w:val="white"/>
          <w:rtl w:val="0"/>
        </w:rPr>
        <w:t xml:space="preserve">., 2018), uma vez que são fontes potenciais a gerar danos (Vanneste </w:t>
      </w:r>
      <w:r w:rsidDel="00000000" w:rsidR="00000000" w:rsidRPr="00000000">
        <w:rPr>
          <w:i w:val="1"/>
          <w:iCs w:val="1"/>
          <w:highlight w:val="white"/>
          <w:rtl w:val="0"/>
        </w:rPr>
        <w:t xml:space="preserve">et al</w:t>
      </w:r>
      <w:r w:rsidDel="00000000" w:rsidR="00000000" w:rsidRPr="00000000">
        <w:rPr>
          <w:highlight w:val="white"/>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highlight w:val="white"/>
          <w:rtl w:val="0"/>
        </w:rPr>
        <w:t xml:space="preserve">et al</w:t>
      </w:r>
      <w:r w:rsidDel="00000000" w:rsidR="00000000" w:rsidRPr="00000000">
        <w:rPr>
          <w:highlight w:val="white"/>
          <w:rtl w:val="0"/>
        </w:rPr>
        <w:t xml:space="preserve">., 2016), os quais estão presentes na região norte da Bacia de Santos. </w:t>
      </w:r>
    </w:p>
    <w:p w:rsidR="00000000" w:rsidDel="00000000" w:rsidP="00000000" w:rsidRDefault="00000000" w:rsidRPr="00000000" w14:paraId="00000065">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highlight w:val="white"/>
          <w:rtl w:val="0"/>
        </w:rPr>
        <w:t xml:space="preserve">et al</w:t>
      </w:r>
      <w:r w:rsidDel="00000000" w:rsidR="00000000" w:rsidRPr="00000000">
        <w:rPr>
          <w:highlight w:val="white"/>
          <w:rtl w:val="0"/>
        </w:rPr>
        <w:t xml:space="preserve">., 2016), podem atuar como selos (Cardona </w:t>
      </w:r>
      <w:r w:rsidDel="00000000" w:rsidR="00000000" w:rsidRPr="00000000">
        <w:rPr>
          <w:i w:val="1"/>
          <w:iCs w:val="1"/>
          <w:highlight w:val="white"/>
          <w:rtl w:val="0"/>
        </w:rPr>
        <w:t xml:space="preserve">et al</w:t>
      </w:r>
      <w:r w:rsidDel="00000000" w:rsidR="00000000" w:rsidRPr="00000000">
        <w:rPr>
          <w:highlight w:val="white"/>
          <w:rtl w:val="0"/>
        </w:rPr>
        <w:t xml:space="preserve">., 2016) e também como potenciais reservatórios (Meckel, 2011).</w:t>
      </w:r>
    </w:p>
    <w:p w:rsidR="00000000" w:rsidDel="00000000" w:rsidP="00000000" w:rsidRDefault="00000000" w:rsidRPr="00000000" w14:paraId="00000066">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highlight w:val="white"/>
          <w:rtl w:val="0"/>
        </w:rPr>
        <w:t xml:space="preserve">et al</w:t>
      </w:r>
      <w:r w:rsidDel="00000000" w:rsidR="00000000" w:rsidRPr="00000000">
        <w:rPr>
          <w:highlight w:val="white"/>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p>
    <w:p w:rsidR="00000000" w:rsidDel="00000000" w:rsidP="00000000" w:rsidRDefault="00000000" w:rsidRPr="00000000" w14:paraId="00000067">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2 </w:t>
      </w:r>
      <w:r w:rsidDel="00000000" w:rsidR="00000000" w:rsidRPr="00000000">
        <w:rPr>
          <w:highlight w:val="white"/>
          <w:rtl w:val="0"/>
        </w:rPr>
        <w:t xml:space="preserve">FUNDAMENTAÇÃO TEÓRICA</w:t>
      </w:r>
    </w:p>
    <w:p w:rsidR="00000000" w:rsidDel="00000000" w:rsidP="00000000" w:rsidRDefault="00000000" w:rsidRPr="00000000" w14:paraId="00000068">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2.1 </w:t>
      </w:r>
      <w:r w:rsidDel="00000000" w:rsidR="00000000" w:rsidRPr="00000000">
        <w:rPr>
          <w:highlight w:val="white"/>
          <w:rtl w:val="0"/>
        </w:rPr>
        <w:t xml:space="preserve">Sísmica de reflexão</w:t>
      </w:r>
    </w:p>
    <w:p w:rsidR="00000000" w:rsidDel="00000000" w:rsidP="00000000" w:rsidRDefault="00000000" w:rsidRPr="00000000" w14:paraId="00000069">
      <w:pPr>
        <w:spacing w:after="0" w:before="0" w:line="360" w:lineRule="auto"/>
        <w:ind w:firstLine="709"/>
        <w:jc w:val="both"/>
        <w:rPr>
          <w:highlight w:val="white"/>
        </w:rPr>
      </w:pPr>
      <w:r w:rsidDel="00000000" w:rsidR="00000000" w:rsidRPr="00000000">
        <w:rPr>
          <w:highlight w:val="white"/>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A">
      <w:pPr>
        <w:spacing w:after="0" w:before="0" w:line="360" w:lineRule="auto"/>
        <w:ind w:firstLine="709"/>
        <w:jc w:val="both"/>
        <w:rPr>
          <w:highlight w:val="white"/>
        </w:rPr>
      </w:pPr>
      <w:r w:rsidDel="00000000" w:rsidR="00000000" w:rsidRPr="00000000">
        <w:rPr>
          <w:highlight w:val="white"/>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B">
      <w:pPr>
        <w:spacing w:after="0" w:before="0" w:line="360" w:lineRule="auto"/>
        <w:ind w:firstLine="709"/>
        <w:jc w:val="both"/>
        <w:rPr>
          <w:highlight w:val="white"/>
        </w:rPr>
      </w:pPr>
      <w:r w:rsidDel="00000000" w:rsidR="00000000" w:rsidRPr="00000000">
        <w:rPr>
          <w:highlight w:val="white"/>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highlight w:val="white"/>
          <w:rtl w:val="0"/>
        </w:rPr>
        <w:t xml:space="preserve">two-way travel time</w:t>
      </w:r>
      <w:r w:rsidDel="00000000" w:rsidR="00000000" w:rsidRPr="00000000">
        <w:rPr>
          <w:highlight w:val="white"/>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C">
      <w:pPr>
        <w:spacing w:after="0" w:before="0" w:line="360" w:lineRule="auto"/>
        <w:ind w:firstLine="709"/>
        <w:jc w:val="both"/>
        <w:rPr>
          <w:highlight w:val="white"/>
        </w:rPr>
      </w:pPr>
      <w:r w:rsidDel="00000000" w:rsidR="00000000" w:rsidRPr="00000000">
        <w:rPr>
          <w:highlight w:val="white"/>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D">
      <w:pPr>
        <w:pStyle w:val="Heading3"/>
        <w:keepNext w:val="1"/>
        <w:spacing w:after="240" w:before="240" w:line="360" w:lineRule="auto"/>
        <w:ind w:firstLine="0"/>
        <w:jc w:val="left"/>
        <w:rPr>
          <w:highlight w:val="white"/>
        </w:rPr>
      </w:pPr>
      <w:bookmarkStart w:colFirst="0" w:colLast="0" w:name="_1rbldzm8syoo" w:id="0"/>
      <w:bookmarkEnd w:id="0"/>
      <w:r w:rsidDel="00000000" w:rsidR="00000000" w:rsidRPr="00000000">
        <w:rPr>
          <w:highlight w:val="white"/>
          <w:rtl w:val="0"/>
        </w:rPr>
        <w:t xml:space="preserve">2.1.1 Cosseno de fase instantânea</w:t>
      </w:r>
    </w:p>
    <w:p w:rsidR="00000000" w:rsidDel="00000000" w:rsidP="00000000" w:rsidRDefault="00000000" w:rsidRPr="00000000" w14:paraId="0000006E">
      <w:pPr>
        <w:spacing w:after="0" w:before="0" w:line="360" w:lineRule="auto"/>
        <w:ind w:firstLine="709"/>
        <w:jc w:val="both"/>
        <w:rPr>
          <w:highlight w:val="white"/>
        </w:rPr>
      </w:pPr>
      <w:r w:rsidDel="00000000" w:rsidR="00000000" w:rsidRPr="00000000">
        <w:rPr>
          <w:highlight w:val="white"/>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6F">
      <w:pPr>
        <w:spacing w:after="0" w:before="0" w:line="360" w:lineRule="auto"/>
        <w:ind w:firstLine="0"/>
        <w:jc w:val="center"/>
        <w:rPr>
          <w:highlight w:val="white"/>
        </w:rPr>
      </w:pPr>
      <w:r w:rsidDel="00000000" w:rsidR="00000000" w:rsidRPr="00000000">
        <w:rPr>
          <w:highlight w:val="white"/>
          <w:rtl w:val="0"/>
        </w:rPr>
        <w:t xml:space="preserve">C(t) = cos(φ(t))    (1)</w:t>
      </w:r>
    </w:p>
    <w:p w:rsidR="00000000" w:rsidDel="00000000" w:rsidP="00000000" w:rsidRDefault="00000000" w:rsidRPr="00000000" w14:paraId="00000070">
      <w:pPr>
        <w:spacing w:after="0" w:before="0" w:line="360" w:lineRule="auto"/>
        <w:ind w:firstLine="709"/>
        <w:jc w:val="both"/>
        <w:rPr>
          <w:highlight w:val="white"/>
        </w:rPr>
      </w:pPr>
      <w:r w:rsidDel="00000000" w:rsidR="00000000" w:rsidRPr="00000000">
        <w:rPr>
          <w:highlight w:val="white"/>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71">
      <w:pPr>
        <w:spacing w:after="0" w:before="0" w:line="360" w:lineRule="auto"/>
        <w:ind w:firstLine="709"/>
        <w:jc w:val="both"/>
        <w:rPr>
          <w:highlight w:val="white"/>
        </w:rPr>
      </w:pPr>
      <w:r w:rsidDel="00000000" w:rsidR="00000000" w:rsidRPr="00000000">
        <w:rPr>
          <w:highlight w:val="white"/>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2">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2.2 </w:t>
      </w:r>
      <w:r w:rsidDel="00000000" w:rsidR="00000000" w:rsidRPr="00000000">
        <w:rPr>
          <w:highlight w:val="white"/>
          <w:rtl w:val="0"/>
        </w:rPr>
        <w:t xml:space="preserve">Sismoestratigrafia</w:t>
      </w:r>
    </w:p>
    <w:p w:rsidR="00000000" w:rsidDel="00000000" w:rsidP="00000000" w:rsidRDefault="00000000" w:rsidRPr="00000000" w14:paraId="00000073">
      <w:pPr>
        <w:spacing w:after="240" w:before="240" w:lineRule="auto"/>
        <w:ind w:firstLine="720"/>
        <w:jc w:val="both"/>
        <w:rPr>
          <w:highlight w:val="white"/>
        </w:rPr>
      </w:pPr>
      <w:r w:rsidDel="00000000" w:rsidR="00000000" w:rsidRPr="00000000">
        <w:rPr>
          <w:highlight w:val="white"/>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4">
      <w:pPr>
        <w:spacing w:after="240" w:before="240" w:lineRule="auto"/>
        <w:ind w:firstLine="720"/>
        <w:jc w:val="both"/>
        <w:rPr>
          <w:highlight w:val="white"/>
        </w:rPr>
      </w:pPr>
      <w:r w:rsidDel="00000000" w:rsidR="00000000" w:rsidRPr="00000000">
        <w:rPr>
          <w:highlight w:val="white"/>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5">
      <w:pPr>
        <w:spacing w:after="240" w:before="240" w:lineRule="auto"/>
        <w:ind w:firstLine="720"/>
        <w:jc w:val="both"/>
        <w:rPr>
          <w:highlight w:val="white"/>
        </w:rPr>
      </w:pPr>
      <w:r w:rsidDel="00000000" w:rsidR="00000000" w:rsidRPr="00000000">
        <w:rPr>
          <w:highlight w:val="white"/>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6">
      <w:pPr>
        <w:spacing w:after="240" w:before="240" w:lineRule="auto"/>
        <w:ind w:firstLine="720"/>
        <w:jc w:val="both"/>
        <w:rPr>
          <w:highlight w:val="white"/>
        </w:rPr>
      </w:pPr>
      <w:r w:rsidDel="00000000" w:rsidR="00000000" w:rsidRPr="00000000">
        <w:rPr>
          <w:highlight w:val="white"/>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7">
      <w:pPr>
        <w:pStyle w:val="Heading3"/>
        <w:rPr>
          <w:highlight w:val="white"/>
        </w:rPr>
      </w:pPr>
      <w:bookmarkStart w:colFirst="0" w:colLast="0" w:name="_o1eeu2ym2b2q" w:id="1"/>
      <w:bookmarkEnd w:id="1"/>
      <w:r w:rsidDel="00000000" w:rsidR="00000000" w:rsidRPr="00000000">
        <w:rPr>
          <w:highlight w:val="white"/>
          <w:rtl w:val="0"/>
        </w:rPr>
        <w:t xml:space="preserve">2.2.1 Fácies sísmicas </w:t>
      </w:r>
    </w:p>
    <w:p w:rsidR="00000000" w:rsidDel="00000000" w:rsidP="00000000" w:rsidRDefault="00000000" w:rsidRPr="00000000" w14:paraId="00000078">
      <w:pPr>
        <w:spacing w:after="0" w:before="0" w:line="360" w:lineRule="auto"/>
        <w:ind w:firstLine="709"/>
        <w:jc w:val="both"/>
        <w:rPr>
          <w:highlight w:val="white"/>
        </w:rPr>
      </w:pPr>
      <w:r w:rsidDel="00000000" w:rsidR="00000000" w:rsidRPr="00000000">
        <w:rPr>
          <w:highlight w:val="white"/>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9">
      <w:pPr>
        <w:spacing w:after="0" w:before="0" w:line="360" w:lineRule="auto"/>
        <w:ind w:firstLine="709"/>
        <w:jc w:val="both"/>
        <w:rPr>
          <w:highlight w:val="white"/>
        </w:rPr>
      </w:pPr>
      <w:r w:rsidDel="00000000" w:rsidR="00000000" w:rsidRPr="00000000">
        <w:rPr>
          <w:highlight w:val="white"/>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A">
      <w:pPr>
        <w:spacing w:after="0" w:before="0" w:line="360" w:lineRule="auto"/>
        <w:ind w:firstLine="709"/>
        <w:jc w:val="both"/>
        <w:rPr>
          <w:highlight w:val="white"/>
        </w:rPr>
      </w:pPr>
      <w:r w:rsidDel="00000000" w:rsidR="00000000" w:rsidRPr="00000000">
        <w:rPr>
          <w:highlight w:val="white"/>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B">
      <w:pPr>
        <w:spacing w:after="0" w:before="0" w:line="360" w:lineRule="auto"/>
        <w:ind w:firstLine="709"/>
        <w:jc w:val="both"/>
        <w:rPr>
          <w:highlight w:val="white"/>
        </w:rPr>
      </w:pPr>
      <w:r w:rsidDel="00000000" w:rsidR="00000000" w:rsidRPr="00000000">
        <w:rPr>
          <w:highlight w:val="white"/>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C">
      <w:pPr>
        <w:spacing w:after="0" w:before="0" w:line="360" w:lineRule="auto"/>
        <w:ind w:firstLine="709"/>
        <w:jc w:val="both"/>
        <w:rPr>
          <w:highlight w:val="white"/>
        </w:rPr>
      </w:pPr>
      <w:r w:rsidDel="00000000" w:rsidR="00000000" w:rsidRPr="00000000">
        <w:rPr>
          <w:highlight w:val="white"/>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D">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4690796" cy="4706302"/>
            <wp:effectExtent b="0" l="0" r="0" t="0"/>
            <wp:docPr id="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1 — Esquemas de padrões de configuração dos refletores</w:t>
      </w:r>
    </w:p>
    <w:p w:rsidR="00000000" w:rsidDel="00000000" w:rsidP="00000000" w:rsidRDefault="00000000" w:rsidRPr="00000000" w14:paraId="0000007F">
      <w:pPr>
        <w:spacing w:after="0" w:before="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80">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1">
      <w:pPr>
        <w:pStyle w:val="Heading3"/>
        <w:keepNext w:val="1"/>
        <w:spacing w:after="120" w:before="240" w:lineRule="auto"/>
        <w:ind w:firstLine="0"/>
        <w:jc w:val="left"/>
        <w:rPr>
          <w:highlight w:val="white"/>
        </w:rPr>
      </w:pPr>
      <w:bookmarkStart w:colFirst="0" w:colLast="0" w:name="_meybu3i0zoza" w:id="2"/>
      <w:bookmarkEnd w:id="2"/>
      <w:r w:rsidDel="00000000" w:rsidR="00000000" w:rsidRPr="00000000">
        <w:rPr>
          <w:highlight w:val="white"/>
          <w:rtl w:val="0"/>
        </w:rPr>
        <w:t xml:space="preserve">2.2.2 Formas externas das fácies sísmicas</w:t>
      </w:r>
    </w:p>
    <w:p w:rsidR="00000000" w:rsidDel="00000000" w:rsidP="00000000" w:rsidRDefault="00000000" w:rsidRPr="00000000" w14:paraId="00000082">
      <w:pPr>
        <w:spacing w:after="0" w:before="0" w:line="360" w:lineRule="auto"/>
        <w:ind w:firstLine="709"/>
        <w:jc w:val="both"/>
        <w:rPr>
          <w:highlight w:val="white"/>
        </w:rPr>
      </w:pPr>
      <w:r w:rsidDel="00000000" w:rsidR="00000000" w:rsidRPr="00000000">
        <w:rPr>
          <w:highlight w:val="white"/>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3">
      <w:pPr>
        <w:spacing w:after="0" w:before="0" w:line="360" w:lineRule="auto"/>
        <w:ind w:firstLine="709"/>
        <w:jc w:val="both"/>
        <w:rPr>
          <w:highlight w:val="white"/>
        </w:rPr>
      </w:pPr>
      <w:r w:rsidDel="00000000" w:rsidR="00000000" w:rsidRPr="00000000">
        <w:rPr>
          <w:highlight w:val="white"/>
          <w:rtl w:val="0"/>
        </w:rPr>
        <w:t xml:space="preserve">As fácies em lençol ou drapes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4">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759775" cy="12954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2 — Formas externas das fácies sísmicas: (A) lençóis ondulados ou drapes; (B) montiformas; (C) geometria de preenchimento</w:t>
      </w:r>
    </w:p>
    <w:p w:rsidR="00000000" w:rsidDel="00000000" w:rsidP="00000000" w:rsidRDefault="00000000" w:rsidRPr="00000000" w14:paraId="00000086">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7">
      <w:pPr>
        <w:spacing w:after="0" w:before="0" w:line="360" w:lineRule="auto"/>
        <w:ind w:firstLine="709"/>
        <w:jc w:val="both"/>
        <w:rPr>
          <w:highlight w:val="white"/>
        </w:rPr>
      </w:pPr>
      <w:r w:rsidDel="00000000" w:rsidR="00000000" w:rsidRPr="00000000">
        <w:rPr>
          <w:highlight w:val="white"/>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88">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444561" cy="2798774"/>
            <wp:effectExtent b="0" l="0" r="0" t="0"/>
            <wp:docPr id="4"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44561" cy="2798774"/>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8A">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B">
      <w:pPr>
        <w:pStyle w:val="Heading2"/>
        <w:jc w:val="left"/>
        <w:rPr>
          <w:highlight w:val="white"/>
        </w:rPr>
      </w:pPr>
      <w:bookmarkStart w:colFirst="0" w:colLast="0" w:name="_pfgfl1mim8bb" w:id="3"/>
      <w:bookmarkEnd w:id="3"/>
      <w:r w:rsidDel="00000000" w:rsidR="00000000" w:rsidRPr="00000000">
        <w:rPr>
          <w:highlight w:val="white"/>
          <w:rtl w:val="0"/>
        </w:rPr>
        <w:t xml:space="preserve">2.3 Movimentos de massa submarinos</w:t>
      </w:r>
    </w:p>
    <w:p w:rsidR="00000000" w:rsidDel="00000000" w:rsidP="00000000" w:rsidRDefault="00000000" w:rsidRPr="00000000" w14:paraId="0000008C">
      <w:pPr>
        <w:spacing w:after="120" w:line="360" w:lineRule="auto"/>
        <w:ind w:left="0" w:firstLine="709"/>
        <w:jc w:val="both"/>
        <w:rPr>
          <w:highlight w:val="white"/>
        </w:rPr>
      </w:pPr>
      <w:r w:rsidDel="00000000" w:rsidR="00000000" w:rsidRPr="00000000">
        <w:rPr>
          <w:highlight w:val="white"/>
          <w:rtl w:val="0"/>
        </w:rPr>
        <w:t xml:space="preserve">Os movimentos de massa submarinos correspondem à remobilização e ao deslocamento de sedimentos ou rochas ao longo do fundo marinho sob a ação da gravidade. Esses processos ocorrem quando as forças responsáveis pelo deslocamento do material superam sua resistência ao cisalhamento, provocando a ruptura do pacote sedimentar e seu transporte em direção às porções mais profundas da bacia. Embora apresentem princípios mecânicos semelhantes aos movimentos de massa subaéreos, sua ocorrência no ambiente marinho envolve condições particulares, como a saturação dos sedimentos, o desenvolvimento de excesso de poropressão e a interação entre a massa deslocada e a água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8D">
      <w:pPr>
        <w:spacing w:after="120" w:line="360" w:lineRule="auto"/>
        <w:ind w:left="0" w:firstLine="709"/>
        <w:jc w:val="both"/>
        <w:rPr>
          <w:highlight w:val="white"/>
        </w:rPr>
      </w:pPr>
      <w:r w:rsidDel="00000000" w:rsidR="00000000" w:rsidRPr="00000000">
        <w:rPr>
          <w:highlight w:val="white"/>
          <w:rtl w:val="0"/>
        </w:rPr>
        <w:t xml:space="preserve">Nas margens continentais, os movimentos de massa desempenham um papel importante na redistribuição dos sedimentos. Em um único evento, grandes volumes de material podem ser removidos da plataforma ou do talude e transportados para regiões mais profundas, atravessando extensos trechos da margem com deposição limitada durante o percurso. Esse processo, denominado </w:t>
      </w:r>
      <w:r w:rsidDel="00000000" w:rsidR="00000000" w:rsidRPr="00000000">
        <w:rPr>
          <w:i w:val="1"/>
          <w:iCs w:val="1"/>
          <w:highlight w:val="white"/>
          <w:rtl w:val="0"/>
        </w:rPr>
        <w:t xml:space="preserve">sediment bypassing</w:t>
      </w:r>
      <w:r w:rsidDel="00000000" w:rsidR="00000000" w:rsidRPr="00000000">
        <w:rPr>
          <w:highlight w:val="white"/>
          <w:rtl w:val="0"/>
        </w:rPr>
        <w:t xml:space="preserve">, contribui para a transferência de sedimentos em direção ao sopé continental e às bacias oceânicas profundas. Um aspecto particularmente relevante é que movimentos de grandes dimensões não se restringem a áreas muito inclinadas, sendo registrados também em taludes com gradientes inferiores a 2°, que seriam considerados estáveis em muitos ambientes continentais (Hampton </w:t>
      </w:r>
      <w:r w:rsidDel="00000000" w:rsidR="00000000" w:rsidRPr="00000000">
        <w:rPr>
          <w:i w:val="1"/>
          <w:iCs w:val="1"/>
          <w:highlight w:val="white"/>
          <w:rtl w:val="0"/>
        </w:rPr>
        <w:t xml:space="preserve">et al</w:t>
      </w:r>
      <w:r w:rsidDel="00000000" w:rsidR="00000000" w:rsidRPr="00000000">
        <w:rPr>
          <w:highlight w:val="white"/>
          <w:rtl w:val="0"/>
        </w:rPr>
        <w:t xml:space="preserve">., 1996; Talling </w:t>
      </w:r>
      <w:r w:rsidDel="00000000" w:rsidR="00000000" w:rsidRPr="00000000">
        <w:rPr>
          <w:i w:val="1"/>
          <w:iCs w:val="1"/>
          <w:highlight w:val="white"/>
          <w:rtl w:val="0"/>
        </w:rPr>
        <w:t xml:space="preserve">et al</w:t>
      </w:r>
      <w:r w:rsidDel="00000000" w:rsidR="00000000" w:rsidRPr="00000000">
        <w:rPr>
          <w:highlight w:val="white"/>
          <w:rtl w:val="0"/>
        </w:rPr>
        <w:t xml:space="preserve">., 2014). </w:t>
      </w:r>
    </w:p>
    <w:p w:rsidR="00000000" w:rsidDel="00000000" w:rsidP="00000000" w:rsidRDefault="00000000" w:rsidRPr="00000000" w14:paraId="0000008E">
      <w:pPr>
        <w:spacing w:after="120" w:line="360" w:lineRule="auto"/>
        <w:ind w:left="0" w:firstLine="709"/>
        <w:jc w:val="both"/>
        <w:rPr>
          <w:highlight w:val="white"/>
        </w:rPr>
      </w:pPr>
      <w:r w:rsidDel="00000000" w:rsidR="00000000" w:rsidRPr="00000000">
        <w:rPr>
          <w:highlight w:val="white"/>
          <w:rtl w:val="0"/>
        </w:rPr>
        <w:t xml:space="preserve">Os movimentos de massa podem ser classificados de acordo com o comportamento do material durante o deslocamento, considerando aspectos como velocidade, grau de deformação interna e interação entre os grãos. Como apresentado na Figura 4, esses processos formam um contínuo que se estende desde o rastejo, caracterizado pelo movimento lento e pela manutenção dos contatos entre as partículas, até processos mais rápidos e desagregados, como os fluxos de detritos, as correntes de turbidez e as quedas. Ao longo dessa evolução, ocorre o aumento da velocidade e da deformação interna, acompanhado pela redução progressiva da coesão da massa transportada. Uma mesma massa também pode modificar seu comportamento durante o percurso, evoluindo de um deslizamento relativamente coerente para um fluxo de detritos e, com a incorporação de água e a diluição do material, gerar uma corrente de turbidez (Posamentier &amp; Martinsen, 2011).</w:t>
      </w:r>
    </w:p>
    <w:p w:rsidR="00000000" w:rsidDel="00000000" w:rsidP="00000000" w:rsidRDefault="00000000" w:rsidRPr="00000000" w14:paraId="0000008F">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5344478" cy="4946954"/>
            <wp:effectExtent b="0" l="0" r="0" t="0"/>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344478" cy="4946954"/>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91">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traduzido e adaptado de Posamentier &amp; Martinsen (2011).</w:t>
      </w:r>
    </w:p>
    <w:p w:rsidR="00000000" w:rsidDel="00000000" w:rsidP="00000000" w:rsidRDefault="00000000" w:rsidRPr="00000000" w14:paraId="00000092">
      <w:pPr>
        <w:spacing w:after="120" w:line="360" w:lineRule="auto"/>
        <w:ind w:left="0" w:firstLine="709"/>
        <w:jc w:val="both"/>
        <w:rPr>
          <w:highlight w:val="white"/>
        </w:rPr>
      </w:pPr>
      <w:r w:rsidDel="00000000" w:rsidR="00000000" w:rsidRPr="00000000">
        <w:rPr>
          <w:highlight w:val="white"/>
          <w:rtl w:val="0"/>
        </w:rPr>
        <w:t xml:space="preserve">Além de modificarem a morfologia do fundo marinho, esses processos influenciam a organização do registro sedimentar em águas profundas. Em algumas sucessões, os depósitos associados aos movimentos de massa representam uma parcela expressiva da seção estratigráfica, podendo interferir na distribuição e na conectividade dos reservatórios, bem como atuar como barreiras ao fluxo de fluidos. Também constituem riscos geológicos importantes, pois podem danificar cabos submarinos, plataformas e outras estruturas instaladas no fundo do mar, além de, em determinados casos, desencadear tsunamis (Posamentier &amp; Martinsen, 2011).</w:t>
      </w:r>
    </w:p>
    <w:p w:rsidR="00000000" w:rsidDel="00000000" w:rsidP="00000000" w:rsidRDefault="00000000" w:rsidRPr="00000000" w14:paraId="00000093">
      <w:pPr>
        <w:spacing w:after="120" w:line="360" w:lineRule="auto"/>
        <w:ind w:left="0" w:firstLine="709"/>
        <w:jc w:val="both"/>
        <w:rPr>
          <w:highlight w:val="white"/>
        </w:rPr>
      </w:pPr>
      <w:r w:rsidDel="00000000" w:rsidR="00000000" w:rsidRPr="00000000">
        <w:rPr>
          <w:highlight w:val="white"/>
          <w:rtl w:val="0"/>
        </w:rPr>
        <w:t xml:space="preserve">Os movimentos de massa não devem ser entendidos como processos isolados ou necessariamente constantes durante todo o deslocamento. Eles fazem parte de um contínuo, no qual o comportamento da massa pode se modificar progressivamente. Um material inicialmente deslocado como um bloco relativamente coerente pode sofrer deformação interna, fragmentar-se e, com a incorporação de água, evoluir para um fluxo de detritos. Em alguns casos, a desagregação e a diluição da massa podem resultar na formação de uma corrente de turbidez. Dessa forma, diferentes mecanismos de transporte podem ocorrer durante um mesmo evento e produzir depósitos com características internas variadas (Posamentier &amp; Martinsen, 2011; Scarselli, 2020).</w:t>
      </w:r>
    </w:p>
    <w:p w:rsidR="00000000" w:rsidDel="00000000" w:rsidP="00000000" w:rsidRDefault="00000000" w:rsidRPr="00000000" w14:paraId="00000094">
      <w:pPr>
        <w:spacing w:after="120" w:line="360" w:lineRule="auto"/>
        <w:ind w:left="0" w:firstLine="709"/>
        <w:jc w:val="both"/>
        <w:rPr>
          <w:highlight w:val="white"/>
        </w:rPr>
      </w:pPr>
      <w:r w:rsidDel="00000000" w:rsidR="00000000" w:rsidRPr="00000000">
        <w:rPr>
          <w:highlight w:val="white"/>
          <w:rtl w:val="0"/>
        </w:rPr>
        <w:t xml:space="preserve">Nesse contexto, é necessário diferenciar o movimento de massa do produto sedimentar resultante. O termo depósito de transporte de massa, ou </w:t>
      </w:r>
      <w:r w:rsidDel="00000000" w:rsidR="00000000" w:rsidRPr="00000000">
        <w:rPr>
          <w:i w:val="1"/>
          <w:iCs w:val="1"/>
          <w:highlight w:val="white"/>
          <w:rtl w:val="0"/>
        </w:rPr>
        <w:t xml:space="preserve">mass-transport deposit</w:t>
      </w:r>
      <w:r w:rsidDel="00000000" w:rsidR="00000000" w:rsidRPr="00000000">
        <w:rPr>
          <w:highlight w:val="white"/>
          <w:rtl w:val="0"/>
        </w:rPr>
        <w:t xml:space="preserve"> (MTD), refere-se ao corpo sedimentar formado pela deposição do material transportado gravitacionalmente. Em sentido estrito, esse termo é aplicado aos depósitos originados pelo deslocamento </w:t>
      </w:r>
      <w:r w:rsidDel="00000000" w:rsidR="00000000" w:rsidRPr="00000000">
        <w:rPr>
          <w:i w:val="1"/>
          <w:iCs w:val="1"/>
          <w:highlight w:val="white"/>
          <w:rtl w:val="0"/>
        </w:rPr>
        <w:t xml:space="preserve">en masse</w:t>
      </w:r>
      <w:r w:rsidDel="00000000" w:rsidR="00000000" w:rsidRPr="00000000">
        <w:rPr>
          <w:highlight w:val="white"/>
          <w:rtl w:val="0"/>
        </w:rPr>
        <w:t xml:space="preserve">, no qual os grãos mantêm algum grau de interação entre si e o principal mecanismo de sustentação do material não é a turbulência do fluido. Por essa razão, Posamentier &amp; Martinsen (2011) não incluem os turbiditos entre os MTDs, embora reconheçam que um mesmo evento possa produzir tanto depósitos de transporte de massa quanto depósitos relacionados a correntes de turbidez.</w:t>
      </w:r>
    </w:p>
    <w:p w:rsidR="00000000" w:rsidDel="00000000" w:rsidP="00000000" w:rsidRDefault="00000000" w:rsidRPr="00000000" w14:paraId="00000095">
      <w:pPr>
        <w:spacing w:after="120" w:line="360" w:lineRule="auto"/>
        <w:ind w:left="0" w:firstLine="709"/>
        <w:jc w:val="both"/>
        <w:rPr>
          <w:highlight w:val="white"/>
        </w:rPr>
      </w:pPr>
      <w:r w:rsidDel="00000000" w:rsidR="00000000" w:rsidRPr="00000000">
        <w:rPr>
          <w:highlight w:val="white"/>
          <w:rtl w:val="0"/>
        </w:rPr>
        <w:t xml:space="preserve">A distinção entre os termos MTD e complexo de transporte de massa, ou </w:t>
      </w:r>
      <w:r w:rsidDel="00000000" w:rsidR="00000000" w:rsidRPr="00000000">
        <w:rPr>
          <w:i w:val="1"/>
          <w:iCs w:val="1"/>
          <w:highlight w:val="white"/>
          <w:rtl w:val="0"/>
        </w:rPr>
        <w:t xml:space="preserve">mass-transport complex</w:t>
      </w:r>
      <w:r w:rsidDel="00000000" w:rsidR="00000000" w:rsidRPr="00000000">
        <w:rPr>
          <w:highlight w:val="white"/>
          <w:rtl w:val="0"/>
        </w:rPr>
        <w:t xml:space="preserve"> (MTC), não é uniforme na literatura. Alguns autores utilizam as duas expressões como sinônimos, enquanto outros empregam MTD para indicar um depósito individual, formado durante um único evento, e MTC para designar um corpo composto pelo empilhamento ou pela amalgamação de dois ou mais MTDs. Essa variação terminológica dificulta a comparação entre diferentes estudos, principalmente quando a resolução dos dados sísmicos não permite determinar se o corpo foi formado por um ou por vários episódios de transporte (Ortiz-Karpf, 2016).</w:t>
      </w:r>
    </w:p>
    <w:p w:rsidR="00000000" w:rsidDel="00000000" w:rsidP="00000000" w:rsidRDefault="00000000" w:rsidRPr="00000000" w14:paraId="00000096">
      <w:pPr>
        <w:spacing w:after="120" w:line="360" w:lineRule="auto"/>
        <w:ind w:left="0" w:firstLine="709"/>
        <w:jc w:val="both"/>
        <w:rPr>
          <w:highlight w:val="white"/>
        </w:rPr>
      </w:pPr>
      <w:r w:rsidDel="00000000" w:rsidR="00000000" w:rsidRPr="00000000">
        <w:rPr>
          <w:highlight w:val="white"/>
          <w:rtl w:val="0"/>
        </w:rPr>
        <w:t xml:space="preserve">Para evitar essa ambiguidade, neste trabalho o termo MTD será adotado como denominação padrão para as unidades interpretadas como produtos de movimentos de massa. O termo MTC será empregado somente quando houver evidências claras de que a unidade é composta por depósitos relacionados a mais de um evento. Essas evidências podem incluir a identificação de corpos internamente individualizados, superfícies que separem diferentes unidades ou relações de empilhamento e amalgamação que indiquem episódios sucessivos de ruptura, transporte e deposição. Quando não for possível demonstrar a ocorrência de múltiplos eventos, a unidade será tratada como MTD, mesmo que apresente grande extensão ou elevada espessura.</w:t>
      </w:r>
    </w:p>
    <w:p w:rsidR="00000000" w:rsidDel="00000000" w:rsidP="00000000" w:rsidRDefault="00000000" w:rsidRPr="00000000" w14:paraId="00000097">
      <w:pPr>
        <w:pStyle w:val="Heading3"/>
        <w:jc w:val="left"/>
        <w:rPr>
          <w:highlight w:val="white"/>
        </w:rPr>
      </w:pPr>
      <w:bookmarkStart w:colFirst="0" w:colLast="0" w:name="_a2mvyzh9o22m" w:id="4"/>
      <w:bookmarkEnd w:id="4"/>
      <w:r w:rsidDel="00000000" w:rsidR="00000000" w:rsidRPr="00000000">
        <w:rPr>
          <w:highlight w:val="white"/>
          <w:rtl w:val="0"/>
        </w:rPr>
        <w:t xml:space="preserve">2.3.1 Mecanismos de ruptura</w:t>
      </w:r>
    </w:p>
    <w:p w:rsidR="00000000" w:rsidDel="00000000" w:rsidP="00000000" w:rsidRDefault="00000000" w:rsidRPr="00000000" w14:paraId="00000098">
      <w:pPr>
        <w:spacing w:after="120" w:line="360" w:lineRule="auto"/>
        <w:ind w:left="0" w:firstLine="709"/>
        <w:jc w:val="both"/>
        <w:rPr>
          <w:highlight w:val="white"/>
        </w:rPr>
      </w:pPr>
      <w:r w:rsidDel="00000000" w:rsidR="00000000" w:rsidRPr="00000000">
        <w:rPr>
          <w:highlight w:val="white"/>
          <w:rtl w:val="0"/>
        </w:rPr>
        <w:t xml:space="preserve">Os movimentos de massa submarinos ocorrem quando as tensões que favorecem o deslocamento do material ao longo do talude superam a resistência ao cisalhamento dos sedimentos ou das rochas. A gravidade constitui a principal força responsável pelo movimento, mas outros processos, como terremotos, erosão e acúmulo de sedimentos, podem aumentar as tensões atuantes ou reduzir a resistência do material. A estabilidade do talude depende, portanto, do equilíbrio entre as forças resistentes e as forças que favorecem o deslocamento (Hampton et al., 1996).</w:t>
      </w:r>
    </w:p>
    <w:p w:rsidR="00000000" w:rsidDel="00000000" w:rsidP="00000000" w:rsidRDefault="00000000" w:rsidRPr="00000000" w14:paraId="00000099">
      <w:pPr>
        <w:pStyle w:val="Heading4"/>
        <w:jc w:val="left"/>
        <w:rPr>
          <w:rFonts w:ascii="Times New Roman" w:cs="Times New Roman" w:eastAsia="Times New Roman" w:hAnsi="Times New Roman"/>
          <w:i w:val="0"/>
          <w:iCs w:val="0"/>
          <w:color w:val="000000"/>
          <w:highlight w:val="white"/>
        </w:rPr>
      </w:pPr>
      <w:bookmarkStart w:colFirst="0" w:colLast="0" w:name="_s033fpnlnvlq" w:id="5"/>
      <w:bookmarkEnd w:id="5"/>
      <w:r w:rsidDel="00000000" w:rsidR="00000000" w:rsidRPr="00000000">
        <w:rPr>
          <w:rFonts w:ascii="Times New Roman" w:cs="Times New Roman" w:eastAsia="Times New Roman" w:hAnsi="Times New Roman"/>
          <w:i w:val="0"/>
          <w:iCs w:val="0"/>
          <w:color w:val="000000"/>
          <w:highlight w:val="white"/>
          <w:rtl w:val="0"/>
        </w:rPr>
        <w:t xml:space="preserve">Fator de segurança</w:t>
      </w:r>
    </w:p>
    <w:p w:rsidR="00000000" w:rsidDel="00000000" w:rsidP="00000000" w:rsidRDefault="00000000" w:rsidRPr="00000000" w14:paraId="0000009A">
      <w:pPr>
        <w:spacing w:after="120" w:line="360" w:lineRule="auto"/>
        <w:ind w:left="0" w:firstLine="709"/>
        <w:jc w:val="both"/>
        <w:rPr>
          <w:highlight w:val="white"/>
        </w:rPr>
      </w:pPr>
      <w:r w:rsidDel="00000000" w:rsidR="00000000" w:rsidRPr="00000000">
        <w:rPr>
          <w:highlight w:val="white"/>
          <w:rtl w:val="0"/>
        </w:rPr>
        <w:t xml:space="preserve">A condição de estabilidade pode ser inicialmente avaliada por meio do fator de segurança (FS), definido pela razão entre a resistência disponível ao cisalhamento e a tensão cisalhante mobilizada ao longo de uma superfície potencial de ruptura:</w:t>
      </w:r>
    </w:p>
    <w:p w:rsidR="00000000" w:rsidDel="00000000" w:rsidP="00000000" w:rsidRDefault="00000000" w:rsidRPr="00000000" w14:paraId="0000009B">
      <w:pPr>
        <w:spacing w:after="120" w:before="120" w:line="360" w:lineRule="auto"/>
        <w:ind w:left="0" w:firstLine="0"/>
        <w:jc w:val="center"/>
        <w:rPr>
          <w:highlight w:val="white"/>
        </w:rPr>
      </w:pPr>
      <w:r w:rsidDel="00000000" w:rsidR="00000000" w:rsidRPr="00000000">
        <w:rPr>
          <w:highlight w:val="white"/>
          <w:rtl w:val="0"/>
        </w:rPr>
        <w:t xml:space="preserve">FS = τf / τm    (1)</w:t>
      </w:r>
    </w:p>
    <w:p w:rsidR="00000000" w:rsidDel="00000000" w:rsidP="00000000" w:rsidRDefault="00000000" w:rsidRPr="00000000" w14:paraId="0000009C">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9D">
      <w:pPr>
        <w:numPr>
          <w:ilvl w:val="0"/>
          <w:numId w:val="4"/>
        </w:numPr>
        <w:spacing w:after="120" w:line="360" w:lineRule="auto"/>
        <w:ind w:left="0" w:firstLine="709"/>
        <w:jc w:val="both"/>
        <w:rPr>
          <w:highlight w:val="white"/>
        </w:rPr>
      </w:pPr>
      <w:r w:rsidDel="00000000" w:rsidR="00000000" w:rsidRPr="00000000">
        <w:rPr>
          <w:highlight w:val="white"/>
          <w:rtl w:val="0"/>
        </w:rPr>
        <w:t xml:space="preserve">FS é o fator de segurança;</w:t>
      </w:r>
    </w:p>
    <w:p w:rsidR="00000000" w:rsidDel="00000000" w:rsidP="00000000" w:rsidRDefault="00000000" w:rsidRPr="00000000" w14:paraId="0000009E">
      <w:pPr>
        <w:numPr>
          <w:ilvl w:val="0"/>
          <w:numId w:val="4"/>
        </w:numPr>
        <w:spacing w:after="120" w:line="360" w:lineRule="auto"/>
        <w:ind w:left="0" w:firstLine="709"/>
        <w:jc w:val="both"/>
        <w:rPr>
          <w:highlight w:val="white"/>
        </w:rPr>
      </w:pPr>
      <w:r w:rsidDel="00000000" w:rsidR="00000000" w:rsidRPr="00000000">
        <w:rPr>
          <w:highlight w:val="white"/>
          <w:rtl w:val="0"/>
        </w:rPr>
        <w:t xml:space="preserve">τf é a resistência ao cisalhamento do material;</w:t>
      </w:r>
    </w:p>
    <w:p w:rsidR="00000000" w:rsidDel="00000000" w:rsidP="00000000" w:rsidRDefault="00000000" w:rsidRPr="00000000" w14:paraId="0000009F">
      <w:pPr>
        <w:numPr>
          <w:ilvl w:val="0"/>
          <w:numId w:val="4"/>
        </w:numPr>
        <w:spacing w:after="120" w:line="360" w:lineRule="auto"/>
        <w:ind w:left="0" w:firstLine="709"/>
        <w:jc w:val="both"/>
        <w:rPr>
          <w:highlight w:val="white"/>
        </w:rPr>
      </w:pPr>
      <w:r w:rsidDel="00000000" w:rsidR="00000000" w:rsidRPr="00000000">
        <w:rPr>
          <w:highlight w:val="white"/>
          <w:rtl w:val="0"/>
        </w:rPr>
        <w:t xml:space="preserve">τm é a tensão cisalhante mobilizada ao longo da superfície potencial de ruptura.</w:t>
      </w:r>
    </w:p>
    <w:p w:rsidR="00000000" w:rsidDel="00000000" w:rsidP="00000000" w:rsidRDefault="00000000" w:rsidRPr="00000000" w14:paraId="000000A0">
      <w:pPr>
        <w:spacing w:after="120" w:line="360" w:lineRule="auto"/>
        <w:ind w:left="0" w:firstLine="709"/>
        <w:jc w:val="both"/>
        <w:rPr>
          <w:highlight w:val="white"/>
        </w:rPr>
      </w:pPr>
      <w:r w:rsidDel="00000000" w:rsidR="00000000" w:rsidRPr="00000000">
        <w:rPr>
          <w:highlight w:val="white"/>
          <w:rtl w:val="0"/>
        </w:rPr>
        <w:t xml:space="preserve">Quando FS &gt; 1, a resistência disponível é superior à tensão mobilizada e o talude é considerado estável. Quando FS = 1, o sistema encontra-se na condição limite de equilíbrio. Valores de FS &lt; 1 indicam que as tensões atuantes superaram a resistência do material, levando à ruptura. Embora essa relação seja simplificada, ela permite compreender como diferentes processos ambientais e geológicos podem modificar a estabilidade do talude.</w:t>
      </w:r>
    </w:p>
    <w:p w:rsidR="00000000" w:rsidDel="00000000" w:rsidP="00000000" w:rsidRDefault="00000000" w:rsidRPr="00000000" w14:paraId="000000A1">
      <w:pPr>
        <w:pStyle w:val="Heading4"/>
        <w:jc w:val="left"/>
        <w:rPr>
          <w:rFonts w:ascii="Times New Roman" w:cs="Times New Roman" w:eastAsia="Times New Roman" w:hAnsi="Times New Roman"/>
          <w:i w:val="0"/>
          <w:iCs w:val="0"/>
          <w:color w:val="000000"/>
          <w:highlight w:val="white"/>
        </w:rPr>
      </w:pPr>
      <w:bookmarkStart w:colFirst="0" w:colLast="0" w:name="_m5qkttbybalp" w:id="6"/>
      <w:bookmarkEnd w:id="6"/>
      <w:r w:rsidDel="00000000" w:rsidR="00000000" w:rsidRPr="00000000">
        <w:rPr>
          <w:rFonts w:ascii="Times New Roman" w:cs="Times New Roman" w:eastAsia="Times New Roman" w:hAnsi="Times New Roman"/>
          <w:i w:val="0"/>
          <w:iCs w:val="0"/>
          <w:color w:val="000000"/>
          <w:highlight w:val="white"/>
          <w:rtl w:val="0"/>
        </w:rPr>
        <w:t xml:space="preserve">Critério de ruptura de Mohr-Coulomb</w:t>
      </w:r>
    </w:p>
    <w:p w:rsidR="00000000" w:rsidDel="00000000" w:rsidP="00000000" w:rsidRDefault="00000000" w:rsidRPr="00000000" w14:paraId="000000A2">
      <w:pPr>
        <w:spacing w:after="120" w:line="360" w:lineRule="auto"/>
        <w:ind w:left="0" w:firstLine="709"/>
        <w:jc w:val="both"/>
        <w:rPr>
          <w:highlight w:val="white"/>
        </w:rPr>
      </w:pPr>
      <w:r w:rsidDel="00000000" w:rsidR="00000000" w:rsidRPr="00000000">
        <w:rPr>
          <w:highlight w:val="white"/>
          <w:rtl w:val="0"/>
        </w:rPr>
        <w:t xml:space="preserve">Um dos modelos mais empregados na análise da estabilidade de taludes é o critério de ruptura de Mohr-Coulomb. Segundo esse critério, a resistência ao cisalhamento do sedimento é determinada pela coesão do material e pelo atrito desenvolvido entre suas partículas:</w:t>
      </w:r>
    </w:p>
    <w:p w:rsidR="00000000" w:rsidDel="00000000" w:rsidP="00000000" w:rsidRDefault="00000000" w:rsidRPr="00000000" w14:paraId="000000A3">
      <w:pPr>
        <w:spacing w:after="120" w:before="120" w:line="360" w:lineRule="auto"/>
        <w:ind w:left="0" w:firstLine="0"/>
        <w:jc w:val="center"/>
        <w:rPr>
          <w:highlight w:val="white"/>
        </w:rPr>
      </w:pPr>
      <w:r w:rsidDel="00000000" w:rsidR="00000000" w:rsidRPr="00000000">
        <w:rPr>
          <w:highlight w:val="white"/>
          <w:rtl w:val="0"/>
        </w:rPr>
        <w:t xml:space="preserve">τf = c′ + σ′n tan φ′    (2)</w:t>
      </w:r>
    </w:p>
    <w:p w:rsidR="00000000" w:rsidDel="00000000" w:rsidP="00000000" w:rsidRDefault="00000000" w:rsidRPr="00000000" w14:paraId="000000A4">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A5">
      <w:pPr>
        <w:numPr>
          <w:ilvl w:val="0"/>
          <w:numId w:val="1"/>
        </w:numPr>
        <w:spacing w:after="120" w:line="360" w:lineRule="auto"/>
        <w:ind w:left="0" w:firstLine="709"/>
        <w:jc w:val="both"/>
        <w:rPr>
          <w:highlight w:val="white"/>
        </w:rPr>
      </w:pPr>
      <w:r w:rsidDel="00000000" w:rsidR="00000000" w:rsidRPr="00000000">
        <w:rPr>
          <w:highlight w:val="white"/>
          <w:rtl w:val="0"/>
        </w:rPr>
        <w:t xml:space="preserve">τf é a resistência ao cisalhamento;</w:t>
      </w:r>
    </w:p>
    <w:p w:rsidR="00000000" w:rsidDel="00000000" w:rsidP="00000000" w:rsidRDefault="00000000" w:rsidRPr="00000000" w14:paraId="000000A6">
      <w:pPr>
        <w:numPr>
          <w:ilvl w:val="0"/>
          <w:numId w:val="1"/>
        </w:numPr>
        <w:spacing w:after="120" w:line="360" w:lineRule="auto"/>
        <w:ind w:left="0" w:firstLine="709"/>
        <w:jc w:val="both"/>
        <w:rPr>
          <w:highlight w:val="white"/>
        </w:rPr>
      </w:pPr>
      <w:r w:rsidDel="00000000" w:rsidR="00000000" w:rsidRPr="00000000">
        <w:rPr>
          <w:highlight w:val="white"/>
          <w:rtl w:val="0"/>
        </w:rPr>
        <w:t xml:space="preserve">c′ é a coesão efetiva do material;</w:t>
      </w:r>
    </w:p>
    <w:p w:rsidR="00000000" w:rsidDel="00000000" w:rsidP="00000000" w:rsidRDefault="00000000" w:rsidRPr="00000000" w14:paraId="000000A7">
      <w:pPr>
        <w:numPr>
          <w:ilvl w:val="0"/>
          <w:numId w:val="1"/>
        </w:numPr>
        <w:spacing w:after="120" w:line="360" w:lineRule="auto"/>
        <w:ind w:left="0" w:firstLine="709"/>
        <w:jc w:val="both"/>
        <w:rPr>
          <w:highlight w:val="white"/>
        </w:rPr>
      </w:pPr>
      <w:r w:rsidDel="00000000" w:rsidR="00000000" w:rsidRPr="00000000">
        <w:rPr>
          <w:highlight w:val="white"/>
          <w:rtl w:val="0"/>
        </w:rPr>
        <w:t xml:space="preserve">σ′n é a tensão normal efetiva atuante sobre a superfície de ruptura;</w:t>
      </w:r>
    </w:p>
    <w:p w:rsidR="00000000" w:rsidDel="00000000" w:rsidP="00000000" w:rsidRDefault="00000000" w:rsidRPr="00000000" w14:paraId="000000A8">
      <w:pPr>
        <w:numPr>
          <w:ilvl w:val="0"/>
          <w:numId w:val="1"/>
        </w:numPr>
        <w:spacing w:after="120" w:line="360" w:lineRule="auto"/>
        <w:ind w:left="0" w:firstLine="709"/>
        <w:jc w:val="both"/>
        <w:rPr>
          <w:highlight w:val="white"/>
        </w:rPr>
      </w:pPr>
      <w:r w:rsidDel="00000000" w:rsidR="00000000" w:rsidRPr="00000000">
        <w:rPr>
          <w:highlight w:val="white"/>
          <w:rtl w:val="0"/>
        </w:rPr>
        <w:t xml:space="preserve">φ′ é o ângulo de atrito interno efetivo;</w:t>
      </w:r>
    </w:p>
    <w:p w:rsidR="00000000" w:rsidDel="00000000" w:rsidP="00000000" w:rsidRDefault="00000000" w:rsidRPr="00000000" w14:paraId="000000A9">
      <w:pPr>
        <w:numPr>
          <w:ilvl w:val="0"/>
          <w:numId w:val="1"/>
        </w:numPr>
        <w:spacing w:after="120" w:line="360" w:lineRule="auto"/>
        <w:ind w:left="0" w:firstLine="709"/>
        <w:jc w:val="both"/>
        <w:rPr>
          <w:highlight w:val="white"/>
        </w:rPr>
      </w:pPr>
      <w:r w:rsidDel="00000000" w:rsidR="00000000" w:rsidRPr="00000000">
        <w:rPr>
          <w:highlight w:val="white"/>
          <w:rtl w:val="0"/>
        </w:rPr>
        <w:t xml:space="preserve">tan φ′ representa o coeficiente de atrito interno.</w:t>
      </w:r>
    </w:p>
    <w:p w:rsidR="00000000" w:rsidDel="00000000" w:rsidP="00000000" w:rsidRDefault="00000000" w:rsidRPr="00000000" w14:paraId="000000AA">
      <w:pPr>
        <w:spacing w:after="120" w:line="360" w:lineRule="auto"/>
        <w:ind w:left="0" w:firstLine="709"/>
        <w:jc w:val="both"/>
        <w:rPr>
          <w:highlight w:val="white"/>
        </w:rPr>
      </w:pPr>
      <w:r w:rsidDel="00000000" w:rsidR="00000000" w:rsidRPr="00000000">
        <w:rPr>
          <w:highlight w:val="white"/>
          <w:rtl w:val="0"/>
        </w:rPr>
        <w:t xml:space="preserve">A coesão está relacionada às forças que mantêm as partículas unidas, como cimentação e interações físico-químicas. O ângulo de atrito interno representa a resistência produzida pelo atrito e pelo imbricamento entre os grãos. Em sedimentos marinhos inconsolidados, a resistência é frequentemente controlada pela tensão efetiva e pelo atrito interno, embora camadas cimentadas ou sedimentos coesivos também possam apresentar uma parcela significativa de coesão.</w:t>
      </w:r>
    </w:p>
    <w:p w:rsidR="00000000" w:rsidDel="00000000" w:rsidP="00000000" w:rsidRDefault="00000000" w:rsidRPr="00000000" w14:paraId="000000AB">
      <w:pPr>
        <w:pStyle w:val="Heading4"/>
        <w:jc w:val="left"/>
        <w:rPr>
          <w:rFonts w:ascii="Times New Roman" w:cs="Times New Roman" w:eastAsia="Times New Roman" w:hAnsi="Times New Roman"/>
          <w:i w:val="0"/>
          <w:iCs w:val="0"/>
          <w:color w:val="000000"/>
          <w:highlight w:val="white"/>
        </w:rPr>
      </w:pPr>
      <w:bookmarkStart w:colFirst="0" w:colLast="0" w:name="_o97v7vltv7hk" w:id="7"/>
      <w:bookmarkEnd w:id="7"/>
      <w:r w:rsidDel="00000000" w:rsidR="00000000" w:rsidRPr="00000000">
        <w:rPr>
          <w:rFonts w:ascii="Times New Roman" w:cs="Times New Roman" w:eastAsia="Times New Roman" w:hAnsi="Times New Roman"/>
          <w:i w:val="0"/>
          <w:iCs w:val="0"/>
          <w:color w:val="000000"/>
          <w:highlight w:val="white"/>
          <w:rtl w:val="0"/>
        </w:rPr>
        <w:t xml:space="preserve">Tensão efetiva e poropressão</w:t>
      </w:r>
    </w:p>
    <w:p w:rsidR="00000000" w:rsidDel="00000000" w:rsidP="00000000" w:rsidRDefault="00000000" w:rsidRPr="00000000" w14:paraId="000000AC">
      <w:pPr>
        <w:spacing w:after="120" w:line="360" w:lineRule="auto"/>
        <w:ind w:left="0" w:firstLine="709"/>
        <w:jc w:val="both"/>
        <w:rPr>
          <w:highlight w:val="white"/>
        </w:rPr>
      </w:pPr>
      <w:r w:rsidDel="00000000" w:rsidR="00000000" w:rsidRPr="00000000">
        <w:rPr>
          <w:highlight w:val="white"/>
          <w:rtl w:val="0"/>
        </w:rPr>
        <w:t xml:space="preserve">Como os sedimentos marinhos estão saturados, parte da tensão total aplicada ao pacote sedimentar é sustentada pelo fluido presente nos poros. De acordo com o princípio da tensão efetiva de Terzaghi, a tensão normal efetiva pode ser expressa por:</w:t>
      </w:r>
    </w:p>
    <w:p w:rsidR="00000000" w:rsidDel="00000000" w:rsidP="00000000" w:rsidRDefault="00000000" w:rsidRPr="00000000" w14:paraId="000000AD">
      <w:pPr>
        <w:spacing w:after="120" w:before="120" w:line="360" w:lineRule="auto"/>
        <w:ind w:left="0" w:firstLine="0"/>
        <w:jc w:val="center"/>
        <w:rPr>
          <w:highlight w:val="white"/>
        </w:rPr>
      </w:pPr>
      <w:r w:rsidDel="00000000" w:rsidR="00000000" w:rsidRPr="00000000">
        <w:rPr>
          <w:rFonts w:ascii="Cardo" w:cs="Cardo" w:eastAsia="Cardo" w:hAnsi="Cardo"/>
          <w:highlight w:val="white"/>
          <w:rtl w:val="0"/>
        </w:rPr>
        <w:t xml:space="preserve">σ′n = σn − u    (3)</w:t>
      </w:r>
    </w:p>
    <w:p w:rsidR="00000000" w:rsidDel="00000000" w:rsidP="00000000" w:rsidRDefault="00000000" w:rsidRPr="00000000" w14:paraId="000000AE">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AF">
      <w:pPr>
        <w:numPr>
          <w:ilvl w:val="0"/>
          <w:numId w:val="2"/>
        </w:numPr>
        <w:spacing w:after="120" w:line="360" w:lineRule="auto"/>
        <w:ind w:left="0" w:firstLine="709"/>
        <w:jc w:val="both"/>
        <w:rPr>
          <w:highlight w:val="white"/>
        </w:rPr>
      </w:pPr>
      <w:r w:rsidDel="00000000" w:rsidR="00000000" w:rsidRPr="00000000">
        <w:rPr>
          <w:highlight w:val="white"/>
          <w:rtl w:val="0"/>
        </w:rPr>
        <w:t xml:space="preserve">σ′n é a tensão normal efetiva;</w:t>
      </w:r>
    </w:p>
    <w:p w:rsidR="00000000" w:rsidDel="00000000" w:rsidP="00000000" w:rsidRDefault="00000000" w:rsidRPr="00000000" w14:paraId="000000B0">
      <w:pPr>
        <w:numPr>
          <w:ilvl w:val="0"/>
          <w:numId w:val="2"/>
        </w:numPr>
        <w:spacing w:after="120" w:line="360" w:lineRule="auto"/>
        <w:ind w:left="0" w:firstLine="709"/>
        <w:jc w:val="both"/>
        <w:rPr>
          <w:highlight w:val="white"/>
        </w:rPr>
      </w:pPr>
      <w:r w:rsidDel="00000000" w:rsidR="00000000" w:rsidRPr="00000000">
        <w:rPr>
          <w:highlight w:val="white"/>
          <w:rtl w:val="0"/>
        </w:rPr>
        <w:t xml:space="preserve">σn é a tensão normal total;</w:t>
      </w:r>
    </w:p>
    <w:p w:rsidR="00000000" w:rsidDel="00000000" w:rsidP="00000000" w:rsidRDefault="00000000" w:rsidRPr="00000000" w14:paraId="000000B1">
      <w:pPr>
        <w:numPr>
          <w:ilvl w:val="0"/>
          <w:numId w:val="2"/>
        </w:numPr>
        <w:spacing w:after="120" w:line="360" w:lineRule="auto"/>
        <w:ind w:left="0" w:firstLine="709"/>
        <w:jc w:val="both"/>
        <w:rPr>
          <w:highlight w:val="white"/>
        </w:rPr>
      </w:pPr>
      <w:r w:rsidDel="00000000" w:rsidR="00000000" w:rsidRPr="00000000">
        <w:rPr>
          <w:highlight w:val="white"/>
          <w:rtl w:val="0"/>
        </w:rPr>
        <w:t xml:space="preserve">u é a pressão do fluido nos poros, ou poropressão.</w:t>
      </w:r>
    </w:p>
    <w:p w:rsidR="00000000" w:rsidDel="00000000" w:rsidP="00000000" w:rsidRDefault="00000000" w:rsidRPr="00000000" w14:paraId="000000B2">
      <w:pPr>
        <w:spacing w:after="120" w:line="360" w:lineRule="auto"/>
        <w:ind w:left="0" w:firstLine="709"/>
        <w:jc w:val="both"/>
        <w:rPr>
          <w:highlight w:val="white"/>
        </w:rPr>
      </w:pPr>
      <w:r w:rsidDel="00000000" w:rsidR="00000000" w:rsidRPr="00000000">
        <w:rPr>
          <w:highlight w:val="white"/>
          <w:rtl w:val="0"/>
        </w:rPr>
        <w:t xml:space="preserve">Substituindo a Equação 3 no critério de Mohr-Coulomb, obtém-se:</w:t>
      </w:r>
    </w:p>
    <w:p w:rsidR="00000000" w:rsidDel="00000000" w:rsidP="00000000" w:rsidRDefault="00000000" w:rsidRPr="00000000" w14:paraId="000000B3">
      <w:pPr>
        <w:spacing w:after="120" w:before="120" w:line="360" w:lineRule="auto"/>
        <w:ind w:left="0" w:firstLine="0"/>
        <w:jc w:val="center"/>
        <w:rPr>
          <w:highlight w:val="white"/>
        </w:rPr>
      </w:pPr>
      <w:r w:rsidDel="00000000" w:rsidR="00000000" w:rsidRPr="00000000">
        <w:rPr>
          <w:rFonts w:ascii="Cardo" w:cs="Cardo" w:eastAsia="Cardo" w:hAnsi="Cardo"/>
          <w:highlight w:val="white"/>
          <w:rtl w:val="0"/>
        </w:rPr>
        <w:t xml:space="preserve">τf = c′ + (σn − u) tan φ′    (4)</w:t>
      </w:r>
    </w:p>
    <w:p w:rsidR="00000000" w:rsidDel="00000000" w:rsidP="00000000" w:rsidRDefault="00000000" w:rsidRPr="00000000" w14:paraId="000000B4">
      <w:pPr>
        <w:spacing w:after="120" w:line="360" w:lineRule="auto"/>
        <w:ind w:left="0" w:firstLine="709"/>
        <w:jc w:val="both"/>
        <w:rPr>
          <w:highlight w:val="white"/>
        </w:rPr>
      </w:pPr>
      <w:r w:rsidDel="00000000" w:rsidR="00000000" w:rsidRPr="00000000">
        <w:rPr>
          <w:highlight w:val="white"/>
          <w:rtl w:val="0"/>
        </w:rPr>
        <w:t xml:space="preserve">Com isso, o fator de segurança pode ser representado de forma simplificada por:</w:t>
      </w:r>
    </w:p>
    <w:p w:rsidR="00000000" w:rsidDel="00000000" w:rsidP="00000000" w:rsidRDefault="00000000" w:rsidRPr="00000000" w14:paraId="000000B5">
      <w:pPr>
        <w:spacing w:after="120" w:before="120" w:line="360" w:lineRule="auto"/>
        <w:ind w:left="0" w:firstLine="0"/>
        <w:jc w:val="center"/>
        <w:rPr>
          <w:highlight w:val="white"/>
        </w:rPr>
      </w:pPr>
      <w:r w:rsidDel="00000000" w:rsidR="00000000" w:rsidRPr="00000000">
        <w:rPr>
          <w:rFonts w:ascii="Cardo" w:cs="Cardo" w:eastAsia="Cardo" w:hAnsi="Cardo"/>
          <w:highlight w:val="white"/>
          <w:rtl w:val="0"/>
        </w:rPr>
        <w:t xml:space="preserve">FS = [c′ + (σn − u) tan φ′] / τm    (5)</w:t>
      </w:r>
    </w:p>
    <w:p w:rsidR="00000000" w:rsidDel="00000000" w:rsidP="00000000" w:rsidRDefault="00000000" w:rsidRPr="00000000" w14:paraId="000000B6">
      <w:pPr>
        <w:spacing w:after="120" w:line="360" w:lineRule="auto"/>
        <w:ind w:left="0" w:firstLine="709"/>
        <w:jc w:val="both"/>
        <w:rPr>
          <w:highlight w:val="white"/>
        </w:rPr>
      </w:pPr>
      <w:r w:rsidDel="00000000" w:rsidR="00000000" w:rsidRPr="00000000">
        <w:rPr>
          <w:highlight w:val="white"/>
          <w:rtl w:val="0"/>
        </w:rPr>
        <w:t xml:space="preserve">As equações mostram que o aumento da poropressão reduz a tensão efetiva e, consequentemente, a resistência ao cisalhamento. Quando a poropressão se aproxima da tensão normal total, a tensão efetiva tende a valores muito baixos e o sedimento perde grande parte de sua resistência. Nessas condições, mesmo um pequeno aumento da tensão cisalhante pode provocar a ruptura. Por essa razão, o excesso de poropressão é considerado um dos principais elementos envolvidos na instabilidade dos taludes submarinos (Hampton et al., 1996; Talling et al., 2014).</w:t>
      </w:r>
    </w:p>
    <w:p w:rsidR="00000000" w:rsidDel="00000000" w:rsidP="00000000" w:rsidRDefault="00000000" w:rsidRPr="00000000" w14:paraId="000000B7">
      <w:pPr>
        <w:pStyle w:val="Heading4"/>
        <w:jc w:val="left"/>
        <w:rPr>
          <w:rFonts w:ascii="Times New Roman" w:cs="Times New Roman" w:eastAsia="Times New Roman" w:hAnsi="Times New Roman"/>
          <w:i w:val="0"/>
          <w:iCs w:val="0"/>
          <w:color w:val="000000"/>
          <w:highlight w:val="white"/>
        </w:rPr>
      </w:pPr>
      <w:bookmarkStart w:colFirst="0" w:colLast="0" w:name="_ighlknxj0qpm" w:id="8"/>
      <w:bookmarkEnd w:id="8"/>
      <w:r w:rsidDel="00000000" w:rsidR="00000000" w:rsidRPr="00000000">
        <w:rPr>
          <w:rFonts w:ascii="Times New Roman" w:cs="Times New Roman" w:eastAsia="Times New Roman" w:hAnsi="Times New Roman"/>
          <w:i w:val="0"/>
          <w:iCs w:val="0"/>
          <w:color w:val="000000"/>
          <w:highlight w:val="white"/>
          <w:rtl w:val="0"/>
        </w:rPr>
        <w:t xml:space="preserve">2.3.1.1 Fatores condicionantes e mecanismos de gatilho </w:t>
      </w:r>
    </w:p>
    <w:p w:rsidR="00000000" w:rsidDel="00000000" w:rsidP="00000000" w:rsidRDefault="00000000" w:rsidRPr="00000000" w14:paraId="000000B8">
      <w:pPr>
        <w:spacing w:after="120" w:line="360" w:lineRule="auto"/>
        <w:ind w:left="0" w:firstLine="709"/>
        <w:jc w:val="both"/>
        <w:rPr>
          <w:highlight w:val="white"/>
        </w:rPr>
      </w:pPr>
      <w:r w:rsidDel="00000000" w:rsidR="00000000" w:rsidRPr="00000000">
        <w:rPr>
          <w:highlight w:val="white"/>
          <w:rtl w:val="0"/>
        </w:rPr>
        <w:t xml:space="preserve">Os processos que influenciam a estabilidade de um talude podem ser separados em fatores condicionantes e mecanismos de gatilho. Os fatores condicionantes atuam durante períodos relativamente longos, deixando o pacote sedimentar progressivamente mais suscetível à ruptura. Entre eles estão a presença de camadas fracas, a baixa permeabilidade, a elevada porosidade, a rápida acumulação sedimentar e a deformação tectônica.</w:t>
      </w:r>
    </w:p>
    <w:p w:rsidR="00000000" w:rsidDel="00000000" w:rsidP="00000000" w:rsidRDefault="00000000" w:rsidRPr="00000000" w14:paraId="000000B9">
      <w:pPr>
        <w:spacing w:after="120" w:line="360" w:lineRule="auto"/>
        <w:ind w:left="0" w:firstLine="709"/>
        <w:jc w:val="both"/>
        <w:rPr>
          <w:highlight w:val="white"/>
        </w:rPr>
      </w:pPr>
      <w:r w:rsidDel="00000000" w:rsidR="00000000" w:rsidRPr="00000000">
        <w:rPr>
          <w:highlight w:val="white"/>
          <w:rtl w:val="0"/>
        </w:rPr>
        <w:t xml:space="preserve">Os gatilhos correspondem a perturbações de curta duração que levam um talude já suscetível a ultrapassar o limite de estabilidade. Um mesmo processo, entretanto, pode atuar como condicionante ou como gatilho, dependendo de sua intensidade e duração. A ruptura também pode resultar da combinação de diferentes processos, sem que seja possível atribuí-la a um único mecanismo (Lee et al., 2007; Scarselli, 2020).</w:t>
      </w:r>
    </w:p>
    <w:p w:rsidR="00000000" w:rsidDel="00000000" w:rsidP="00000000" w:rsidRDefault="00000000" w:rsidRPr="00000000" w14:paraId="000000BA">
      <w:pPr>
        <w:pStyle w:val="Heading4"/>
        <w:jc w:val="left"/>
        <w:rPr>
          <w:rFonts w:ascii="Times New Roman" w:cs="Times New Roman" w:eastAsia="Times New Roman" w:hAnsi="Times New Roman"/>
          <w:i w:val="0"/>
          <w:iCs w:val="0"/>
          <w:color w:val="000000"/>
          <w:highlight w:val="white"/>
        </w:rPr>
      </w:pPr>
      <w:bookmarkStart w:colFirst="0" w:colLast="0" w:name="_poexuqct3yzg" w:id="9"/>
      <w:bookmarkEnd w:id="9"/>
      <w:r w:rsidDel="00000000" w:rsidR="00000000" w:rsidRPr="00000000">
        <w:rPr>
          <w:rFonts w:ascii="Times New Roman" w:cs="Times New Roman" w:eastAsia="Times New Roman" w:hAnsi="Times New Roman"/>
          <w:i w:val="0"/>
          <w:iCs w:val="0"/>
          <w:color w:val="000000"/>
          <w:highlight w:val="white"/>
          <w:rtl w:val="0"/>
        </w:rPr>
        <w:t xml:space="preserve">Sedimentação rápida</w:t>
      </w:r>
    </w:p>
    <w:p w:rsidR="00000000" w:rsidDel="00000000" w:rsidP="00000000" w:rsidRDefault="00000000" w:rsidRPr="00000000" w14:paraId="000000BB">
      <w:pPr>
        <w:spacing w:after="120" w:line="360" w:lineRule="auto"/>
        <w:ind w:left="0" w:firstLine="709"/>
        <w:jc w:val="both"/>
        <w:rPr>
          <w:highlight w:val="white"/>
        </w:rPr>
      </w:pPr>
      <w:r w:rsidDel="00000000" w:rsidR="00000000" w:rsidRPr="00000000">
        <w:rPr>
          <w:highlight w:val="white"/>
          <w:rtl w:val="0"/>
        </w:rPr>
        <w:t xml:space="preserve">Quando a acumulação sedimentar ocorre mais rapidamente do que a drenagem dos fluidos, a água presente nos poros não consegue ser expulsa na mesma velocidade em que a carga aumenta. Parte da nova carga passa a ser sustentada pelo fluido, gerando excesso de poropressão e mantendo reduzida a tensão efetiva. Ao mesmo tempo, o aumento da espessura do pacote eleva as tensões gravitacionais atuantes no talude. A combinação entre aumento da carga e baixa resistência pode levar o sedimento à ruptura (Lee et al., 2007; Talling et al., 2014).</w:t>
      </w:r>
    </w:p>
    <w:p w:rsidR="00000000" w:rsidDel="00000000" w:rsidP="00000000" w:rsidRDefault="00000000" w:rsidRPr="00000000" w14:paraId="000000BC">
      <w:pPr>
        <w:spacing w:after="120" w:line="360" w:lineRule="auto"/>
        <w:ind w:left="0" w:firstLine="709"/>
        <w:jc w:val="both"/>
        <w:rPr>
          <w:highlight w:val="white"/>
        </w:rPr>
      </w:pPr>
      <w:r w:rsidDel="00000000" w:rsidR="00000000" w:rsidRPr="00000000">
        <w:rPr>
          <w:highlight w:val="white"/>
          <w:rtl w:val="0"/>
        </w:rPr>
        <w:t xml:space="preserve">A eficiência desse mecanismo depende da taxa de deposição, da permeabilidade, da compressibilidade e da capacidade de drenagem dos sedimentos. Por isso, a sedimentação rápida é particularmente importante em deltas, leques submarinos e margens que recebem grande aporte sedimentar. Em áreas caracterizadas por baixas taxas de sedimentação, entretanto, esse processo dificilmente explica a ruptura de forma isolada, sendo necessária a presença de camadas fracas ou de outros mecanismos de instabilidade (Urlaub et al., 2015).</w:t>
      </w:r>
    </w:p>
    <w:p w:rsidR="00000000" w:rsidDel="00000000" w:rsidP="00000000" w:rsidRDefault="00000000" w:rsidRPr="00000000" w14:paraId="000000BD">
      <w:pPr>
        <w:pStyle w:val="Heading4"/>
        <w:jc w:val="left"/>
        <w:rPr>
          <w:rFonts w:ascii="Times New Roman" w:cs="Times New Roman" w:eastAsia="Times New Roman" w:hAnsi="Times New Roman"/>
          <w:i w:val="0"/>
          <w:iCs w:val="0"/>
          <w:color w:val="000000"/>
          <w:highlight w:val="white"/>
        </w:rPr>
      </w:pPr>
      <w:bookmarkStart w:colFirst="0" w:colLast="0" w:name="_9n80vwatxpxv" w:id="10"/>
      <w:bookmarkEnd w:id="10"/>
      <w:r w:rsidDel="00000000" w:rsidR="00000000" w:rsidRPr="00000000">
        <w:rPr>
          <w:rFonts w:ascii="Times New Roman" w:cs="Times New Roman" w:eastAsia="Times New Roman" w:hAnsi="Times New Roman"/>
          <w:i w:val="0"/>
          <w:iCs w:val="0"/>
          <w:color w:val="000000"/>
          <w:highlight w:val="white"/>
          <w:rtl w:val="0"/>
        </w:rPr>
        <w:t xml:space="preserve">Abalos sísmicos</w:t>
      </w:r>
    </w:p>
    <w:p w:rsidR="00000000" w:rsidDel="00000000" w:rsidP="00000000" w:rsidRDefault="00000000" w:rsidRPr="00000000" w14:paraId="000000BE">
      <w:pPr>
        <w:spacing w:after="120" w:line="360" w:lineRule="auto"/>
        <w:ind w:left="0" w:firstLine="709"/>
        <w:jc w:val="both"/>
        <w:rPr>
          <w:highlight w:val="white"/>
        </w:rPr>
      </w:pPr>
      <w:r w:rsidDel="00000000" w:rsidR="00000000" w:rsidRPr="00000000">
        <w:rPr>
          <w:highlight w:val="white"/>
          <w:rtl w:val="0"/>
        </w:rPr>
        <w:t xml:space="preserve">Os terremotos produzem acelerações horizontais e verticais que aumentam temporariamente as tensões de cisalhamento no pacote sedimentar. Como o carregamento é cíclico e ocorre em um intervalo curto, a poropressão gerada durante o abalo pode não se dissipar, reduzindo a tensão efetiva e a resistência do material.</w:t>
      </w:r>
    </w:p>
    <w:p w:rsidR="00000000" w:rsidDel="00000000" w:rsidP="00000000" w:rsidRDefault="00000000" w:rsidRPr="00000000" w14:paraId="000000BF">
      <w:pPr>
        <w:spacing w:after="120" w:line="360" w:lineRule="auto"/>
        <w:ind w:left="0" w:firstLine="709"/>
        <w:jc w:val="both"/>
        <w:rPr>
          <w:highlight w:val="white"/>
        </w:rPr>
      </w:pPr>
      <w:r w:rsidDel="00000000" w:rsidR="00000000" w:rsidRPr="00000000">
        <w:rPr>
          <w:highlight w:val="white"/>
          <w:rtl w:val="0"/>
        </w:rPr>
        <w:t xml:space="preserve">Em sedimentos arenosos ou siltosos pouco consolidados, o carregamento cíclico pode causar liquefação, condição na qual os grãos perdem parte do contato entre si e a carga passa a ser sustentada principalmente pela água intersticial. Em materiais coesivos, a perturbação pode provocar remoldamento e perda de resistência. A capacidade de um terremoto desencadear a ruptura depende de fatores como magnitude, duração, distância da fonte sísmica e propriedades geotécnicas dos sedimentos (Hampton et al., 1996; Sultan et al., 2004).</w:t>
      </w:r>
    </w:p>
    <w:p w:rsidR="00000000" w:rsidDel="00000000" w:rsidP="00000000" w:rsidRDefault="00000000" w:rsidRPr="00000000" w14:paraId="000000C0">
      <w:pPr>
        <w:pStyle w:val="Heading4"/>
        <w:jc w:val="left"/>
        <w:rPr>
          <w:rFonts w:ascii="Times New Roman" w:cs="Times New Roman" w:eastAsia="Times New Roman" w:hAnsi="Times New Roman"/>
          <w:i w:val="0"/>
          <w:iCs w:val="0"/>
          <w:color w:val="000000"/>
          <w:highlight w:val="white"/>
        </w:rPr>
      </w:pPr>
      <w:bookmarkStart w:colFirst="0" w:colLast="0" w:name="_31vrup95l38p" w:id="11"/>
      <w:bookmarkEnd w:id="11"/>
      <w:r w:rsidDel="00000000" w:rsidR="00000000" w:rsidRPr="00000000">
        <w:rPr>
          <w:rFonts w:ascii="Times New Roman" w:cs="Times New Roman" w:eastAsia="Times New Roman" w:hAnsi="Times New Roman"/>
          <w:i w:val="0"/>
          <w:iCs w:val="0"/>
          <w:color w:val="000000"/>
          <w:highlight w:val="white"/>
          <w:rtl w:val="0"/>
        </w:rPr>
        <w:t xml:space="preserve">Erosão e aumento da inclinação</w:t>
      </w:r>
    </w:p>
    <w:p w:rsidR="00000000" w:rsidDel="00000000" w:rsidP="00000000" w:rsidRDefault="00000000" w:rsidRPr="00000000" w14:paraId="000000C1">
      <w:pPr>
        <w:spacing w:after="120" w:line="360" w:lineRule="auto"/>
        <w:ind w:left="0" w:firstLine="709"/>
        <w:jc w:val="both"/>
        <w:rPr>
          <w:highlight w:val="white"/>
        </w:rPr>
      </w:pPr>
      <w:r w:rsidDel="00000000" w:rsidR="00000000" w:rsidRPr="00000000">
        <w:rPr>
          <w:highlight w:val="white"/>
          <w:rtl w:val="0"/>
        </w:rPr>
        <w:t xml:space="preserve">A erosão causada por correntes de fundo, correntes de turbidez ou fluxos de detritos é comum nas margens de canais e cânions submarinos. A remoção de sedimentos na base de uma encosta reduz o suporte do pacote localizado acima e aumenta localmente a inclinação do talude. Como consequência, ocorre aumento da tensão cisalhante associada à gravidade.</w:t>
      </w:r>
    </w:p>
    <w:p w:rsidR="00000000" w:rsidDel="00000000" w:rsidP="00000000" w:rsidRDefault="00000000" w:rsidRPr="00000000" w14:paraId="000000C2">
      <w:pPr>
        <w:spacing w:after="120" w:line="360" w:lineRule="auto"/>
        <w:ind w:left="0" w:firstLine="709"/>
        <w:jc w:val="both"/>
        <w:rPr>
          <w:highlight w:val="white"/>
        </w:rPr>
      </w:pPr>
      <w:r w:rsidDel="00000000" w:rsidR="00000000" w:rsidRPr="00000000">
        <w:rPr>
          <w:highlight w:val="white"/>
          <w:rtl w:val="0"/>
        </w:rPr>
        <w:t xml:space="preserve">A incisão de canais e cânions também pode gerar paredes íngremes e favorecer rupturas retrogressivas. Nesses casos, a erosão pode atuar lentamente como fator condicionante ou funcionar como gatilho quando a remoção do suporte basal ocorre de maneira rápida (Lee et al., 2007; Scarselli, 2020).</w:t>
      </w:r>
    </w:p>
    <w:p w:rsidR="00000000" w:rsidDel="00000000" w:rsidP="00000000" w:rsidRDefault="00000000" w:rsidRPr="00000000" w14:paraId="000000C3">
      <w:pPr>
        <w:pStyle w:val="Heading4"/>
        <w:jc w:val="left"/>
        <w:rPr>
          <w:rFonts w:ascii="Times New Roman" w:cs="Times New Roman" w:eastAsia="Times New Roman" w:hAnsi="Times New Roman"/>
          <w:i w:val="0"/>
          <w:iCs w:val="0"/>
          <w:color w:val="000000"/>
          <w:highlight w:val="white"/>
        </w:rPr>
      </w:pPr>
      <w:bookmarkStart w:colFirst="0" w:colLast="0" w:name="_fqj3k2wvxmec" w:id="12"/>
      <w:bookmarkEnd w:id="12"/>
      <w:r w:rsidDel="00000000" w:rsidR="00000000" w:rsidRPr="00000000">
        <w:rPr>
          <w:rFonts w:ascii="Times New Roman" w:cs="Times New Roman" w:eastAsia="Times New Roman" w:hAnsi="Times New Roman"/>
          <w:i w:val="0"/>
          <w:iCs w:val="0"/>
          <w:color w:val="000000"/>
          <w:highlight w:val="white"/>
          <w:rtl w:val="0"/>
        </w:rPr>
        <w:t xml:space="preserve">Diapirismo e deformação tectônica</w:t>
      </w:r>
    </w:p>
    <w:p w:rsidR="00000000" w:rsidDel="00000000" w:rsidP="00000000" w:rsidRDefault="00000000" w:rsidRPr="00000000" w14:paraId="000000C4">
      <w:pPr>
        <w:spacing w:after="120" w:line="360" w:lineRule="auto"/>
        <w:ind w:left="0" w:firstLine="709"/>
        <w:jc w:val="both"/>
        <w:rPr>
          <w:highlight w:val="white"/>
        </w:rPr>
      </w:pPr>
      <w:r w:rsidDel="00000000" w:rsidR="00000000" w:rsidRPr="00000000">
        <w:rPr>
          <w:highlight w:val="white"/>
          <w:rtl w:val="0"/>
        </w:rPr>
        <w:t xml:space="preserve">A movimentação de camadas evaporíticas, denominada halocinese, produz estruturas como diápiros, domos e muralhas de sal. O crescimento dessas estruturas deforma os estratos sobrejacentes, modifica a geometria do fundo marinho e pode aumentar localmente a inclinação do talude. Essa deformação também favorece o desenvolvimento de falhas e fraturas, que podem funcionar como superfícies de fraqueza ou como caminhos para a migração de fluidos.</w:t>
      </w:r>
    </w:p>
    <w:p w:rsidR="00000000" w:rsidDel="00000000" w:rsidP="00000000" w:rsidRDefault="00000000" w:rsidRPr="00000000" w14:paraId="000000C5">
      <w:pPr>
        <w:spacing w:after="120" w:line="360" w:lineRule="auto"/>
        <w:ind w:left="0" w:firstLine="709"/>
        <w:jc w:val="both"/>
        <w:rPr>
          <w:highlight w:val="white"/>
        </w:rPr>
      </w:pPr>
      <w:r w:rsidDel="00000000" w:rsidR="00000000" w:rsidRPr="00000000">
        <w:rPr>
          <w:highlight w:val="white"/>
          <w:rtl w:val="0"/>
        </w:rPr>
        <w:t xml:space="preserve">A tectônica salífera pode, portanto, atuar de diferentes formas: aumentando as tensões gravitacionais, criando superfícies inclinadas, fraturando o pacote sedimentar e favorecendo o desenvolvimento de sobrepressão. Em geral, o diapirismo representa um fator condicionante de longa duração, mas fases de movimentação mais intensa podem contribuir diretamente para a ruptura (Kowsmann et al., 2002).</w:t>
      </w:r>
    </w:p>
    <w:p w:rsidR="00000000" w:rsidDel="00000000" w:rsidP="00000000" w:rsidRDefault="00000000" w:rsidRPr="00000000" w14:paraId="000000C6">
      <w:pPr>
        <w:pStyle w:val="Heading4"/>
        <w:jc w:val="left"/>
        <w:rPr>
          <w:rFonts w:ascii="Times New Roman" w:cs="Times New Roman" w:eastAsia="Times New Roman" w:hAnsi="Times New Roman"/>
          <w:i w:val="0"/>
          <w:iCs w:val="0"/>
          <w:color w:val="000000"/>
          <w:highlight w:val="white"/>
        </w:rPr>
      </w:pPr>
      <w:bookmarkStart w:colFirst="0" w:colLast="0" w:name="_6t4xwbhkdwji" w:id="13"/>
      <w:bookmarkEnd w:id="13"/>
      <w:r w:rsidDel="00000000" w:rsidR="00000000" w:rsidRPr="00000000">
        <w:rPr>
          <w:rFonts w:ascii="Times New Roman" w:cs="Times New Roman" w:eastAsia="Times New Roman" w:hAnsi="Times New Roman"/>
          <w:i w:val="0"/>
          <w:iCs w:val="0"/>
          <w:color w:val="000000"/>
          <w:highlight w:val="white"/>
          <w:rtl w:val="0"/>
        </w:rPr>
        <w:t xml:space="preserve">Migração de fluidos e gases</w:t>
      </w:r>
    </w:p>
    <w:p w:rsidR="00000000" w:rsidDel="00000000" w:rsidP="00000000" w:rsidRDefault="00000000" w:rsidRPr="00000000" w14:paraId="000000C7">
      <w:pPr>
        <w:spacing w:after="120" w:line="360" w:lineRule="auto"/>
        <w:ind w:left="0" w:firstLine="709"/>
        <w:jc w:val="both"/>
        <w:rPr>
          <w:highlight w:val="white"/>
        </w:rPr>
      </w:pPr>
      <w:r w:rsidDel="00000000" w:rsidR="00000000" w:rsidRPr="00000000">
        <w:rPr>
          <w:highlight w:val="white"/>
          <w:rtl w:val="0"/>
        </w:rPr>
        <w:t xml:space="preserve">Fluidos sobrepressurizados podem migrar verticalmente através de falhas e fraturas ou lateralmente por camadas permeáveis. Quando ficam retidos sob unidades de baixa permeabilidade, provocam aumento da poropressão e redução da resistência ao cisalhamento. Chaminés de gás, vulcões de lama e pockmarks podem indicar a presença de sistemas de migração de fluidos.</w:t>
      </w:r>
    </w:p>
    <w:p w:rsidR="00000000" w:rsidDel="00000000" w:rsidP="00000000" w:rsidRDefault="00000000" w:rsidRPr="00000000" w14:paraId="000000C8">
      <w:pPr>
        <w:spacing w:after="120" w:line="360" w:lineRule="auto"/>
        <w:ind w:left="0" w:firstLine="709"/>
        <w:jc w:val="both"/>
        <w:rPr>
          <w:highlight w:val="white"/>
        </w:rPr>
      </w:pPr>
      <w:r w:rsidDel="00000000" w:rsidR="00000000" w:rsidRPr="00000000">
        <w:rPr>
          <w:highlight w:val="white"/>
          <w:rtl w:val="0"/>
        </w:rPr>
        <w:t xml:space="preserve">Entretanto, essas feições não comprovam isoladamente que os fluidos tenham causado o movimento de massa. Em algumas situações, os condutos podem facilitar a drenagem e promover a dissipação da sobrepressão. Assim, a relação entre migração de fluidos e instabilidade deve ser analisada considerando a geometria, a atividade e a evolução do sistema.</w:t>
      </w:r>
    </w:p>
    <w:p w:rsidR="00000000" w:rsidDel="00000000" w:rsidP="00000000" w:rsidRDefault="00000000" w:rsidRPr="00000000" w14:paraId="000000C9">
      <w:pPr>
        <w:pStyle w:val="Heading4"/>
        <w:jc w:val="left"/>
        <w:rPr>
          <w:rFonts w:ascii="Times New Roman" w:cs="Times New Roman" w:eastAsia="Times New Roman" w:hAnsi="Times New Roman"/>
          <w:i w:val="0"/>
          <w:iCs w:val="0"/>
          <w:color w:val="000000"/>
          <w:highlight w:val="white"/>
        </w:rPr>
      </w:pPr>
      <w:bookmarkStart w:colFirst="0" w:colLast="0" w:name="_3nk1e2ooya3z" w:id="14"/>
      <w:bookmarkEnd w:id="14"/>
      <w:r w:rsidDel="00000000" w:rsidR="00000000" w:rsidRPr="00000000">
        <w:rPr>
          <w:rFonts w:ascii="Times New Roman" w:cs="Times New Roman" w:eastAsia="Times New Roman" w:hAnsi="Times New Roman"/>
          <w:i w:val="0"/>
          <w:iCs w:val="0"/>
          <w:color w:val="000000"/>
          <w:highlight w:val="white"/>
          <w:rtl w:val="0"/>
        </w:rPr>
        <w:t xml:space="preserve">Dissociação de hidratos de gás</w:t>
      </w:r>
    </w:p>
    <w:p w:rsidR="00000000" w:rsidDel="00000000" w:rsidP="00000000" w:rsidRDefault="00000000" w:rsidRPr="00000000" w14:paraId="000000CA">
      <w:pPr>
        <w:spacing w:after="120" w:line="360" w:lineRule="auto"/>
        <w:ind w:left="0" w:firstLine="709"/>
        <w:jc w:val="both"/>
        <w:rPr>
          <w:highlight w:val="white"/>
        </w:rPr>
      </w:pPr>
      <w:r w:rsidDel="00000000" w:rsidR="00000000" w:rsidRPr="00000000">
        <w:rPr>
          <w:highlight w:val="white"/>
          <w:rtl w:val="0"/>
        </w:rPr>
        <w:t xml:space="preserve">Os hidratos de gás são estáveis sob determinadas condições de pressão e temperatura. Mudanças no nível do mar, na temperatura da água de fundo ou no soterramento podem provocar sua dissociação, liberando água e gás no interior do sedimento. Essa liberação pode aumentar a poropressão e reduzir a resistência do pacote sedimentar.</w:t>
      </w:r>
    </w:p>
    <w:p w:rsidR="00000000" w:rsidDel="00000000" w:rsidP="00000000" w:rsidRDefault="00000000" w:rsidRPr="00000000" w14:paraId="000000CB">
      <w:pPr>
        <w:spacing w:after="120" w:line="360" w:lineRule="auto"/>
        <w:ind w:left="0" w:firstLine="709"/>
        <w:jc w:val="both"/>
        <w:rPr>
          <w:highlight w:val="white"/>
        </w:rPr>
      </w:pPr>
      <w:r w:rsidDel="00000000" w:rsidR="00000000" w:rsidRPr="00000000">
        <w:rPr>
          <w:highlight w:val="white"/>
          <w:rtl w:val="0"/>
        </w:rPr>
        <w:t xml:space="preserve">Embora seja um mecanismo possível, a associação espacial entre depósitos de movimentos de massa e a zona de estabilidade dos hidratos não é suficiente para demonstrar uma relação causal. A atuação desse processo deve ser avaliada de acordo com a profundidade da água, a concentração de hidratos e as mudanças de pressão e temperatura ocorridas no período da ruptura (Sultan et al., 2004; Talling et al., 2014).</w:t>
      </w:r>
    </w:p>
    <w:p w:rsidR="00000000" w:rsidDel="00000000" w:rsidP="00000000" w:rsidRDefault="00000000" w:rsidRPr="00000000" w14:paraId="000000CC">
      <w:pPr>
        <w:pStyle w:val="Heading4"/>
        <w:jc w:val="left"/>
        <w:rPr>
          <w:rFonts w:ascii="Times New Roman" w:cs="Times New Roman" w:eastAsia="Times New Roman" w:hAnsi="Times New Roman"/>
          <w:i w:val="0"/>
          <w:iCs w:val="0"/>
          <w:color w:val="000000"/>
          <w:highlight w:val="white"/>
        </w:rPr>
      </w:pPr>
      <w:bookmarkStart w:colFirst="0" w:colLast="0" w:name="_2reljg3yjt3t" w:id="15"/>
      <w:bookmarkEnd w:id="15"/>
      <w:r w:rsidDel="00000000" w:rsidR="00000000" w:rsidRPr="00000000">
        <w:rPr>
          <w:rFonts w:ascii="Times New Roman" w:cs="Times New Roman" w:eastAsia="Times New Roman" w:hAnsi="Times New Roman"/>
          <w:i w:val="0"/>
          <w:iCs w:val="0"/>
          <w:color w:val="000000"/>
          <w:highlight w:val="white"/>
          <w:rtl w:val="0"/>
        </w:rPr>
        <w:t xml:space="preserve">Ondas e carregamento hidrodinâmico</w:t>
      </w:r>
    </w:p>
    <w:p w:rsidR="00000000" w:rsidDel="00000000" w:rsidP="00000000" w:rsidRDefault="00000000" w:rsidRPr="00000000" w14:paraId="000000CD">
      <w:pPr>
        <w:spacing w:after="120" w:line="360" w:lineRule="auto"/>
        <w:ind w:left="0" w:firstLine="709"/>
        <w:jc w:val="both"/>
        <w:rPr>
          <w:highlight w:val="white"/>
        </w:rPr>
      </w:pPr>
      <w:r w:rsidDel="00000000" w:rsidR="00000000" w:rsidRPr="00000000">
        <w:rPr>
          <w:highlight w:val="white"/>
          <w:rtl w:val="0"/>
        </w:rPr>
        <w:t xml:space="preserve">Ondas de tempestade e tsunamis produzem variações cíclicas de pressão sobre o fundo marinho. Essas variações geram tensões de cisalhamento e podem causar excesso de poropressão em sedimentos pouco consolidados. Sua influência é mais significativa na plataforma e no talude superior, diminuindo com o aumento da profundidade.</w:t>
      </w:r>
    </w:p>
    <w:p w:rsidR="00000000" w:rsidDel="00000000" w:rsidP="00000000" w:rsidRDefault="00000000" w:rsidRPr="00000000" w14:paraId="000000CE">
      <w:pPr>
        <w:spacing w:after="120" w:line="360" w:lineRule="auto"/>
        <w:ind w:left="0" w:firstLine="709"/>
        <w:jc w:val="both"/>
        <w:rPr>
          <w:highlight w:val="white"/>
        </w:rPr>
      </w:pPr>
      <w:r w:rsidDel="00000000" w:rsidR="00000000" w:rsidRPr="00000000">
        <w:rPr>
          <w:highlight w:val="white"/>
          <w:rtl w:val="0"/>
        </w:rPr>
        <w:t xml:space="preserve">As ondas internas, formadas em massas de água estratificadas, também podem afetar áreas mais profundas. Elas podem favorecer a erosão do fundo e impor esforços repetidos sobre os sedimentos, contribuindo para a instabilidade quando o talude já apresenta baixa resistência (Hampton et al., 1996; Scarselli, 2020).</w:t>
      </w:r>
    </w:p>
    <w:p w:rsidR="00000000" w:rsidDel="00000000" w:rsidP="00000000" w:rsidRDefault="00000000" w:rsidRPr="00000000" w14:paraId="000000CF">
      <w:pPr>
        <w:spacing w:after="120" w:line="360" w:lineRule="auto"/>
        <w:ind w:left="0" w:firstLine="709"/>
        <w:jc w:val="both"/>
        <w:rPr>
          <w:highlight w:val="white"/>
        </w:rPr>
      </w:pPr>
      <w:r w:rsidDel="00000000" w:rsidR="00000000" w:rsidRPr="00000000">
        <w:rPr>
          <w:highlight w:val="white"/>
          <w:rtl w:val="0"/>
        </w:rPr>
        <w:t xml:space="preserve">Em síntese, os movimentos de massa submarinos geralmente resultam de uma sucessão de processos. As características litológicas e estratigráficas condicionam a resistência do talude; a sedimentação, a deformação tectônica ou a migração de fluidos aproximam o sistema da condição de ruptura; e um evento de curta duração, como um terremoto ou uma fase erosiva, pode atuar como gatilho final. Portanto, a presença de determinado processo no contexto geológico não é suficiente para estabelecer, por si só, uma relação causal com o movimento de massa.</w:t>
      </w:r>
    </w:p>
    <w:p w:rsidR="00000000" w:rsidDel="00000000" w:rsidP="00000000" w:rsidRDefault="00000000" w:rsidRPr="00000000" w14:paraId="000000D0">
      <w:pPr>
        <w:spacing w:after="12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D1">
      <w:pPr>
        <w:spacing w:after="12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D2">
      <w:pPr>
        <w:spacing w:after="120" w:line="360" w:lineRule="auto"/>
        <w:ind w:left="0" w:firstLine="709"/>
        <w:jc w:val="both"/>
        <w:rPr/>
      </w:pPr>
      <w:r w:rsidDel="00000000" w:rsidR="00000000" w:rsidRPr="00000000">
        <w:rPr>
          <w:rtl w:val="0"/>
        </w:rPr>
        <w:t xml:space="preserve">3 ÁREA DE ESTUDO</w:t>
      </w:r>
    </w:p>
    <w:p w:rsidR="00000000" w:rsidDel="00000000" w:rsidP="00000000" w:rsidRDefault="00000000" w:rsidRPr="00000000" w14:paraId="000000D3">
      <w:pPr>
        <w:spacing w:after="120" w:line="360" w:lineRule="auto"/>
        <w:ind w:left="0" w:firstLine="709"/>
        <w:jc w:val="both"/>
        <w:rPr/>
      </w:pPr>
      <w:r w:rsidDel="00000000" w:rsidR="00000000" w:rsidRPr="00000000">
        <w:rPr>
          <w:rtl w:val="0"/>
        </w:rPr>
      </w:r>
    </w:p>
    <w:p w:rsidR="00000000" w:rsidDel="00000000" w:rsidP="00000000" w:rsidRDefault="00000000" w:rsidRPr="00000000" w14:paraId="000000D4">
      <w:pPr>
        <w:spacing w:after="120" w:line="360" w:lineRule="auto"/>
        <w:ind w:left="0" w:firstLine="709"/>
        <w:jc w:val="both"/>
        <w:rPr/>
      </w:pPr>
      <w:r w:rsidDel="00000000" w:rsidR="00000000" w:rsidRPr="00000000">
        <w:rPr>
          <w:rtl w:val="0"/>
        </w:rPr>
        <w:t xml:space="preserve">4 MATERIAIS E MÉTODOS</w:t>
      </w:r>
    </w:p>
    <w:p w:rsidR="00000000" w:rsidDel="00000000" w:rsidP="00000000" w:rsidRDefault="00000000" w:rsidRPr="00000000" w14:paraId="000000D5">
      <w:pPr>
        <w:spacing w:after="120" w:line="360" w:lineRule="auto"/>
        <w:ind w:left="0" w:firstLine="709"/>
        <w:jc w:val="both"/>
        <w:rPr/>
      </w:pPr>
      <w:r w:rsidDel="00000000" w:rsidR="00000000" w:rsidRPr="00000000">
        <w:rPr>
          <w:rtl w:val="0"/>
        </w:rPr>
        <w:t xml:space="preserve">4.1 Pesquisa bibliográfica e bases de dados</w:t>
      </w:r>
    </w:p>
    <w:p w:rsidR="00000000" w:rsidDel="00000000" w:rsidP="00000000" w:rsidRDefault="00000000" w:rsidRPr="00000000" w14:paraId="000000D6">
      <w:pPr>
        <w:spacing w:after="120" w:line="360" w:lineRule="auto"/>
        <w:ind w:left="0" w:firstLine="709"/>
        <w:jc w:val="both"/>
        <w:rPr/>
      </w:pPr>
      <w:r w:rsidDel="00000000" w:rsidR="00000000" w:rsidRPr="00000000">
        <w:rPr>
          <w:rtl w:val="0"/>
        </w:rPr>
        <w:t xml:space="preserve">Indique bases consultadas, critérios de seleção, mapas, imagens, modelos digitais de elevação, dados geoquímicos e demais produtos utilizados.</w:t>
      </w:r>
    </w:p>
    <w:p w:rsidR="00000000" w:rsidDel="00000000" w:rsidP="00000000" w:rsidRDefault="00000000" w:rsidRPr="00000000" w14:paraId="000000D7">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D8">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D9">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DA">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DB">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DC">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DE">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DF">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E0">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1">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2">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3">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5">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7">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8">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9">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EB">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EC">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ED">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EE">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5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F0">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F2">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F3">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F4">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F5">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F6">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F7">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F8">
      <w:pPr>
        <w:rPr/>
      </w:pPr>
      <w:r w:rsidDel="00000000" w:rsidR="00000000" w:rsidRPr="00000000">
        <w:br w:type="page"/>
      </w:r>
      <w:r w:rsidDel="00000000" w:rsidR="00000000" w:rsidRPr="00000000">
        <w:rPr>
          <w:rtl w:val="0"/>
        </w:rPr>
      </w:r>
    </w:p>
    <w:p w:rsidR="00000000" w:rsidDel="00000000" w:rsidP="00000000" w:rsidRDefault="00000000" w:rsidRPr="00000000" w14:paraId="000000F9">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0FA">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1">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0FB">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12">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FC">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13">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0FD">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14">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0FE">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0FF">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15">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100">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101">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16">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102">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17">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103">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18">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104">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19">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105">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20">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106">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1">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107">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22">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108">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23">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109">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24">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10A">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25">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10B">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26">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10C">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10D">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27">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10E">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28">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10F">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29">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110">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30">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111">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1">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112">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32">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3">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33">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114">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34">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115">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35">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116">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36">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117">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37">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8">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38">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119">
      <w:pPr>
        <w:spacing w:after="240" w:before="0" w:line="240" w:lineRule="auto"/>
        <w:ind w:firstLine="0"/>
        <w:jc w:val="left"/>
        <w:rPr>
          <w:i w:val="1"/>
          <w:iCs w:val="1"/>
          <w:color w:val="595959"/>
        </w:rPr>
      </w:pPr>
      <w:r w:rsidDel="00000000" w:rsidR="00000000" w:rsidRPr="00000000">
        <w:rPr>
          <w:i w:val="1"/>
          <w:iCs w:val="1"/>
          <w:color w:val="595959"/>
          <w:rtl w:val="0"/>
        </w:rPr>
        <w:t xml:space="preserve">ORTIZ KARPF, A. L. Bathymetric and substrate controls on submarine mass-transport emplacement processes and channel-levee complex evolution. 2016. Tese (Doutorado) — University of Leeds, Leeds, 2016.</w:t>
      </w:r>
    </w:p>
    <w:p w:rsidR="00000000" w:rsidDel="00000000" w:rsidP="00000000" w:rsidRDefault="00000000" w:rsidRPr="00000000" w14:paraId="0000011A">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39">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11B">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40">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11C">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1">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11D">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11E">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42">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11F">
      <w:pPr>
        <w:spacing w:after="240" w:before="0" w:line="240" w:lineRule="auto"/>
        <w:ind w:firstLine="0"/>
        <w:jc w:val="left"/>
        <w:rPr>
          <w:i w:val="1"/>
          <w:iCs w:val="1"/>
          <w:color w:val="595959"/>
        </w:rPr>
      </w:pPr>
      <w:r w:rsidDel="00000000" w:rsidR="00000000" w:rsidRPr="00000000">
        <w:rPr>
          <w:i w:val="1"/>
          <w:iCs w:val="1"/>
          <w:color w:val="595959"/>
          <w:rtl w:val="0"/>
        </w:rPr>
        <w:t xml:space="preserve">SCARSELLI, N. Submarine landslides: architecture, controlling factors and environments: a summary. In: SCARSELLI, N. et al. (org.). Regional geology and tectonics. 2. ed. [S. l.]: Elsevier, 2020. v. 1, p. 417–439. DOI: https://doi.org/10.1016/B978-0-444-64134-2.00015-8.</w:t>
      </w:r>
    </w:p>
    <w:p w:rsidR="00000000" w:rsidDel="00000000" w:rsidP="00000000" w:rsidRDefault="00000000" w:rsidRPr="00000000" w14:paraId="00000120">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121">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43">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122">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44">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123">
      <w:pPr>
        <w:spacing w:after="240" w:before="0" w:line="240" w:lineRule="auto"/>
        <w:ind w:firstLine="0"/>
        <w:jc w:val="left"/>
        <w:rPr>
          <w:i w:val="1"/>
          <w:iCs w:val="1"/>
          <w:color w:val="595959"/>
        </w:rPr>
      </w:pPr>
      <w:r w:rsidDel="00000000" w:rsidR="00000000" w:rsidRPr="00000000">
        <w:rPr>
          <w:i w:val="1"/>
          <w:iCs w:val="1"/>
          <w:color w:val="595959"/>
          <w:rtl w:val="0"/>
        </w:rPr>
        <w:t xml:space="preserve">SULTAN, N. et al. Triggering mechanisms of slope instability processes and sediment failures on continental margins: a geotechnical approach. Marine Geology, v. 213, n. 1–4, p. 291–321, 2004. DOI: https://doi.org/10.1016/j.margeo.2004.10.011.</w:t>
      </w:r>
    </w:p>
    <w:p w:rsidR="00000000" w:rsidDel="00000000" w:rsidP="00000000" w:rsidRDefault="00000000" w:rsidRPr="00000000" w14:paraId="00000124">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45">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125">
      <w:pPr>
        <w:spacing w:after="240" w:before="0" w:line="240" w:lineRule="auto"/>
        <w:ind w:firstLine="0"/>
        <w:jc w:val="left"/>
        <w:rPr>
          <w:i w:val="1"/>
          <w:iCs w:val="1"/>
          <w:color w:val="595959"/>
        </w:rPr>
      </w:pPr>
      <w:r w:rsidDel="00000000" w:rsidR="00000000" w:rsidRPr="00000000">
        <w:rPr>
          <w:i w:val="1"/>
          <w:iCs w:val="1"/>
          <w:color w:val="595959"/>
          <w:rtl w:val="0"/>
        </w:rPr>
        <w:t xml:space="preserve">TERZAGHI, K. Erdbaumechanik auf bodenphysikalischer Grundlage. Leipzig; Wien: Franz Deuticke, 1925.</w:t>
      </w:r>
    </w:p>
    <w:p w:rsidR="00000000" w:rsidDel="00000000" w:rsidP="00000000" w:rsidRDefault="00000000" w:rsidRPr="00000000" w14:paraId="00000126">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127">
      <w:pPr>
        <w:spacing w:after="240" w:before="0" w:line="240" w:lineRule="auto"/>
        <w:ind w:firstLine="0"/>
        <w:jc w:val="left"/>
        <w:rPr>
          <w:i w:val="1"/>
          <w:iCs w:val="1"/>
          <w:color w:val="595959"/>
        </w:rPr>
      </w:pPr>
      <w:r w:rsidDel="00000000" w:rsidR="00000000" w:rsidRPr="00000000">
        <w:rPr>
          <w:i w:val="1"/>
          <w:iCs w:val="1"/>
          <w:color w:val="595959"/>
          <w:rtl w:val="0"/>
        </w:rPr>
        <w:t xml:space="preserve">URLAUB, M. et al. What causes large submarine landslides on low gradient (&lt;2°) continental slopes with slow (~0,15 m/ka) sediment accumulation? Journal of Geophysical Research: Solid Earth, v. 120, n. 10, p. 6722–6739, 2015. DOI: https://doi.org/10.1002/2015JB012347.</w:t>
      </w:r>
    </w:p>
    <w:p w:rsidR="00000000" w:rsidDel="00000000" w:rsidP="00000000" w:rsidRDefault="00000000" w:rsidRPr="00000000" w14:paraId="00000128">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129">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46">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12A">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47">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12B">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48">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1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1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12E">
      <w:pPr>
        <w:rPr/>
      </w:pPr>
      <w:r w:rsidDel="00000000" w:rsidR="00000000" w:rsidRPr="00000000">
        <w:br w:type="page"/>
      </w:r>
      <w:r w:rsidDel="00000000" w:rsidR="00000000" w:rsidRPr="00000000">
        <w:rPr>
          <w:rtl w:val="0"/>
        </w:rPr>
      </w:r>
    </w:p>
    <w:p w:rsidR="00000000" w:rsidDel="00000000" w:rsidP="00000000" w:rsidRDefault="00000000" w:rsidRPr="00000000" w14:paraId="000001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1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49"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16/j.margeo.2016.01.009" TargetMode="External"/><Relationship Id="rId42" Type="http://schemas.openxmlformats.org/officeDocument/2006/relationships/hyperlink" Target="http://www.repositorio.jesuita.org.br/handle/UNISINOS/10129" TargetMode="External"/><Relationship Id="rId41" Type="http://schemas.openxmlformats.org/officeDocument/2006/relationships/hyperlink" Target="https://doi.org/10.1306/111302730367" TargetMode="External"/><Relationship Id="rId44" Type="http://schemas.openxmlformats.org/officeDocument/2006/relationships/hyperlink" Target="https://doi.org/10.5530/jscires.10.3.45" TargetMode="External"/><Relationship Id="rId43" Type="http://schemas.openxmlformats.org/officeDocument/2006/relationships/hyperlink" Target="https://doi.org/10.1016/B978-85-352-6208-7.50011-8" TargetMode="External"/><Relationship Id="rId46" Type="http://schemas.openxmlformats.org/officeDocument/2006/relationships/hyperlink" Target="https://doi.org/10.1016/j.margeo.2014.01.005" TargetMode="External"/><Relationship Id="rId45" Type="http://schemas.openxmlformats.org/officeDocument/2006/relationships/hyperlink" Target="https://doi.org/10.5670/oceanog.2014.3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48" Type="http://schemas.openxmlformats.org/officeDocument/2006/relationships/hyperlink" Target="https://doi.org/10.1190/1.9781560801580" TargetMode="External"/><Relationship Id="rId47" Type="http://schemas.openxmlformats.org/officeDocument/2006/relationships/hyperlink" Target="https://doi.org/10.48550/arXiv.2106.06050" TargetMode="External"/><Relationship Id="rId4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2.png"/><Relationship Id="rId31" Type="http://schemas.openxmlformats.org/officeDocument/2006/relationships/hyperlink" Target="https://doi.org/10.2110/sepmsp.096.423" TargetMode="External"/><Relationship Id="rId30" Type="http://schemas.openxmlformats.org/officeDocument/2006/relationships/hyperlink" Target="https://doi.org/10.1002/9781444304398.ch5" TargetMode="External"/><Relationship Id="rId33" Type="http://schemas.openxmlformats.org/officeDocument/2006/relationships/hyperlink" Target="https://doi.org/10.1590/S0102-261X2005000300006" TargetMode="External"/><Relationship Id="rId32" Type="http://schemas.openxmlformats.org/officeDocument/2006/relationships/hyperlink" Target="http://www.cpgg.ufba.br/gr-geof/geo213/trabalhos-graducao/Adson-Meneses.pdf" TargetMode="External"/><Relationship Id="rId35" Type="http://schemas.openxmlformats.org/officeDocument/2006/relationships/hyperlink" Target="https://doi.org/10.1111/j.1365-2117.2007.00340.x" TargetMode="External"/><Relationship Id="rId34" Type="http://schemas.openxmlformats.org/officeDocument/2006/relationships/hyperlink" Target="https://doi.org/10.1306/M26490C8" TargetMode="External"/><Relationship Id="rId37"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36" Type="http://schemas.openxmlformats.org/officeDocument/2006/relationships/hyperlink" Target="https://doi.org/10.1130/B31221.1" TargetMode="External"/><Relationship Id="rId39" Type="http://schemas.openxmlformats.org/officeDocument/2006/relationships/hyperlink" Target="https://doi.org/10.1108/DTA-08-2023-0461" TargetMode="External"/><Relationship Id="rId38" Type="http://schemas.openxmlformats.org/officeDocument/2006/relationships/hyperlink" Target="https://doi.org/10.1190/1.9781560801740" TargetMode="External"/><Relationship Id="rId20" Type="http://schemas.openxmlformats.org/officeDocument/2006/relationships/hyperlink" Target="https://www.elsevier.com/products/scopus" TargetMode="External"/><Relationship Id="rId22" Type="http://schemas.openxmlformats.org/officeDocument/2006/relationships/hyperlink" Target="https://doi.org/10.1016/B978-85-352-6937-6.50009-4" TargetMode="External"/><Relationship Id="rId21" Type="http://schemas.openxmlformats.org/officeDocument/2006/relationships/hyperlink" Target="https://www.gov.br/anp/pt-br/rodadas-anp/rodadas-concluidas/concessao-de-blocos-exploratorios/15a-rodada-licitacoes-blocos/arquivos/areas-oferecidas/sumario_geologico_r15_santos.pdf" TargetMode="External"/><Relationship Id="rId24" Type="http://schemas.openxmlformats.org/officeDocument/2006/relationships/hyperlink" Target="https://www.guralp.com/" TargetMode="External"/><Relationship Id="rId23" Type="http://schemas.openxmlformats.org/officeDocument/2006/relationships/hyperlink" Target="https://doi.org/10.1016/j.margeo.2016.06.003" TargetMode="External"/><Relationship Id="rId26" Type="http://schemas.openxmlformats.org/officeDocument/2006/relationships/hyperlink" Target="https://sbgf.org.br/mysbgf/eventos/expanded_abstracts/17th_CISBGf/920211118142805III_SBGGM_DRA_CIZIA_MARIA_MARGEM_CONTINENTAL.pdf" TargetMode="External"/><Relationship Id="rId25" Type="http://schemas.openxmlformats.org/officeDocument/2006/relationships/hyperlink" Target="https://doi.org/10.1029/95RG03287" TargetMode="External"/><Relationship Id="rId28" Type="http://schemas.openxmlformats.org/officeDocument/2006/relationships/hyperlink" Target="https://doi.org/10.1016/B978-85-352-6937-6.50012-4" TargetMode="External"/><Relationship Id="rId27" Type="http://schemas.openxmlformats.org/officeDocument/2006/relationships/hyperlink" Target="https://doi.org/10.1306/09011514210" TargetMode="External"/><Relationship Id="rId29" Type="http://schemas.openxmlformats.org/officeDocument/2006/relationships/hyperlink" Target="https://doi.org/10.3390/jmse8120968" TargetMode="External"/><Relationship Id="rId11" Type="http://schemas.openxmlformats.org/officeDocument/2006/relationships/hyperlink" Target="https://doi.org/10.22456/1807-9806.144416" TargetMode="External"/><Relationship Id="rId10" Type="http://schemas.openxmlformats.org/officeDocument/2006/relationships/image" Target="media/image3.png"/><Relationship Id="rId13" Type="http://schemas.openxmlformats.org/officeDocument/2006/relationships/hyperlink" Target="https://doi.org/10.1017/CBO9781139628921.004" TargetMode="External"/><Relationship Id="rId12" Type="http://schemas.openxmlformats.org/officeDocument/2006/relationships/hyperlink" Target="https://lume.ufrgs.br/handle/10183/139096" TargetMode="External"/><Relationship Id="rId15" Type="http://schemas.openxmlformats.org/officeDocument/2006/relationships/hyperlink" Target="https://doi.org/10.1190/sbgf2005-275" TargetMode="External"/><Relationship Id="rId14" Type="http://schemas.openxmlformats.org/officeDocument/2006/relationships/hyperlink" Target="https://doi.org/10.1016/B978-85-352-6937-6.50013-6" TargetMode="External"/><Relationship Id="rId17" Type="http://schemas.openxmlformats.org/officeDocument/2006/relationships/hyperlink" Target="https://doi.org/10.1190/1.2098670" TargetMode="External"/><Relationship Id="rId16" Type="http://schemas.openxmlformats.org/officeDocument/2006/relationships/hyperlink" Target="https://doi.org/10.1007/978-3-319-20979-1_3" TargetMode="External"/><Relationship Id="rId19" Type="http://schemas.openxmlformats.org/officeDocument/2006/relationships/hyperlink" Target="https://doi.org/10.1144/SP477.15" TargetMode="External"/><Relationship Id="rId18" Type="http://schemas.openxmlformats.org/officeDocument/2006/relationships/hyperlink" Target="https://doi.org/10.1190/1.978156080190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