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1" name="image1.png"/>
            <a:graphic>
              <a:graphicData uri="http://schemas.openxmlformats.org/drawingml/2006/picture">
                <pic:pic>
                  <pic:nvPicPr>
                    <pic:cNvPr descr="Símbolo da Universidade Federal de Santa Catarina" id="0" name="image1.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 Nome do orientador,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Prof. Nome do coorientador, Dr.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figuras após aplicar legendas a todas as imagens, mapas, perfis, fotografias e diagramas.</w:t>
      </w:r>
      <w:r w:rsidDel="00000000" w:rsidR="00000000" w:rsidRPr="00000000">
        <w:rPr>
          <w:rtl w:val="0"/>
        </w:rPr>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1">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4">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7">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2001283760"/>
        <w:docPartObj>
          <w:docPartGallery w:val="Table of Contents"/>
          <w:docPartUnique w:val="1"/>
        </w:docPartObj>
      </w:sdtPr>
      <w:sdtContent>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keepNext w:val="1"/>
        <w:spacing w:after="240" w:before="240" w:line="360" w:lineRule="auto"/>
        <w:ind w:firstLine="0"/>
        <w:jc w:val="left"/>
        <w:rPr/>
      </w:pPr>
      <w:r w:rsidDel="00000000" w:rsidR="00000000" w:rsidRPr="00000000">
        <w:rPr>
          <w:color w:val="000000"/>
          <w:rtl w:val="0"/>
        </w:rPr>
        <w:t xml:space="preserve">1 INTRODUÇÃO</w:t>
      </w:r>
      <w:r w:rsidDel="00000000" w:rsidR="00000000" w:rsidRPr="00000000">
        <w:rPr>
          <w:rtl w:val="0"/>
        </w:rPr>
      </w:r>
    </w:p>
    <w:p w:rsidR="00000000" w:rsidDel="00000000" w:rsidP="00000000" w:rsidRDefault="00000000" w:rsidRPr="00000000" w14:paraId="00000051">
      <w:pPr>
        <w:spacing w:after="0" w:before="0" w:line="360" w:lineRule="auto"/>
        <w:ind w:firstLine="709"/>
        <w:jc w:val="both"/>
        <w:rPr/>
      </w:pPr>
      <w:r w:rsidDel="00000000" w:rsidR="00000000" w:rsidRPr="00000000">
        <w:rPr>
          <w:i w:val="1"/>
          <w:iCs w:val="1"/>
          <w:color w:val="595959"/>
          <w:rtl w:val="0"/>
        </w:rPr>
        <w:t xml:space="preserve">Apresente o tema, delimite o problema geológico, sintetize o estado do conhecimento, justifique o estudo e antecipe a abordagem utilizada. A introdução deve conduzir naturalmente aos objetivos.</w:t>
      </w:r>
      <w:r w:rsidDel="00000000" w:rsidR="00000000" w:rsidRPr="00000000">
        <w:rPr>
          <w:rtl w:val="0"/>
        </w:rPr>
      </w:r>
    </w:p>
    <w:p w:rsidR="00000000" w:rsidDel="00000000" w:rsidP="00000000" w:rsidRDefault="00000000" w:rsidRPr="00000000" w14:paraId="00000052">
      <w:pPr>
        <w:pStyle w:val="Heading2"/>
        <w:keepNext w:val="1"/>
        <w:spacing w:after="240" w:before="240" w:line="360" w:lineRule="auto"/>
        <w:ind w:firstLine="0"/>
        <w:jc w:val="left"/>
        <w:rPr/>
      </w:pPr>
      <w:r w:rsidDel="00000000" w:rsidR="00000000" w:rsidRPr="00000000">
        <w:rPr>
          <w:color w:val="000000"/>
          <w:rtl w:val="0"/>
        </w:rPr>
        <w:t xml:space="preserve">1.1 Objetivos</w:t>
      </w:r>
      <w:r w:rsidDel="00000000" w:rsidR="00000000" w:rsidRPr="00000000">
        <w:rPr>
          <w:rtl w:val="0"/>
        </w:rPr>
      </w:r>
    </w:p>
    <w:p w:rsidR="00000000" w:rsidDel="00000000" w:rsidP="00000000" w:rsidRDefault="00000000" w:rsidRPr="00000000" w14:paraId="00000053">
      <w:pPr>
        <w:pStyle w:val="Heading3"/>
        <w:keepNext w:val="1"/>
        <w:spacing w:after="240" w:before="240" w:line="360" w:lineRule="auto"/>
        <w:ind w:firstLine="0"/>
        <w:jc w:val="left"/>
        <w:rPr/>
      </w:pPr>
      <w:r w:rsidDel="00000000" w:rsidR="00000000" w:rsidRPr="00000000">
        <w:rPr>
          <w:color w:val="000000"/>
          <w:rtl w:val="0"/>
        </w:rPr>
        <w:t xml:space="preserve">1.1.1 Objetivo geral</w:t>
      </w:r>
      <w:r w:rsidDel="00000000" w:rsidR="00000000" w:rsidRPr="00000000">
        <w:rPr>
          <w:rtl w:val="0"/>
        </w:rPr>
      </w:r>
    </w:p>
    <w:p w:rsidR="00000000" w:rsidDel="00000000" w:rsidP="00000000" w:rsidRDefault="00000000" w:rsidRPr="00000000" w14:paraId="00000054">
      <w:pPr>
        <w:spacing w:after="0" w:before="0" w:line="360" w:lineRule="auto"/>
        <w:ind w:firstLine="709"/>
        <w:jc w:val="both"/>
        <w:rPr/>
      </w:pPr>
      <w:r w:rsidDel="00000000" w:rsidR="00000000" w:rsidRPr="00000000">
        <w:rPr>
          <w:i w:val="1"/>
          <w:iCs w:val="1"/>
          <w:color w:val="595959"/>
          <w:rtl w:val="0"/>
        </w:rPr>
        <w:t xml:space="preserve">Declare o resultado científico principal que o trabalho pretende alcançar.</w:t>
      </w:r>
      <w:r w:rsidDel="00000000" w:rsidR="00000000" w:rsidRPr="00000000">
        <w:rPr>
          <w:rtl w:val="0"/>
        </w:rPr>
      </w:r>
    </w:p>
    <w:p w:rsidR="00000000" w:rsidDel="00000000" w:rsidP="00000000" w:rsidRDefault="00000000" w:rsidRPr="00000000" w14:paraId="00000055">
      <w:pPr>
        <w:pStyle w:val="Heading3"/>
        <w:keepNext w:val="1"/>
        <w:spacing w:after="240" w:before="240" w:line="360" w:lineRule="auto"/>
        <w:ind w:firstLine="0"/>
        <w:jc w:val="left"/>
        <w:rPr/>
      </w:pPr>
      <w:r w:rsidDel="00000000" w:rsidR="00000000" w:rsidRPr="00000000">
        <w:rPr>
          <w:color w:val="000000"/>
          <w:rtl w:val="0"/>
        </w:rPr>
        <w:t xml:space="preserve">1.1.2 Objetivos específicos</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i w:val="1"/>
          <w:iCs w:val="1"/>
          <w:smallCaps w:val="0"/>
          <w:strike w:val="0"/>
          <w:color w:val="000000"/>
          <w:u w:val="none"/>
          <w:shd w:fill="auto" w:val="clear"/>
          <w:vertAlign w:val="baseline"/>
          <w:rtl w:val="0"/>
        </w:rPr>
        <w:t xml:space="preserve">Caracterizar as unidades geológicas da área de estudo.</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i w:val="1"/>
          <w:iCs w:val="1"/>
          <w:smallCaps w:val="0"/>
          <w:strike w:val="0"/>
          <w:color w:val="000000"/>
          <w:u w:val="none"/>
          <w:shd w:fill="auto" w:val="clear"/>
          <w:vertAlign w:val="baseline"/>
          <w:rtl w:val="0"/>
        </w:rPr>
        <w:t xml:space="preserve">Descrever os procedimentos de campo, laboratório e gabinete.</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i w:val="1"/>
          <w:iCs w:val="1"/>
          <w:smallCaps w:val="0"/>
          <w:strike w:val="0"/>
          <w:color w:val="000000"/>
          <w:u w:val="none"/>
          <w:shd w:fill="auto" w:val="clear"/>
          <w:vertAlign w:val="baseline"/>
          <w:rtl w:val="0"/>
        </w:rPr>
        <w:t xml:space="preserve">Integrar e interpretar os dados obtidos.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i w:val="1"/>
          <w:iCs w:val="1"/>
          <w:smallCaps w:val="0"/>
          <w:strike w:val="0"/>
          <w:color w:val="000000"/>
          <w:u w:val="none"/>
          <w:shd w:fill="auto" w:val="clear"/>
          <w:vertAlign w:val="baseline"/>
          <w:rtl w:val="0"/>
        </w:rPr>
        <w:t xml:space="preserve">Discutir as implicações geológicas dos resultados.</w:t>
      </w:r>
      <w:r w:rsidDel="00000000" w:rsidR="00000000" w:rsidRPr="00000000">
        <w:rPr>
          <w:rtl w:val="0"/>
        </w:rPr>
      </w:r>
    </w:p>
    <w:p w:rsidR="00000000" w:rsidDel="00000000" w:rsidP="00000000" w:rsidRDefault="00000000" w:rsidRPr="00000000" w14:paraId="0000005A">
      <w:pPr>
        <w:pStyle w:val="Heading2"/>
        <w:keepNext w:val="1"/>
        <w:spacing w:after="240" w:before="240" w:line="360" w:lineRule="auto"/>
        <w:ind w:firstLine="0"/>
        <w:jc w:val="left"/>
        <w:rPr/>
      </w:pPr>
      <w:r w:rsidDel="00000000" w:rsidR="00000000" w:rsidRPr="00000000">
        <w:rPr>
          <w:color w:val="000000"/>
          <w:rtl w:val="0"/>
        </w:rPr>
        <w:t xml:space="preserve">1.2 Justificativa</w:t>
      </w:r>
      <w:r w:rsidDel="00000000" w:rsidR="00000000" w:rsidRPr="00000000">
        <w:rPr>
          <w:rtl w:val="0"/>
        </w:rPr>
      </w:r>
    </w:p>
    <w:p w:rsidR="00000000" w:rsidDel="00000000" w:rsidP="00000000" w:rsidRDefault="00000000" w:rsidRPr="00000000" w14:paraId="0000005B">
      <w:pPr>
        <w:tabs>
          <w:tab w:val="left" w:leader="none" w:pos="1267"/>
        </w:tabs>
        <w:spacing w:after="0" w:before="0" w:line="360" w:lineRule="auto"/>
        <w:ind w:firstLine="709"/>
        <w:jc w:val="both"/>
        <w:rPr/>
      </w:pPr>
      <w:r w:rsidDel="00000000" w:rsidR="00000000" w:rsidRPr="00000000">
        <w:rPr>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rtl w:val="0"/>
        </w:rPr>
        <w:t xml:space="preserve">et al</w:t>
      </w:r>
      <w:r w:rsidDel="00000000" w:rsidR="00000000" w:rsidRPr="00000000">
        <w:rPr>
          <w:rtl w:val="0"/>
        </w:rPr>
        <w:t xml:space="preserve">., 2018), uma vez que são fontes potenciais a gerar danos (Vanneste </w:t>
      </w:r>
      <w:r w:rsidDel="00000000" w:rsidR="00000000" w:rsidRPr="00000000">
        <w:rPr>
          <w:i w:val="1"/>
          <w:iCs w:val="1"/>
          <w:rtl w:val="0"/>
        </w:rPr>
        <w:t xml:space="preserve">et al</w:t>
      </w:r>
      <w:r w:rsidDel="00000000" w:rsidR="00000000" w:rsidRPr="00000000">
        <w:rPr>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rtl w:val="0"/>
        </w:rPr>
        <w:t xml:space="preserve">et al</w:t>
      </w:r>
      <w:r w:rsidDel="00000000" w:rsidR="00000000" w:rsidRPr="00000000">
        <w:rPr>
          <w:rtl w:val="0"/>
        </w:rPr>
        <w:t xml:space="preserve">., 2016), os quais estão presentes na região norte da Bacia de Santos. </w:t>
      </w:r>
    </w:p>
    <w:p w:rsidR="00000000" w:rsidDel="00000000" w:rsidP="00000000" w:rsidRDefault="00000000" w:rsidRPr="00000000" w14:paraId="0000005C">
      <w:pPr>
        <w:tabs>
          <w:tab w:val="left" w:leader="none" w:pos="1267"/>
        </w:tabs>
        <w:spacing w:after="0" w:before="0" w:line="360" w:lineRule="auto"/>
        <w:ind w:firstLine="709"/>
        <w:jc w:val="both"/>
        <w:rPr/>
      </w:pPr>
      <w:r w:rsidDel="00000000" w:rsidR="00000000" w:rsidRPr="00000000">
        <w:rPr>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rtl w:val="0"/>
        </w:rPr>
        <w:t xml:space="preserve">et al</w:t>
      </w:r>
      <w:r w:rsidDel="00000000" w:rsidR="00000000" w:rsidRPr="00000000">
        <w:rPr>
          <w:rtl w:val="0"/>
        </w:rPr>
        <w:t xml:space="preserve">., 2016), podem atuar como selos (Cardona </w:t>
      </w:r>
      <w:r w:rsidDel="00000000" w:rsidR="00000000" w:rsidRPr="00000000">
        <w:rPr>
          <w:i w:val="1"/>
          <w:iCs w:val="1"/>
          <w:rtl w:val="0"/>
        </w:rPr>
        <w:t xml:space="preserve">et al</w:t>
      </w:r>
      <w:r w:rsidDel="00000000" w:rsidR="00000000" w:rsidRPr="00000000">
        <w:rPr>
          <w:rtl w:val="0"/>
        </w:rPr>
        <w:t xml:space="preserve">., 2016) e também como potenciais reservatórios (Meckel, 2011).</w:t>
      </w:r>
    </w:p>
    <w:p w:rsidR="00000000" w:rsidDel="00000000" w:rsidP="00000000" w:rsidRDefault="00000000" w:rsidRPr="00000000" w14:paraId="0000005D">
      <w:pPr>
        <w:tabs>
          <w:tab w:val="left" w:leader="none" w:pos="1267"/>
        </w:tabs>
        <w:spacing w:after="0" w:before="0" w:line="360" w:lineRule="auto"/>
        <w:ind w:firstLine="709"/>
        <w:jc w:val="both"/>
        <w:rPr>
          <w:highlight w:val="yellow"/>
        </w:rPr>
      </w:pPr>
      <w:r w:rsidDel="00000000" w:rsidR="00000000" w:rsidRPr="00000000">
        <w:rPr>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rtl w:val="0"/>
        </w:rPr>
        <w:t xml:space="preserve">et al</w:t>
      </w:r>
      <w:r w:rsidDel="00000000" w:rsidR="00000000" w:rsidRPr="00000000">
        <w:rPr>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r w:rsidDel="00000000" w:rsidR="00000000" w:rsidRPr="00000000">
        <w:rPr>
          <w:rtl w:val="0"/>
        </w:rPr>
      </w:r>
    </w:p>
    <w:p w:rsidR="00000000" w:rsidDel="00000000" w:rsidP="00000000" w:rsidRDefault="00000000" w:rsidRPr="00000000" w14:paraId="0000005E">
      <w:pPr>
        <w:pStyle w:val="Heading1"/>
        <w:keepNext w:val="1"/>
        <w:spacing w:after="240" w:before="240" w:line="360" w:lineRule="auto"/>
        <w:ind w:firstLine="0"/>
        <w:jc w:val="left"/>
        <w:rPr/>
      </w:pPr>
      <w:r w:rsidDel="00000000" w:rsidR="00000000" w:rsidRPr="00000000">
        <w:rPr>
          <w:color w:val="000000"/>
          <w:rtl w:val="0"/>
        </w:rPr>
        <w:t xml:space="preserve">2 </w:t>
      </w:r>
      <w:r w:rsidDel="00000000" w:rsidR="00000000" w:rsidRPr="00000000">
        <w:rPr>
          <w:rtl w:val="0"/>
        </w:rPr>
        <w:t xml:space="preserve">FUNDAMENTAÇÃO TEÓRICA</w:t>
      </w:r>
    </w:p>
    <w:p w:rsidR="00000000" w:rsidDel="00000000" w:rsidP="00000000" w:rsidRDefault="00000000" w:rsidRPr="00000000" w14:paraId="0000005F">
      <w:pPr>
        <w:pStyle w:val="Heading2"/>
        <w:keepNext w:val="1"/>
        <w:spacing w:after="240" w:before="240" w:line="360" w:lineRule="auto"/>
        <w:ind w:firstLine="0"/>
        <w:jc w:val="left"/>
        <w:rPr/>
      </w:pPr>
      <w:r w:rsidDel="00000000" w:rsidR="00000000" w:rsidRPr="00000000">
        <w:rPr>
          <w:color w:val="000000"/>
          <w:rtl w:val="0"/>
        </w:rPr>
        <w:t xml:space="preserve">2.1 </w:t>
      </w:r>
      <w:r w:rsidDel="00000000" w:rsidR="00000000" w:rsidRPr="00000000">
        <w:rPr>
          <w:rtl w:val="0"/>
        </w:rPr>
        <w:t xml:space="preserve">Sísmica de reflexão</w:t>
      </w:r>
    </w:p>
    <w:p w:rsidR="00000000" w:rsidDel="00000000" w:rsidP="00000000" w:rsidRDefault="00000000" w:rsidRPr="00000000" w14:paraId="00000060">
      <w:pPr>
        <w:spacing w:after="0" w:before="0" w:line="360" w:lineRule="auto"/>
        <w:ind w:firstLine="709"/>
        <w:jc w:val="both"/>
        <w:rPr/>
      </w:pPr>
      <w:r w:rsidDel="00000000" w:rsidR="00000000" w:rsidRPr="00000000">
        <w:rPr>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1">
      <w:pPr>
        <w:spacing w:after="0" w:before="0" w:line="360" w:lineRule="auto"/>
        <w:ind w:firstLine="709"/>
        <w:jc w:val="both"/>
        <w:rPr/>
      </w:pPr>
      <w:r w:rsidDel="00000000" w:rsidR="00000000" w:rsidRPr="00000000">
        <w:rPr>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2">
      <w:pPr>
        <w:spacing w:after="0" w:before="0" w:line="360" w:lineRule="auto"/>
        <w:ind w:firstLine="709"/>
        <w:jc w:val="both"/>
        <w:rPr/>
      </w:pPr>
      <w:r w:rsidDel="00000000" w:rsidR="00000000" w:rsidRPr="00000000">
        <w:rPr>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rtl w:val="0"/>
        </w:rPr>
        <w:t xml:space="preserve">two-way travel time</w:t>
      </w:r>
      <w:r w:rsidDel="00000000" w:rsidR="00000000" w:rsidRPr="00000000">
        <w:rPr>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3">
      <w:pPr>
        <w:spacing w:after="0" w:before="0" w:line="360" w:lineRule="auto"/>
        <w:ind w:firstLine="709"/>
        <w:jc w:val="both"/>
        <w:rPr/>
      </w:pPr>
      <w:r w:rsidDel="00000000" w:rsidR="00000000" w:rsidRPr="00000000">
        <w:rPr>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4">
      <w:pPr>
        <w:pStyle w:val="Heading3"/>
        <w:keepNext w:val="1"/>
        <w:spacing w:after="240" w:before="240" w:line="360" w:lineRule="auto"/>
        <w:ind w:firstLine="0"/>
        <w:jc w:val="left"/>
        <w:rPr/>
      </w:pPr>
      <w:bookmarkStart w:colFirst="0" w:colLast="0" w:name="_1rbldzm8syoo" w:id="0"/>
      <w:bookmarkEnd w:id="0"/>
      <w:r w:rsidDel="00000000" w:rsidR="00000000" w:rsidRPr="00000000">
        <w:rPr>
          <w:rtl w:val="0"/>
        </w:rPr>
        <w:t xml:space="preserve">2.1.1 Cosseno de fase instantânea</w:t>
      </w:r>
    </w:p>
    <w:p w:rsidR="00000000" w:rsidDel="00000000" w:rsidP="00000000" w:rsidRDefault="00000000" w:rsidRPr="00000000" w14:paraId="00000065">
      <w:pPr>
        <w:spacing w:after="0" w:before="0" w:line="360" w:lineRule="auto"/>
        <w:ind w:firstLine="709"/>
        <w:jc w:val="both"/>
        <w:rPr/>
      </w:pPr>
      <w:r w:rsidDel="00000000" w:rsidR="00000000" w:rsidRPr="00000000">
        <w:rPr>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66">
      <w:pPr>
        <w:spacing w:after="0" w:before="0" w:line="360" w:lineRule="auto"/>
        <w:ind w:firstLine="0"/>
        <w:jc w:val="center"/>
        <w:rPr/>
      </w:pPr>
      <w:r w:rsidDel="00000000" w:rsidR="00000000" w:rsidRPr="00000000">
        <w:rPr>
          <w:rtl w:val="0"/>
        </w:rPr>
        <w:t xml:space="preserve">C(t) = cos(φ(t))    (1)</w:t>
      </w:r>
    </w:p>
    <w:p w:rsidR="00000000" w:rsidDel="00000000" w:rsidP="00000000" w:rsidRDefault="00000000" w:rsidRPr="00000000" w14:paraId="00000067">
      <w:pPr>
        <w:spacing w:after="0" w:before="0" w:line="360" w:lineRule="auto"/>
        <w:ind w:firstLine="709"/>
        <w:jc w:val="both"/>
        <w:rPr/>
      </w:pPr>
      <w:r w:rsidDel="00000000" w:rsidR="00000000" w:rsidRPr="00000000">
        <w:rPr>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69">
      <w:pPr>
        <w:pStyle w:val="Heading2"/>
        <w:keepNext w:val="1"/>
        <w:spacing w:after="240" w:before="240" w:line="360" w:lineRule="auto"/>
        <w:ind w:firstLine="0"/>
        <w:jc w:val="left"/>
        <w:rPr/>
      </w:pPr>
      <w:r w:rsidDel="00000000" w:rsidR="00000000" w:rsidRPr="00000000">
        <w:rPr>
          <w:color w:val="000000"/>
          <w:rtl w:val="0"/>
        </w:rPr>
        <w:t xml:space="preserve">2.2 </w:t>
      </w:r>
      <w:r w:rsidDel="00000000" w:rsidR="00000000" w:rsidRPr="00000000">
        <w:rPr>
          <w:rtl w:val="0"/>
        </w:rPr>
        <w:t xml:space="preserve">Sismoestratigrafia</w:t>
      </w:r>
    </w:p>
    <w:p w:rsidR="00000000" w:rsidDel="00000000" w:rsidP="00000000" w:rsidRDefault="00000000" w:rsidRPr="00000000" w14:paraId="0000006A">
      <w:pPr>
        <w:spacing w:after="240" w:before="240" w:lineRule="auto"/>
        <w:ind w:firstLine="720"/>
        <w:jc w:val="both"/>
        <w:rPr/>
      </w:pPr>
      <w:r w:rsidDel="00000000" w:rsidR="00000000" w:rsidRPr="00000000">
        <w:rPr>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6B">
      <w:pPr>
        <w:spacing w:after="240" w:before="240" w:lineRule="auto"/>
        <w:ind w:firstLine="720"/>
        <w:jc w:val="both"/>
        <w:rPr/>
      </w:pPr>
      <w:r w:rsidDel="00000000" w:rsidR="00000000" w:rsidRPr="00000000">
        <w:rPr>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6C">
      <w:pPr>
        <w:spacing w:after="240" w:before="240" w:lineRule="auto"/>
        <w:ind w:firstLine="720"/>
        <w:jc w:val="both"/>
        <w:rPr/>
      </w:pPr>
      <w:r w:rsidDel="00000000" w:rsidR="00000000" w:rsidRPr="00000000">
        <w:rPr>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6D">
      <w:pPr>
        <w:spacing w:after="240" w:before="240" w:lineRule="auto"/>
        <w:ind w:firstLine="720"/>
        <w:jc w:val="both"/>
        <w:rPr/>
      </w:pPr>
      <w:r w:rsidDel="00000000" w:rsidR="00000000" w:rsidRPr="00000000">
        <w:rPr>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70">
      <w:pPr>
        <w:pStyle w:val="Heading2"/>
        <w:keepNext w:val="1"/>
        <w:spacing w:after="240" w:before="240" w:line="360" w:lineRule="auto"/>
        <w:ind w:firstLine="0"/>
        <w:jc w:val="left"/>
        <w:rPr/>
      </w:pPr>
      <w:r w:rsidDel="00000000" w:rsidR="00000000" w:rsidRPr="00000000">
        <w:rPr>
          <w:color w:val="000000"/>
          <w:rtl w:val="0"/>
        </w:rPr>
        <w:t xml:space="preserve">2.3 Geologia local</w:t>
      </w:r>
      <w:r w:rsidDel="00000000" w:rsidR="00000000" w:rsidRPr="00000000">
        <w:rPr>
          <w:rtl w:val="0"/>
        </w:rPr>
      </w:r>
    </w:p>
    <w:p w:rsidR="00000000" w:rsidDel="00000000" w:rsidP="00000000" w:rsidRDefault="00000000" w:rsidRPr="00000000" w14:paraId="00000071">
      <w:pPr>
        <w:spacing w:after="0" w:before="0" w:line="360" w:lineRule="auto"/>
        <w:ind w:firstLine="709"/>
        <w:jc w:val="both"/>
        <w:rPr/>
      </w:pPr>
      <w:r w:rsidDel="00000000" w:rsidR="00000000" w:rsidRPr="00000000">
        <w:rPr>
          <w:i w:val="1"/>
          <w:iCs w:val="1"/>
          <w:color w:val="595959"/>
          <w:rtl w:val="0"/>
        </w:rPr>
        <w:t xml:space="preserve">Descreva as unidades e relações observadas na escala do estudo. Separe observações de interpretações quando necessário.</w:t>
      </w:r>
      <w:r w:rsidDel="00000000" w:rsidR="00000000" w:rsidRPr="00000000">
        <w:rPr>
          <w:rtl w:val="0"/>
        </w:rPr>
      </w:r>
    </w:p>
    <w:p w:rsidR="00000000" w:rsidDel="00000000" w:rsidP="00000000" w:rsidRDefault="00000000" w:rsidRPr="00000000" w14:paraId="00000072">
      <w:pPr>
        <w:pStyle w:val="Heading1"/>
        <w:keepNext w:val="1"/>
        <w:spacing w:after="240" w:before="240" w:line="360" w:lineRule="auto"/>
        <w:ind w:firstLine="0"/>
        <w:jc w:val="left"/>
        <w:rPr/>
      </w:pPr>
      <w:r w:rsidDel="00000000" w:rsidR="00000000" w:rsidRPr="00000000">
        <w:rPr>
          <w:rtl w:val="0"/>
        </w:rPr>
        <w:t xml:space="preserve">3 ÁREA DE ESTUDO</w:t>
      </w:r>
    </w:p>
    <w:p w:rsidR="00000000" w:rsidDel="00000000" w:rsidP="00000000" w:rsidRDefault="00000000" w:rsidRPr="00000000" w14:paraId="00000073">
      <w:pPr>
        <w:pStyle w:val="Heading1"/>
        <w:keepNext w:val="1"/>
        <w:spacing w:after="240" w:before="240" w:line="360" w:lineRule="auto"/>
        <w:ind w:firstLine="0"/>
        <w:jc w:val="left"/>
        <w:rPr/>
      </w:pPr>
      <w:r w:rsidDel="00000000" w:rsidR="00000000" w:rsidRPr="00000000">
        <w:rPr>
          <w:rtl w:val="0"/>
        </w:rPr>
        <w:t xml:space="preserve">4</w:t>
      </w:r>
      <w:r w:rsidDel="00000000" w:rsidR="00000000" w:rsidRPr="00000000">
        <w:rPr>
          <w:color w:val="000000"/>
          <w:rtl w:val="0"/>
        </w:rPr>
        <w:t xml:space="preserve"> MATERIAIS E MÉTODOS</w:t>
      </w:r>
      <w:r w:rsidDel="00000000" w:rsidR="00000000" w:rsidRPr="00000000">
        <w:rPr>
          <w:rtl w:val="0"/>
        </w:rPr>
      </w:r>
    </w:p>
    <w:p w:rsidR="00000000" w:rsidDel="00000000" w:rsidP="00000000" w:rsidRDefault="00000000" w:rsidRPr="00000000" w14:paraId="00000074">
      <w:pPr>
        <w:pStyle w:val="Heading2"/>
        <w:keepNext w:val="1"/>
        <w:spacing w:after="240" w:before="240" w:line="360" w:lineRule="auto"/>
        <w:ind w:firstLine="0"/>
        <w:jc w:val="left"/>
        <w:rPr/>
      </w:pPr>
      <w:r w:rsidDel="00000000" w:rsidR="00000000" w:rsidRPr="00000000">
        <w:rPr>
          <w:rtl w:val="0"/>
        </w:rPr>
        <w:t xml:space="preserve">4.1 Pesquisa bibliográfica e bases de dados</w:t>
      </w:r>
    </w:p>
    <w:p w:rsidR="00000000" w:rsidDel="00000000" w:rsidP="00000000" w:rsidRDefault="00000000" w:rsidRPr="00000000" w14:paraId="00000075">
      <w:pPr>
        <w:spacing w:after="0" w:before="0" w:line="360" w:lineRule="auto"/>
        <w:ind w:firstLine="709"/>
        <w:jc w:val="both"/>
        <w:rPr/>
      </w:pPr>
      <w:r w:rsidDel="00000000" w:rsidR="00000000" w:rsidRPr="00000000">
        <w:rPr>
          <w:i w:val="1"/>
          <w:iCs w:val="1"/>
          <w:color w:val="595959"/>
          <w:rtl w:val="0"/>
        </w:rPr>
        <w:t xml:space="preserve">Indique bases consultadas, critérios de seleção, mapas, imagens, modelos digitais de elevação, dados geoquímicos e demais produtos utilizados.</w:t>
      </w:r>
      <w:r w:rsidDel="00000000" w:rsidR="00000000" w:rsidRPr="00000000">
        <w:rPr>
          <w:rtl w:val="0"/>
        </w:rPr>
      </w:r>
    </w:p>
    <w:p w:rsidR="00000000" w:rsidDel="00000000" w:rsidP="00000000" w:rsidRDefault="00000000" w:rsidRPr="00000000" w14:paraId="00000076">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77">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78">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79">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7A">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7B">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7D">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7E">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7F">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80">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1">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2">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83">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4">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5">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86">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7">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8">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8A">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8B">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8C">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8D">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Figura 1 — Título descritivo da figur</w:t>
      </w:r>
      <w:r w:rsidDel="00000000" w:rsidR="00000000" w:rsidRPr="00000000">
        <w:rPr>
          <w:i w:val="0"/>
          <w:iCs w:val="0"/>
          <w:smallCaps w:val="0"/>
          <w:strike w:val="0"/>
          <w:color w:val="000000"/>
          <w:u w:val="none"/>
          <w:shd w:fill="auto" w:val="clear"/>
          <w:vertAlign w:val="baseline"/>
          <w:rtl w:val="0"/>
        </w:rPr>
        <w:t xml:space="preserve">a</w:t>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8F">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91">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92">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93">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94">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95">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96">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099">
      <w:pPr>
        <w:spacing w:after="120" w:before="0" w:line="240" w:lineRule="auto"/>
        <w:ind w:left="0"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Tese (Doutorado em Geociências) — Universidade Federal do Rio Grande do Sul, Porto Alegre, 2016.</w:t>
      </w:r>
    </w:p>
    <w:p w:rsidR="00000000" w:rsidDel="00000000" w:rsidP="00000000" w:rsidRDefault="00000000" w:rsidRPr="00000000" w14:paraId="0000009A">
      <w:pPr>
        <w:spacing w:after="120" w:before="0" w:line="240" w:lineRule="auto"/>
        <w:ind w:left="0"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10.1007/978-3-319-20979-1_3.</w:t>
      </w:r>
    </w:p>
    <w:p w:rsidR="00000000" w:rsidDel="00000000" w:rsidP="00000000" w:rsidRDefault="00000000" w:rsidRPr="00000000" w14:paraId="0000009B">
      <w:pPr>
        <w:spacing w:after="120" w:before="0" w:line="240" w:lineRule="auto"/>
        <w:ind w:left="0"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10.1190/1.9781560801900.</w:t>
      </w:r>
    </w:p>
    <w:p w:rsidR="00000000" w:rsidDel="00000000" w:rsidP="00000000" w:rsidRDefault="00000000" w:rsidRPr="00000000" w14:paraId="0000009C">
      <w:pPr>
        <w:spacing w:after="120" w:before="0" w:line="240" w:lineRule="auto"/>
        <w:ind w:left="0"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10.1144/SP477.15.</w:t>
      </w:r>
    </w:p>
    <w:p w:rsidR="00000000" w:rsidDel="00000000" w:rsidP="00000000" w:rsidRDefault="00000000" w:rsidRPr="00000000" w14:paraId="0000009D">
      <w:pPr>
        <w:spacing w:after="120" w:before="0" w:line="240" w:lineRule="auto"/>
        <w:ind w:left="0" w:firstLine="0"/>
        <w:jc w:val="left"/>
        <w:rPr>
          <w:i w:val="1"/>
          <w:iCs w:val="1"/>
          <w:color w:val="595959"/>
        </w:rPr>
      </w:pPr>
      <w:r w:rsidDel="00000000" w:rsidR="00000000" w:rsidRPr="00000000">
        <w:rPr>
          <w:i w:val="1"/>
          <w:iCs w:val="1"/>
          <w:color w:val="595959"/>
          <w:rtl w:val="0"/>
        </w:rPr>
        <w:t xml:space="preserve">KEAREY, P. et al. Geofísica de exploração. São Paulo: Oficina de Textos, 2009.</w:t>
      </w:r>
    </w:p>
    <w:p w:rsidR="00000000" w:rsidDel="00000000" w:rsidP="00000000" w:rsidRDefault="00000000" w:rsidRPr="00000000" w14:paraId="0000009E">
      <w:pPr>
        <w:spacing w:after="120" w:before="0" w:line="240" w:lineRule="auto"/>
        <w:ind w:left="0"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10.1306/09011514210.</w:t>
      </w:r>
    </w:p>
    <w:p w:rsidR="00000000" w:rsidDel="00000000" w:rsidP="00000000" w:rsidRDefault="00000000" w:rsidRPr="00000000" w14:paraId="0000009F">
      <w:pPr>
        <w:spacing w:after="120" w:before="0" w:line="240" w:lineRule="auto"/>
        <w:ind w:left="0"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et al. (org.). Mass-transport deposits in deepwater settings. Tulsa: SEPM Society for Sedimentary Geology, 2011. p. 423–452. (SEPM Special Publication, v. 96).</w:t>
      </w:r>
    </w:p>
    <w:p w:rsidR="00000000" w:rsidDel="00000000" w:rsidP="00000000" w:rsidRDefault="00000000" w:rsidRPr="00000000" w14:paraId="000000A0">
      <w:pPr>
        <w:spacing w:after="120" w:before="0" w:line="240" w:lineRule="auto"/>
        <w:ind w:left="0" w:firstLine="0"/>
        <w:jc w:val="left"/>
        <w:rPr>
          <w:i w:val="1"/>
          <w:iCs w:val="1"/>
          <w:color w:val="595959"/>
        </w:rPr>
      </w:pPr>
      <w:r w:rsidDel="00000000" w:rsidR="00000000" w:rsidRPr="00000000">
        <w:rPr>
          <w:i w:val="1"/>
          <w:iCs w:val="1"/>
          <w:color w:val="595959"/>
          <w:rtl w:val="0"/>
        </w:rPr>
        <w:t xml:space="preserve">MENESES, A. R. dos S. Estudo teórico de atributos sísmicos de reflexão. 2010. Trabalho de Graduação — Universidade Federal da Bahia, Salvador, 2010.</w:t>
      </w:r>
    </w:p>
    <w:p w:rsidR="00000000" w:rsidDel="00000000" w:rsidP="00000000" w:rsidRDefault="00000000" w:rsidRPr="00000000" w14:paraId="000000A1">
      <w:pPr>
        <w:spacing w:after="120" w:before="0" w:line="240" w:lineRule="auto"/>
        <w:ind w:left="0"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10.1306/M26490C8.</w:t>
      </w:r>
    </w:p>
    <w:p w:rsidR="00000000" w:rsidDel="00000000" w:rsidP="00000000" w:rsidRDefault="00000000" w:rsidRPr="00000000" w14:paraId="000000A2">
      <w:pPr>
        <w:spacing w:after="120" w:before="0" w:line="240" w:lineRule="auto"/>
        <w:ind w:left="0" w:firstLine="0"/>
        <w:jc w:val="left"/>
        <w:rPr>
          <w:i w:val="1"/>
          <w:iCs w:val="1"/>
          <w:color w:val="595959"/>
        </w:rPr>
      </w:pPr>
      <w:r w:rsidDel="00000000" w:rsidR="00000000" w:rsidRPr="00000000">
        <w:rPr>
          <w:i w:val="1"/>
          <w:iCs w:val="1"/>
          <w:color w:val="595959"/>
          <w:rtl w:val="0"/>
        </w:rPr>
        <w:t xml:space="preserve">POPE, E. L. et al. Which earthquakes trigger damaging submarine mass movements: insights from a global record of submarine cable breaks? Marine Geology, v. 384, p. 131–146, 2016. DOI: 10.1016/j.margeo.2016.01.009.</w:t>
      </w:r>
    </w:p>
    <w:p w:rsidR="00000000" w:rsidDel="00000000" w:rsidP="00000000" w:rsidRDefault="00000000" w:rsidRPr="00000000" w14:paraId="000000A3">
      <w:pPr>
        <w:spacing w:after="120" w:before="0" w:line="240" w:lineRule="auto"/>
        <w:ind w:left="0"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0A4">
      <w:pPr>
        <w:spacing w:after="120" w:before="0" w:line="240" w:lineRule="auto"/>
        <w:ind w:left="0"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0A5">
      <w:pPr>
        <w:spacing w:after="120" w:before="0" w:line="240" w:lineRule="auto"/>
        <w:ind w:left="0"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0A6">
      <w:pPr>
        <w:spacing w:after="120" w:before="0" w:line="240" w:lineRule="auto"/>
        <w:ind w:left="0"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10.1016/j.margeo.2014.01.005.</w:t>
      </w:r>
    </w:p>
    <w:p w:rsidR="00000000" w:rsidDel="00000000" w:rsidP="00000000" w:rsidRDefault="00000000" w:rsidRPr="00000000" w14:paraId="000000A7">
      <w:pPr>
        <w:spacing w:after="120" w:before="0" w:line="240" w:lineRule="auto"/>
        <w:ind w:left="0"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10.1190/1.9781560801580.</w:t>
      </w:r>
    </w:p>
    <w:p w:rsidR="00000000" w:rsidDel="00000000" w:rsidP="00000000" w:rsidRDefault="00000000" w:rsidRPr="00000000" w14:paraId="000000A8">
      <w:pPr>
        <w:rPr/>
      </w:pPr>
      <w:r w:rsidDel="00000000" w:rsidR="00000000" w:rsidRPr="00000000">
        <w:br w:type="page"/>
      </w:r>
      <w:r w:rsidDel="00000000" w:rsidR="00000000" w:rsidRPr="00000000">
        <w:rPr>
          <w:rtl w:val="0"/>
        </w:rPr>
      </w:r>
    </w:p>
    <w:p w:rsidR="00000000" w:rsidDel="00000000" w:rsidP="00000000" w:rsidRDefault="00000000" w:rsidRPr="00000000" w14:paraId="000000A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0A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0AB">
      <w:pPr>
        <w:rPr/>
      </w:pPr>
      <w:r w:rsidDel="00000000" w:rsidR="00000000" w:rsidRPr="00000000">
        <w:br w:type="page"/>
      </w:r>
      <w:r w:rsidDel="00000000" w:rsidR="00000000" w:rsidRPr="00000000">
        <w:rPr>
          <w:rtl w:val="0"/>
        </w:rPr>
      </w:r>
    </w:p>
    <w:p w:rsidR="00000000" w:rsidDel="00000000" w:rsidP="00000000" w:rsidRDefault="00000000" w:rsidRPr="00000000" w14:paraId="000000A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0A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7"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