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894447759"/>
        <w:docPartObj>
          <w:docPartGallery w:val="Table of Contents"/>
          <w:docPartUnique w:val="1"/>
        </w:docPartObj>
      </w:sdtPr>
      <w:sdtConten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Mesmo eventos de menor escala podem danificar plataformas de petróleo, dutos e cabos submarinos (Tappin </w:t>
      </w:r>
      <w:r w:rsidDel="00000000" w:rsidR="00000000" w:rsidRPr="00000000">
        <w:rPr>
          <w:i w:val="1"/>
          <w:iCs w:val="1"/>
          <w:rtl w:val="0"/>
        </w:rPr>
        <w:t xml:space="preserve">et al</w:t>
      </w:r>
      <w:r w:rsidDel="00000000" w:rsidR="00000000" w:rsidRPr="00000000">
        <w:rPr>
          <w:rtl w:val="0"/>
        </w:rPr>
        <w:t xml:space="preserve">., 2001). </w:t>
      </w:r>
    </w:p>
    <w:p w:rsidR="00000000" w:rsidDel="00000000" w:rsidP="00000000" w:rsidRDefault="00000000" w:rsidRPr="00000000" w14:paraId="00000056">
      <w:pPr>
        <w:spacing w:after="0" w:before="0" w:line="360" w:lineRule="auto"/>
        <w:ind w:firstLine="709"/>
        <w:jc w:val="both"/>
        <w:rPr/>
      </w:pPr>
      <w:r w:rsidDel="00000000" w:rsidR="00000000" w:rsidRPr="00000000">
        <w:rPr>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rtl w:val="0"/>
        </w:rPr>
        <w:t xml:space="preserve">offshore</w:t>
      </w:r>
      <w:r w:rsidDel="00000000" w:rsidR="00000000" w:rsidRPr="00000000">
        <w:rPr>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7">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8">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9">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A">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B">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C">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D">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61">
      <w:pPr>
        <w:numPr>
          <w:ilvl w:val="0"/>
          <w:numId w:val="3"/>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2">
      <w:pPr>
        <w:numPr>
          <w:ilvl w:val="0"/>
          <w:numId w:val="3"/>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3">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4">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5">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6">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7">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8">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B">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D">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F">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70">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2">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5">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6">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7">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C">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D">
      <w:pPr>
        <w:keepNext w:val="1"/>
        <w:spacing w:after="60" w:before="120" w:line="240" w:lineRule="auto"/>
        <w:ind w:left="0" w:firstLine="0"/>
        <w:jc w:val="center"/>
        <w:rPr/>
      </w:pPr>
      <w:r w:rsidDel="00000000" w:rsidR="00000000" w:rsidRPr="00000000">
        <w:rPr/>
        <w:drawing>
          <wp:inline distB="114300" distT="114300" distL="114300" distR="114300">
            <wp:extent cx="4690796" cy="4706302"/>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1"/>
        <w:spacing w:after="0" w:before="0" w:line="240" w:lineRule="auto"/>
        <w:ind w:left="0"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F">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80">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1">
      <w:pPr>
        <w:pStyle w:val="Heading3"/>
        <w:keepNext w:val="1"/>
        <w:spacing w:after="120" w:before="240" w:lineRule="auto"/>
        <w:ind w:firstLine="0"/>
        <w:jc w:val="left"/>
        <w:rPr/>
      </w:pPr>
      <w:bookmarkStart w:colFirst="0" w:colLast="0" w:name="_meybu3i0zoza" w:id="2"/>
      <w:bookmarkEnd w:id="2"/>
      <w:r w:rsidDel="00000000" w:rsidR="00000000" w:rsidRPr="00000000">
        <w:rPr>
          <w:rtl w:val="0"/>
        </w:rPr>
        <w:t xml:space="preserve">2.2.2 Formas externas das fácies sísmicas</w:t>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3">
      <w:pPr>
        <w:spacing w:after="0" w:before="0" w:line="360" w:lineRule="auto"/>
        <w:ind w:firstLine="709"/>
        <w:jc w:val="both"/>
        <w:rPr/>
      </w:pPr>
      <w:r w:rsidDel="00000000" w:rsidR="00000000" w:rsidRPr="00000000">
        <w:rPr>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4">
      <w:pPr>
        <w:keepNext w:val="1"/>
        <w:spacing w:after="60" w:before="120" w:line="240" w:lineRule="auto"/>
        <w:ind w:left="0" w:firstLine="0"/>
        <w:jc w:val="center"/>
        <w:rPr/>
      </w:pPr>
      <w:r w:rsidDel="00000000" w:rsidR="00000000" w:rsidRPr="00000000">
        <w:rPr/>
        <w:drawing>
          <wp:inline distB="114300" distT="114300" distL="114300" distR="114300">
            <wp:extent cx="5759775" cy="1295400"/>
            <wp:effectExtent b="0" l="0" r="0" t="0"/>
            <wp:docPr id="1"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spacing w:after="0" w:before="0" w:line="240" w:lineRule="auto"/>
        <w:ind w:left="0"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6">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7">
      <w:pPr>
        <w:spacing w:after="0" w:before="0" w:line="360" w:lineRule="auto"/>
        <w:ind w:firstLine="709"/>
        <w:jc w:val="both"/>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8">
      <w:pPr>
        <w:keepNext w:val="1"/>
        <w:spacing w:after="60" w:before="120" w:line="240" w:lineRule="auto"/>
        <w:ind w:left="0" w:firstLine="0"/>
        <w:jc w:val="center"/>
        <w:rPr/>
      </w:pPr>
      <w:r w:rsidDel="00000000" w:rsidR="00000000" w:rsidRPr="00000000">
        <w:rPr/>
        <w:drawing>
          <wp:inline distB="114300" distT="114300" distL="114300" distR="114300">
            <wp:extent cx="5444561" cy="2798774"/>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1"/>
        <w:spacing w:after="0" w:before="0" w:line="240" w:lineRule="auto"/>
        <w:ind w:left="0"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A">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B">
      <w:pPr>
        <w:pStyle w:val="Heading2"/>
        <w:jc w:val="left"/>
        <w:rPr>
          <w:b w:val="0"/>
          <w:bCs w:val="0"/>
        </w:rPr>
      </w:pPr>
      <w:bookmarkStart w:colFirst="0" w:colLast="0" w:name="_pfgfl1mim8bb" w:id="3"/>
      <w:bookmarkEnd w:id="3"/>
      <w:r w:rsidDel="00000000" w:rsidR="00000000" w:rsidRPr="00000000">
        <w:rPr>
          <w:b w:val="0"/>
          <w:bCs w:val="0"/>
          <w:rtl w:val="0"/>
        </w:rPr>
        <w:t xml:space="preserve">2.3 Movimentos de massa submarinos</w:t>
      </w:r>
    </w:p>
    <w:p w:rsidR="00000000" w:rsidDel="00000000" w:rsidP="00000000" w:rsidRDefault="00000000" w:rsidRPr="00000000" w14:paraId="0000008C">
      <w:pPr>
        <w:spacing w:after="120" w:line="360" w:lineRule="auto"/>
        <w:ind w:left="0" w:firstLine="709"/>
        <w:jc w:val="both"/>
        <w:rPr/>
      </w:pPr>
      <w:r w:rsidDel="00000000" w:rsidR="00000000" w:rsidRPr="00000000">
        <w:rPr>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8D">
      <w:pPr>
        <w:spacing w:after="120" w:line="360" w:lineRule="auto"/>
        <w:ind w:left="0" w:firstLine="709"/>
        <w:jc w:val="both"/>
        <w:rPr/>
      </w:pPr>
      <w:r w:rsidDel="00000000" w:rsidR="00000000" w:rsidRPr="00000000">
        <w:rPr>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rtl w:val="0"/>
        </w:rPr>
        <w:t xml:space="preserve">sediment bypassing</w:t>
      </w:r>
      <w:r w:rsidDel="00000000" w:rsidR="00000000" w:rsidRPr="00000000">
        <w:rPr>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rtl w:val="0"/>
        </w:rPr>
        <w:t xml:space="preserve">et al</w:t>
      </w:r>
      <w:r w:rsidDel="00000000" w:rsidR="00000000" w:rsidRPr="00000000">
        <w:rPr>
          <w:rtl w:val="0"/>
        </w:rPr>
        <w:t xml:space="preserve">., 1996; Talling </w:t>
      </w:r>
      <w:r w:rsidDel="00000000" w:rsidR="00000000" w:rsidRPr="00000000">
        <w:rPr>
          <w:i w:val="1"/>
          <w:iCs w:val="1"/>
          <w:rtl w:val="0"/>
        </w:rPr>
        <w:t xml:space="preserve">et al</w:t>
      </w:r>
      <w:r w:rsidDel="00000000" w:rsidR="00000000" w:rsidRPr="00000000">
        <w:rPr>
          <w:rtl w:val="0"/>
        </w:rPr>
        <w:t xml:space="preserve">., 2014). </w:t>
      </w:r>
    </w:p>
    <w:p w:rsidR="00000000" w:rsidDel="00000000" w:rsidP="00000000" w:rsidRDefault="00000000" w:rsidRPr="00000000" w14:paraId="0000008E">
      <w:pPr>
        <w:spacing w:after="120" w:line="360" w:lineRule="auto"/>
        <w:ind w:left="0" w:firstLine="709"/>
        <w:jc w:val="both"/>
        <w:rPr/>
      </w:pPr>
      <w:r w:rsidDel="00000000" w:rsidR="00000000" w:rsidRPr="00000000">
        <w:rPr>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8F">
      <w:pPr>
        <w:spacing w:after="120" w:before="0" w:line="240" w:lineRule="auto"/>
        <w:ind w:left="0" w:firstLine="0"/>
        <w:jc w:val="center"/>
        <w:rPr/>
      </w:pPr>
      <w:r w:rsidDel="00000000" w:rsidR="00000000" w:rsidRPr="00000000">
        <w:rPr/>
        <w:drawing>
          <wp:inline distB="114300" distT="114300" distL="114300" distR="114300">
            <wp:extent cx="5344478" cy="4946954"/>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20" w:before="0" w:line="240" w:lineRule="auto"/>
        <w:ind w:left="0" w:firstLine="0"/>
        <w:jc w:val="center"/>
        <w:rPr>
          <w:sz w:val="20"/>
          <w:szCs w:val="20"/>
        </w:rPr>
      </w:pPr>
      <w:r w:rsidDel="00000000" w:rsidR="00000000" w:rsidRPr="00000000">
        <w:rPr>
          <w:sz w:val="20"/>
          <w:szCs w:val="20"/>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1">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Posamentier &amp; Martinsen (2011).</w:t>
      </w:r>
    </w:p>
    <w:p w:rsidR="00000000" w:rsidDel="00000000" w:rsidP="00000000" w:rsidRDefault="00000000" w:rsidRPr="00000000" w14:paraId="00000092">
      <w:pPr>
        <w:spacing w:after="120" w:line="360" w:lineRule="auto"/>
        <w:ind w:left="0" w:firstLine="709"/>
        <w:jc w:val="both"/>
        <w:rPr/>
      </w:pPr>
      <w:r w:rsidDel="00000000" w:rsidR="00000000" w:rsidRPr="00000000">
        <w:rPr>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3">
      <w:pPr>
        <w:spacing w:after="120" w:line="360" w:lineRule="auto"/>
        <w:ind w:left="0" w:firstLine="709"/>
        <w:jc w:val="both"/>
        <w:rPr/>
      </w:pPr>
      <w:r w:rsidDel="00000000" w:rsidR="00000000" w:rsidRPr="00000000">
        <w:rPr>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4">
      <w:pPr>
        <w:spacing w:after="120" w:line="360" w:lineRule="auto"/>
        <w:ind w:left="0" w:firstLine="709"/>
        <w:jc w:val="both"/>
        <w:rPr/>
      </w:pPr>
      <w:r w:rsidDel="00000000" w:rsidR="00000000" w:rsidRPr="00000000">
        <w:rPr>
          <w:rtl w:val="0"/>
        </w:rPr>
        <w:t xml:space="preserve">Nesse contexto, é necessário diferenciar o movimento de massa do produto sedimentar resultante. O termo depósito de transporte de massa, ou </w:t>
      </w:r>
      <w:r w:rsidDel="00000000" w:rsidR="00000000" w:rsidRPr="00000000">
        <w:rPr>
          <w:i w:val="1"/>
          <w:iCs w:val="1"/>
          <w:rtl w:val="0"/>
        </w:rPr>
        <w:t xml:space="preserve">mass-transport deposit</w:t>
      </w:r>
      <w:r w:rsidDel="00000000" w:rsidR="00000000" w:rsidRPr="00000000">
        <w:rPr>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rtl w:val="0"/>
        </w:rPr>
        <w:t xml:space="preserve">en masse</w:t>
      </w:r>
      <w:r w:rsidDel="00000000" w:rsidR="00000000" w:rsidRPr="00000000">
        <w:rPr>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5">
      <w:pPr>
        <w:spacing w:after="120" w:line="360" w:lineRule="auto"/>
        <w:ind w:left="0" w:firstLine="709"/>
        <w:jc w:val="both"/>
        <w:rPr/>
      </w:pPr>
      <w:r w:rsidDel="00000000" w:rsidR="00000000" w:rsidRPr="00000000">
        <w:rPr>
          <w:rtl w:val="0"/>
        </w:rPr>
        <w:t xml:space="preserve">A distinção entre os termos MTD e complexo de transporte de massa, ou </w:t>
      </w:r>
      <w:r w:rsidDel="00000000" w:rsidR="00000000" w:rsidRPr="00000000">
        <w:rPr>
          <w:i w:val="1"/>
          <w:iCs w:val="1"/>
          <w:rtl w:val="0"/>
        </w:rPr>
        <w:t xml:space="preserve">mass-transport complex</w:t>
      </w:r>
      <w:r w:rsidDel="00000000" w:rsidR="00000000" w:rsidRPr="00000000">
        <w:rPr>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6">
      <w:pPr>
        <w:spacing w:after="120" w:line="360" w:lineRule="auto"/>
        <w:ind w:left="0" w:firstLine="709"/>
        <w:jc w:val="both"/>
        <w:rPr/>
      </w:pPr>
      <w:r w:rsidDel="00000000" w:rsidR="00000000" w:rsidRPr="00000000">
        <w:rPr>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7">
      <w:pPr>
        <w:pStyle w:val="Heading3"/>
        <w:jc w:val="left"/>
        <w:rPr>
          <w:b w:val="0"/>
          <w:bCs w:val="0"/>
        </w:rPr>
      </w:pPr>
      <w:bookmarkStart w:colFirst="0" w:colLast="0" w:name="_a2mvyzh9o22m" w:id="4"/>
      <w:bookmarkEnd w:id="4"/>
      <w:r w:rsidDel="00000000" w:rsidR="00000000" w:rsidRPr="00000000">
        <w:rPr>
          <w:b w:val="0"/>
          <w:bCs w:val="0"/>
          <w:rtl w:val="0"/>
        </w:rPr>
        <w:t xml:space="preserve">2.3.1 Mecanismos de ruptura</w:t>
      </w:r>
    </w:p>
    <w:p w:rsidR="00000000" w:rsidDel="00000000" w:rsidP="00000000" w:rsidRDefault="00000000" w:rsidRPr="00000000" w14:paraId="00000098">
      <w:pPr>
        <w:spacing w:after="120" w:line="360" w:lineRule="auto"/>
        <w:ind w:left="0" w:firstLine="709"/>
        <w:jc w:val="both"/>
        <w:rPr/>
      </w:pPr>
      <w:r w:rsidDel="00000000" w:rsidR="00000000" w:rsidRPr="00000000">
        <w:rPr>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9">
      <w:pPr>
        <w:pStyle w:val="Heading4"/>
        <w:jc w:val="left"/>
        <w:rPr>
          <w:rFonts w:ascii="Times New Roman" w:cs="Times New Roman" w:eastAsia="Times New Roman" w:hAnsi="Times New Roman"/>
          <w:b w:val="0"/>
          <w:bCs w:val="0"/>
        </w:rPr>
      </w:pPr>
      <w:bookmarkStart w:colFirst="0" w:colLast="0" w:name="_s033fpnlnvlq" w:id="5"/>
      <w:bookmarkEnd w:id="5"/>
      <w:r w:rsidDel="00000000" w:rsidR="00000000" w:rsidRPr="00000000">
        <w:rPr>
          <w:rFonts w:ascii="Times New Roman" w:cs="Times New Roman" w:eastAsia="Times New Roman" w:hAnsi="Times New Roman"/>
          <w:b w:val="0"/>
          <w:bCs w:val="0"/>
          <w:rtl w:val="0"/>
        </w:rPr>
        <w:t xml:space="preserve">Fator de segurança</w:t>
      </w:r>
    </w:p>
    <w:p w:rsidR="00000000" w:rsidDel="00000000" w:rsidP="00000000" w:rsidRDefault="00000000" w:rsidRPr="00000000" w14:paraId="0000009A">
      <w:pPr>
        <w:spacing w:after="120" w:line="360" w:lineRule="auto"/>
        <w:ind w:left="0" w:firstLine="709"/>
        <w:jc w:val="both"/>
        <w:rPr/>
      </w:pPr>
      <w:r w:rsidDel="00000000" w:rsidR="00000000" w:rsidRPr="00000000">
        <w:rPr>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B">
      <w:pPr>
        <w:spacing w:after="120" w:before="120" w:line="360" w:lineRule="auto"/>
        <w:ind w:left="0" w:firstLine="0"/>
        <w:jc w:val="center"/>
        <w:rPr/>
      </w:pPr>
      <w:r w:rsidDel="00000000" w:rsidR="00000000" w:rsidRPr="00000000">
        <w:rPr>
          <w:rtl w:val="0"/>
        </w:rPr>
        <w:t xml:space="preserve">FS = τf / τm    (1)</w:t>
      </w:r>
    </w:p>
    <w:p w:rsidR="00000000" w:rsidDel="00000000" w:rsidP="00000000" w:rsidRDefault="00000000" w:rsidRPr="00000000" w14:paraId="0000009C">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9D">
      <w:pPr>
        <w:numPr>
          <w:ilvl w:val="0"/>
          <w:numId w:val="4"/>
        </w:numPr>
        <w:spacing w:after="120" w:line="360" w:lineRule="auto"/>
        <w:ind w:left="0" w:firstLine="709"/>
        <w:jc w:val="both"/>
        <w:rPr/>
      </w:pPr>
      <w:r w:rsidDel="00000000" w:rsidR="00000000" w:rsidRPr="00000000">
        <w:rPr>
          <w:rtl w:val="0"/>
        </w:rPr>
        <w:t xml:space="preserve">FS é o fator de segurança;</w:t>
      </w:r>
    </w:p>
    <w:p w:rsidR="00000000" w:rsidDel="00000000" w:rsidP="00000000" w:rsidRDefault="00000000" w:rsidRPr="00000000" w14:paraId="0000009E">
      <w:pPr>
        <w:numPr>
          <w:ilvl w:val="0"/>
          <w:numId w:val="4"/>
        </w:numPr>
        <w:spacing w:after="120" w:line="360" w:lineRule="auto"/>
        <w:ind w:left="0" w:firstLine="709"/>
        <w:jc w:val="both"/>
        <w:rPr/>
      </w:pPr>
      <w:r w:rsidDel="00000000" w:rsidR="00000000" w:rsidRPr="00000000">
        <w:rPr>
          <w:rtl w:val="0"/>
        </w:rPr>
        <w:t xml:space="preserve">τf é a resistência ao cisalhamento do material;</w:t>
      </w:r>
    </w:p>
    <w:p w:rsidR="00000000" w:rsidDel="00000000" w:rsidP="00000000" w:rsidRDefault="00000000" w:rsidRPr="00000000" w14:paraId="0000009F">
      <w:pPr>
        <w:numPr>
          <w:ilvl w:val="0"/>
          <w:numId w:val="4"/>
        </w:numPr>
        <w:spacing w:after="120" w:line="360" w:lineRule="auto"/>
        <w:ind w:left="0" w:firstLine="709"/>
        <w:jc w:val="both"/>
        <w:rPr/>
      </w:pPr>
      <w:r w:rsidDel="00000000" w:rsidR="00000000" w:rsidRPr="00000000">
        <w:rPr>
          <w:rtl w:val="0"/>
        </w:rPr>
        <w:t xml:space="preserve">τm é a tensão cisalhante mobilizada ao longo da superfície potencial de ruptura.</w:t>
      </w:r>
    </w:p>
    <w:p w:rsidR="00000000" w:rsidDel="00000000" w:rsidP="00000000" w:rsidRDefault="00000000" w:rsidRPr="00000000" w14:paraId="000000A0">
      <w:pPr>
        <w:spacing w:after="120" w:line="360" w:lineRule="auto"/>
        <w:ind w:left="0" w:firstLine="709"/>
        <w:jc w:val="both"/>
        <w:rPr/>
      </w:pPr>
      <w:r w:rsidDel="00000000" w:rsidR="00000000" w:rsidRPr="00000000">
        <w:rPr>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1">
      <w:pPr>
        <w:pStyle w:val="Heading4"/>
        <w:jc w:val="left"/>
        <w:rPr>
          <w:rFonts w:ascii="Times New Roman" w:cs="Times New Roman" w:eastAsia="Times New Roman" w:hAnsi="Times New Roman"/>
          <w:b w:val="0"/>
          <w:bCs w:val="0"/>
        </w:rPr>
      </w:pPr>
      <w:bookmarkStart w:colFirst="0" w:colLast="0" w:name="_m5qkttbybalp" w:id="6"/>
      <w:bookmarkEnd w:id="6"/>
      <w:r w:rsidDel="00000000" w:rsidR="00000000" w:rsidRPr="00000000">
        <w:rPr>
          <w:rFonts w:ascii="Times New Roman" w:cs="Times New Roman" w:eastAsia="Times New Roman" w:hAnsi="Times New Roman"/>
          <w:b w:val="0"/>
          <w:bCs w:val="0"/>
          <w:rtl w:val="0"/>
        </w:rPr>
        <w:t xml:space="preserve">Critério de ruptura de Mohr-Coulomb</w:t>
      </w:r>
    </w:p>
    <w:p w:rsidR="00000000" w:rsidDel="00000000" w:rsidP="00000000" w:rsidRDefault="00000000" w:rsidRPr="00000000" w14:paraId="000000A2">
      <w:pPr>
        <w:spacing w:after="120" w:line="360" w:lineRule="auto"/>
        <w:ind w:left="0" w:firstLine="709"/>
        <w:jc w:val="both"/>
        <w:rPr/>
      </w:pPr>
      <w:r w:rsidDel="00000000" w:rsidR="00000000" w:rsidRPr="00000000">
        <w:rPr>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3">
      <w:pPr>
        <w:spacing w:after="120" w:before="120" w:line="360" w:lineRule="auto"/>
        <w:ind w:left="0" w:firstLine="0"/>
        <w:jc w:val="center"/>
        <w:rPr/>
      </w:pPr>
      <w:r w:rsidDel="00000000" w:rsidR="00000000" w:rsidRPr="00000000">
        <w:rPr>
          <w:rtl w:val="0"/>
        </w:rPr>
        <w:t xml:space="preserve">τf = c′ + σ′n tan φ′    (2)</w:t>
      </w:r>
    </w:p>
    <w:p w:rsidR="00000000" w:rsidDel="00000000" w:rsidP="00000000" w:rsidRDefault="00000000" w:rsidRPr="00000000" w14:paraId="000000A4">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A5">
      <w:pPr>
        <w:numPr>
          <w:ilvl w:val="0"/>
          <w:numId w:val="1"/>
        </w:numPr>
        <w:spacing w:after="120" w:line="360" w:lineRule="auto"/>
        <w:ind w:left="0" w:firstLine="709"/>
        <w:jc w:val="both"/>
        <w:rPr/>
      </w:pPr>
      <w:r w:rsidDel="00000000" w:rsidR="00000000" w:rsidRPr="00000000">
        <w:rPr>
          <w:rtl w:val="0"/>
        </w:rPr>
        <w:t xml:space="preserve">τf é a resistência ao cisalhamento;</w:t>
      </w:r>
    </w:p>
    <w:p w:rsidR="00000000" w:rsidDel="00000000" w:rsidP="00000000" w:rsidRDefault="00000000" w:rsidRPr="00000000" w14:paraId="000000A6">
      <w:pPr>
        <w:numPr>
          <w:ilvl w:val="0"/>
          <w:numId w:val="1"/>
        </w:numPr>
        <w:spacing w:after="120" w:line="360" w:lineRule="auto"/>
        <w:ind w:left="0" w:firstLine="709"/>
        <w:jc w:val="both"/>
        <w:rPr/>
      </w:pPr>
      <w:r w:rsidDel="00000000" w:rsidR="00000000" w:rsidRPr="00000000">
        <w:rPr>
          <w:rtl w:val="0"/>
        </w:rPr>
        <w:t xml:space="preserve">c′ é a coesão efetiva do material;</w:t>
      </w:r>
    </w:p>
    <w:p w:rsidR="00000000" w:rsidDel="00000000" w:rsidP="00000000" w:rsidRDefault="00000000" w:rsidRPr="00000000" w14:paraId="000000A7">
      <w:pPr>
        <w:numPr>
          <w:ilvl w:val="0"/>
          <w:numId w:val="1"/>
        </w:numPr>
        <w:spacing w:after="120" w:line="360" w:lineRule="auto"/>
        <w:ind w:left="0" w:firstLine="709"/>
        <w:jc w:val="both"/>
        <w:rPr/>
      </w:pPr>
      <w:r w:rsidDel="00000000" w:rsidR="00000000" w:rsidRPr="00000000">
        <w:rPr>
          <w:rtl w:val="0"/>
        </w:rPr>
        <w:t xml:space="preserve">σ′n é a tensão normal efetiva atuante sobre a superfície de ruptura;</w:t>
      </w:r>
    </w:p>
    <w:p w:rsidR="00000000" w:rsidDel="00000000" w:rsidP="00000000" w:rsidRDefault="00000000" w:rsidRPr="00000000" w14:paraId="000000A8">
      <w:pPr>
        <w:numPr>
          <w:ilvl w:val="0"/>
          <w:numId w:val="1"/>
        </w:numPr>
        <w:spacing w:after="120" w:line="360" w:lineRule="auto"/>
        <w:ind w:left="0" w:firstLine="709"/>
        <w:jc w:val="both"/>
        <w:rPr/>
      </w:pPr>
      <w:r w:rsidDel="00000000" w:rsidR="00000000" w:rsidRPr="00000000">
        <w:rPr>
          <w:rtl w:val="0"/>
        </w:rPr>
        <w:t xml:space="preserve">φ′ é o ângulo de atrito interno efetivo;</w:t>
      </w:r>
    </w:p>
    <w:p w:rsidR="00000000" w:rsidDel="00000000" w:rsidP="00000000" w:rsidRDefault="00000000" w:rsidRPr="00000000" w14:paraId="000000A9">
      <w:pPr>
        <w:numPr>
          <w:ilvl w:val="0"/>
          <w:numId w:val="1"/>
        </w:numPr>
        <w:spacing w:after="120" w:line="360" w:lineRule="auto"/>
        <w:ind w:left="0" w:firstLine="709"/>
        <w:jc w:val="both"/>
        <w:rPr/>
      </w:pPr>
      <w:r w:rsidDel="00000000" w:rsidR="00000000" w:rsidRPr="00000000">
        <w:rPr>
          <w:rtl w:val="0"/>
        </w:rPr>
        <w:t xml:space="preserve">tan φ′ representa o coeficiente de atrito interno.</w:t>
      </w:r>
    </w:p>
    <w:p w:rsidR="00000000" w:rsidDel="00000000" w:rsidP="00000000" w:rsidRDefault="00000000" w:rsidRPr="00000000" w14:paraId="000000AA">
      <w:pPr>
        <w:spacing w:after="120" w:line="360" w:lineRule="auto"/>
        <w:ind w:left="0" w:firstLine="709"/>
        <w:jc w:val="both"/>
        <w:rPr/>
      </w:pPr>
      <w:r w:rsidDel="00000000" w:rsidR="00000000" w:rsidRPr="00000000">
        <w:rPr>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B">
      <w:pPr>
        <w:pStyle w:val="Heading4"/>
        <w:jc w:val="left"/>
        <w:rPr>
          <w:rFonts w:ascii="Times New Roman" w:cs="Times New Roman" w:eastAsia="Times New Roman" w:hAnsi="Times New Roman"/>
          <w:b w:val="0"/>
          <w:bCs w:val="0"/>
        </w:rPr>
      </w:pPr>
      <w:bookmarkStart w:colFirst="0" w:colLast="0" w:name="_o97v7vltv7hk" w:id="7"/>
      <w:bookmarkEnd w:id="7"/>
      <w:r w:rsidDel="00000000" w:rsidR="00000000" w:rsidRPr="00000000">
        <w:rPr>
          <w:rFonts w:ascii="Times New Roman" w:cs="Times New Roman" w:eastAsia="Times New Roman" w:hAnsi="Times New Roman"/>
          <w:b w:val="0"/>
          <w:bCs w:val="0"/>
          <w:rtl w:val="0"/>
        </w:rPr>
        <w:t xml:space="preserve">Tensão efetiva e poropressão</w:t>
      </w:r>
    </w:p>
    <w:p w:rsidR="00000000" w:rsidDel="00000000" w:rsidP="00000000" w:rsidRDefault="00000000" w:rsidRPr="00000000" w14:paraId="000000AC">
      <w:pPr>
        <w:spacing w:after="120" w:line="360" w:lineRule="auto"/>
        <w:ind w:left="0" w:firstLine="709"/>
        <w:jc w:val="both"/>
        <w:rPr/>
      </w:pPr>
      <w:r w:rsidDel="00000000" w:rsidR="00000000" w:rsidRPr="00000000">
        <w:rPr>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p>
    <w:p w:rsidR="00000000" w:rsidDel="00000000" w:rsidP="00000000" w:rsidRDefault="00000000" w:rsidRPr="00000000" w14:paraId="000000AD">
      <w:pPr>
        <w:spacing w:after="120" w:before="120" w:line="360" w:lineRule="auto"/>
        <w:ind w:left="0" w:firstLine="0"/>
        <w:jc w:val="center"/>
        <w:rPr/>
      </w:pPr>
      <w:r w:rsidDel="00000000" w:rsidR="00000000" w:rsidRPr="00000000">
        <w:rPr>
          <w:rFonts w:ascii="Cardo" w:cs="Cardo" w:eastAsia="Cardo" w:hAnsi="Cardo"/>
          <w:rtl w:val="0"/>
        </w:rPr>
        <w:t xml:space="preserve">σ′n = σn − u    (3)</w:t>
      </w:r>
    </w:p>
    <w:p w:rsidR="00000000" w:rsidDel="00000000" w:rsidP="00000000" w:rsidRDefault="00000000" w:rsidRPr="00000000" w14:paraId="000000AE">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AF">
      <w:pPr>
        <w:numPr>
          <w:ilvl w:val="0"/>
          <w:numId w:val="2"/>
        </w:numPr>
        <w:spacing w:after="120" w:line="360" w:lineRule="auto"/>
        <w:ind w:left="0" w:firstLine="709"/>
        <w:jc w:val="both"/>
        <w:rPr/>
      </w:pPr>
      <w:r w:rsidDel="00000000" w:rsidR="00000000" w:rsidRPr="00000000">
        <w:rPr>
          <w:rtl w:val="0"/>
        </w:rPr>
        <w:t xml:space="preserve">σ′n é a tensão normal efetiva;</w:t>
      </w:r>
    </w:p>
    <w:p w:rsidR="00000000" w:rsidDel="00000000" w:rsidP="00000000" w:rsidRDefault="00000000" w:rsidRPr="00000000" w14:paraId="000000B0">
      <w:pPr>
        <w:numPr>
          <w:ilvl w:val="0"/>
          <w:numId w:val="2"/>
        </w:numPr>
        <w:spacing w:after="120" w:line="360" w:lineRule="auto"/>
        <w:ind w:left="0" w:firstLine="709"/>
        <w:jc w:val="both"/>
        <w:rPr/>
      </w:pPr>
      <w:r w:rsidDel="00000000" w:rsidR="00000000" w:rsidRPr="00000000">
        <w:rPr>
          <w:rtl w:val="0"/>
        </w:rPr>
        <w:t xml:space="preserve">σn é a tensão normal total;</w:t>
      </w:r>
    </w:p>
    <w:p w:rsidR="00000000" w:rsidDel="00000000" w:rsidP="00000000" w:rsidRDefault="00000000" w:rsidRPr="00000000" w14:paraId="000000B1">
      <w:pPr>
        <w:numPr>
          <w:ilvl w:val="0"/>
          <w:numId w:val="2"/>
        </w:numPr>
        <w:spacing w:after="120" w:line="360" w:lineRule="auto"/>
        <w:ind w:left="0" w:firstLine="709"/>
        <w:jc w:val="both"/>
        <w:rPr/>
      </w:pPr>
      <w:r w:rsidDel="00000000" w:rsidR="00000000" w:rsidRPr="00000000">
        <w:rPr>
          <w:rtl w:val="0"/>
        </w:rPr>
        <w:t xml:space="preserve">u é a pressão do fluido nos poros, ou poropressão.</w:t>
      </w:r>
    </w:p>
    <w:p w:rsidR="00000000" w:rsidDel="00000000" w:rsidP="00000000" w:rsidRDefault="00000000" w:rsidRPr="00000000" w14:paraId="000000B2">
      <w:pPr>
        <w:spacing w:after="120" w:line="360" w:lineRule="auto"/>
        <w:ind w:left="0" w:firstLine="709"/>
        <w:jc w:val="both"/>
        <w:rPr/>
      </w:pPr>
      <w:r w:rsidDel="00000000" w:rsidR="00000000" w:rsidRPr="00000000">
        <w:rPr>
          <w:rtl w:val="0"/>
        </w:rPr>
        <w:t xml:space="preserve">Substituindo a Equação 3 no critério de Mohr-Coulomb, obtém-se:</w:t>
      </w:r>
    </w:p>
    <w:p w:rsidR="00000000" w:rsidDel="00000000" w:rsidP="00000000" w:rsidRDefault="00000000" w:rsidRPr="00000000" w14:paraId="000000B3">
      <w:pPr>
        <w:spacing w:after="120" w:before="120" w:line="360" w:lineRule="auto"/>
        <w:ind w:left="0" w:firstLine="0"/>
        <w:jc w:val="center"/>
        <w:rPr/>
      </w:pPr>
      <w:r w:rsidDel="00000000" w:rsidR="00000000" w:rsidRPr="00000000">
        <w:rPr>
          <w:rFonts w:ascii="Cardo" w:cs="Cardo" w:eastAsia="Cardo" w:hAnsi="Cardo"/>
          <w:rtl w:val="0"/>
        </w:rPr>
        <w:t xml:space="preserve">τf = c′ + (σn − u) tan φ′    (4)</w:t>
      </w:r>
    </w:p>
    <w:p w:rsidR="00000000" w:rsidDel="00000000" w:rsidP="00000000" w:rsidRDefault="00000000" w:rsidRPr="00000000" w14:paraId="000000B4">
      <w:pPr>
        <w:spacing w:after="120" w:line="360" w:lineRule="auto"/>
        <w:ind w:left="0" w:firstLine="709"/>
        <w:jc w:val="both"/>
        <w:rPr/>
      </w:pPr>
      <w:r w:rsidDel="00000000" w:rsidR="00000000" w:rsidRPr="00000000">
        <w:rPr>
          <w:rtl w:val="0"/>
        </w:rPr>
        <w:t xml:space="preserve">Com isso, o fator de segurança pode ser representado de forma simplificada por:</w:t>
      </w:r>
    </w:p>
    <w:p w:rsidR="00000000" w:rsidDel="00000000" w:rsidP="00000000" w:rsidRDefault="00000000" w:rsidRPr="00000000" w14:paraId="000000B5">
      <w:pPr>
        <w:spacing w:after="120" w:before="120" w:line="360" w:lineRule="auto"/>
        <w:ind w:left="0" w:firstLine="0"/>
        <w:jc w:val="center"/>
        <w:rPr/>
      </w:pPr>
      <w:r w:rsidDel="00000000" w:rsidR="00000000" w:rsidRPr="00000000">
        <w:rPr>
          <w:rFonts w:ascii="Cardo" w:cs="Cardo" w:eastAsia="Cardo" w:hAnsi="Cardo"/>
          <w:rtl w:val="0"/>
        </w:rPr>
        <w:t xml:space="preserve">FS = [c′ + (σn − u) tan φ′] / τm    (5)</w:t>
      </w:r>
    </w:p>
    <w:p w:rsidR="00000000" w:rsidDel="00000000" w:rsidP="00000000" w:rsidRDefault="00000000" w:rsidRPr="00000000" w14:paraId="000000B6">
      <w:pPr>
        <w:spacing w:after="120" w:line="360" w:lineRule="auto"/>
        <w:ind w:left="0" w:firstLine="709"/>
        <w:jc w:val="both"/>
        <w:rPr/>
      </w:pPr>
      <w:r w:rsidDel="00000000" w:rsidR="00000000" w:rsidRPr="00000000">
        <w:rPr>
          <w:rtl w:val="0"/>
        </w:rPr>
        <w:t xml:space="preserve">As equações mostram que o aumento da poropressão reduz a tensão efetiva e, consequentemente, a resistência ao cisalhamento. Quando a poropressão se aproxima da tensão normal total, a tensão efetiva tende a valores muito baixos e o sedimento perde grande parte de sua resistência. Nessas condições, mesmo um pequeno aumento da tensão cisalhante pode provocar a ruptura. Por essa razão, o excesso de poropressão é considerado um dos principais elementos envolvidos na instabilidade dos taludes submarinos (Hampton et al., 1996; Talling et al., 2014).</w:t>
      </w:r>
    </w:p>
    <w:p w:rsidR="00000000" w:rsidDel="00000000" w:rsidP="00000000" w:rsidRDefault="00000000" w:rsidRPr="00000000" w14:paraId="000000B7">
      <w:pPr>
        <w:pStyle w:val="Heading4"/>
        <w:jc w:val="left"/>
        <w:rPr>
          <w:rFonts w:ascii="Times New Roman" w:cs="Times New Roman" w:eastAsia="Times New Roman" w:hAnsi="Times New Roman"/>
          <w:b w:val="0"/>
          <w:bCs w:val="0"/>
        </w:rPr>
      </w:pPr>
      <w:bookmarkStart w:colFirst="0" w:colLast="0" w:name="_ighlknxj0qpm" w:id="8"/>
      <w:bookmarkEnd w:id="8"/>
      <w:r w:rsidDel="00000000" w:rsidR="00000000" w:rsidRPr="00000000">
        <w:rPr>
          <w:rFonts w:ascii="Times New Roman" w:cs="Times New Roman" w:eastAsia="Times New Roman" w:hAnsi="Times New Roman"/>
          <w:b w:val="0"/>
          <w:bCs w:val="0"/>
          <w:rtl w:val="0"/>
        </w:rPr>
        <w:t xml:space="preserve">2.3.1.1 Fatores condicionantes e mecanismos de gatilho </w:t>
      </w:r>
    </w:p>
    <w:p w:rsidR="00000000" w:rsidDel="00000000" w:rsidP="00000000" w:rsidRDefault="00000000" w:rsidRPr="00000000" w14:paraId="000000B8">
      <w:pPr>
        <w:spacing w:after="120" w:line="360" w:lineRule="auto"/>
        <w:ind w:left="0" w:firstLine="709"/>
        <w:jc w:val="both"/>
        <w:rPr/>
      </w:pPr>
      <w:r w:rsidDel="00000000" w:rsidR="00000000" w:rsidRPr="00000000">
        <w:rPr>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9">
      <w:pPr>
        <w:spacing w:after="120" w:line="360" w:lineRule="auto"/>
        <w:ind w:left="0" w:firstLine="709"/>
        <w:jc w:val="both"/>
        <w:rPr/>
      </w:pPr>
      <w:r w:rsidDel="00000000" w:rsidR="00000000" w:rsidRPr="00000000">
        <w:rPr>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A">
      <w:pPr>
        <w:pStyle w:val="Heading4"/>
        <w:jc w:val="left"/>
        <w:rPr>
          <w:rFonts w:ascii="Times New Roman" w:cs="Times New Roman" w:eastAsia="Times New Roman" w:hAnsi="Times New Roman"/>
          <w:b w:val="0"/>
          <w:bCs w:val="0"/>
        </w:rPr>
      </w:pPr>
      <w:bookmarkStart w:colFirst="0" w:colLast="0" w:name="_poexuqct3yzg" w:id="9"/>
      <w:bookmarkEnd w:id="9"/>
      <w:r w:rsidDel="00000000" w:rsidR="00000000" w:rsidRPr="00000000">
        <w:rPr>
          <w:rFonts w:ascii="Times New Roman" w:cs="Times New Roman" w:eastAsia="Times New Roman" w:hAnsi="Times New Roman"/>
          <w:b w:val="0"/>
          <w:bCs w:val="0"/>
          <w:rtl w:val="0"/>
        </w:rPr>
        <w:t xml:space="preserve">Sedimentação rápida</w:t>
      </w:r>
    </w:p>
    <w:p w:rsidR="00000000" w:rsidDel="00000000" w:rsidP="00000000" w:rsidRDefault="00000000" w:rsidRPr="00000000" w14:paraId="000000BB">
      <w:pPr>
        <w:spacing w:after="120" w:line="360" w:lineRule="auto"/>
        <w:ind w:left="0" w:firstLine="709"/>
        <w:jc w:val="both"/>
        <w:rPr/>
      </w:pPr>
      <w:r w:rsidDel="00000000" w:rsidR="00000000" w:rsidRPr="00000000">
        <w:rPr>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BC">
      <w:pPr>
        <w:spacing w:after="120" w:line="360" w:lineRule="auto"/>
        <w:ind w:left="0" w:firstLine="709"/>
        <w:jc w:val="both"/>
        <w:rPr/>
      </w:pPr>
      <w:r w:rsidDel="00000000" w:rsidR="00000000" w:rsidRPr="00000000">
        <w:rPr>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BD">
      <w:pPr>
        <w:pStyle w:val="Heading4"/>
        <w:jc w:val="left"/>
        <w:rPr>
          <w:rFonts w:ascii="Times New Roman" w:cs="Times New Roman" w:eastAsia="Times New Roman" w:hAnsi="Times New Roman"/>
          <w:b w:val="0"/>
          <w:bCs w:val="0"/>
        </w:rPr>
      </w:pPr>
      <w:bookmarkStart w:colFirst="0" w:colLast="0" w:name="_9n80vwatxpxv" w:id="10"/>
      <w:bookmarkEnd w:id="10"/>
      <w:r w:rsidDel="00000000" w:rsidR="00000000" w:rsidRPr="00000000">
        <w:rPr>
          <w:rFonts w:ascii="Times New Roman" w:cs="Times New Roman" w:eastAsia="Times New Roman" w:hAnsi="Times New Roman"/>
          <w:b w:val="0"/>
          <w:bCs w:val="0"/>
          <w:rtl w:val="0"/>
        </w:rPr>
        <w:t xml:space="preserve">Abalos sísmicos</w:t>
      </w:r>
    </w:p>
    <w:p w:rsidR="00000000" w:rsidDel="00000000" w:rsidP="00000000" w:rsidRDefault="00000000" w:rsidRPr="00000000" w14:paraId="000000BE">
      <w:pPr>
        <w:spacing w:after="120" w:line="360" w:lineRule="auto"/>
        <w:ind w:left="0" w:firstLine="709"/>
        <w:jc w:val="both"/>
        <w:rPr/>
      </w:pPr>
      <w:r w:rsidDel="00000000" w:rsidR="00000000" w:rsidRPr="00000000">
        <w:rPr>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BF">
      <w:pPr>
        <w:spacing w:after="120" w:line="360" w:lineRule="auto"/>
        <w:ind w:left="0" w:firstLine="709"/>
        <w:jc w:val="both"/>
        <w:rPr/>
      </w:pPr>
      <w:r w:rsidDel="00000000" w:rsidR="00000000" w:rsidRPr="00000000">
        <w:rPr>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0">
      <w:pPr>
        <w:pStyle w:val="Heading4"/>
        <w:jc w:val="left"/>
        <w:rPr>
          <w:rFonts w:ascii="Times New Roman" w:cs="Times New Roman" w:eastAsia="Times New Roman" w:hAnsi="Times New Roman"/>
          <w:b w:val="0"/>
          <w:bCs w:val="0"/>
        </w:rPr>
      </w:pPr>
      <w:bookmarkStart w:colFirst="0" w:colLast="0" w:name="_31vrup95l38p" w:id="11"/>
      <w:bookmarkEnd w:id="11"/>
      <w:r w:rsidDel="00000000" w:rsidR="00000000" w:rsidRPr="00000000">
        <w:rPr>
          <w:rFonts w:ascii="Times New Roman" w:cs="Times New Roman" w:eastAsia="Times New Roman" w:hAnsi="Times New Roman"/>
          <w:b w:val="0"/>
          <w:bCs w:val="0"/>
          <w:rtl w:val="0"/>
        </w:rPr>
        <w:t xml:space="preserve">Erosão e aumento da inclinação</w:t>
      </w:r>
    </w:p>
    <w:p w:rsidR="00000000" w:rsidDel="00000000" w:rsidP="00000000" w:rsidRDefault="00000000" w:rsidRPr="00000000" w14:paraId="000000C1">
      <w:pPr>
        <w:spacing w:after="120" w:line="360" w:lineRule="auto"/>
        <w:ind w:left="0" w:firstLine="709"/>
        <w:jc w:val="both"/>
        <w:rPr/>
      </w:pPr>
      <w:r w:rsidDel="00000000" w:rsidR="00000000" w:rsidRPr="00000000">
        <w:rPr>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2">
      <w:pPr>
        <w:spacing w:after="120" w:line="360" w:lineRule="auto"/>
        <w:ind w:left="0" w:firstLine="709"/>
        <w:jc w:val="both"/>
        <w:rPr/>
      </w:pPr>
      <w:r w:rsidDel="00000000" w:rsidR="00000000" w:rsidRPr="00000000">
        <w:rPr>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3">
      <w:pPr>
        <w:pStyle w:val="Heading4"/>
        <w:jc w:val="left"/>
        <w:rPr>
          <w:rFonts w:ascii="Times New Roman" w:cs="Times New Roman" w:eastAsia="Times New Roman" w:hAnsi="Times New Roman"/>
          <w:b w:val="0"/>
          <w:bCs w:val="0"/>
        </w:rPr>
      </w:pPr>
      <w:bookmarkStart w:colFirst="0" w:colLast="0" w:name="_fqj3k2wvxmec" w:id="12"/>
      <w:bookmarkEnd w:id="12"/>
      <w:r w:rsidDel="00000000" w:rsidR="00000000" w:rsidRPr="00000000">
        <w:rPr>
          <w:rFonts w:ascii="Times New Roman" w:cs="Times New Roman" w:eastAsia="Times New Roman" w:hAnsi="Times New Roman"/>
          <w:b w:val="0"/>
          <w:bCs w:val="0"/>
          <w:rtl w:val="0"/>
        </w:rPr>
        <w:t xml:space="preserve">Diapirismo e deformação tectônica</w:t>
      </w:r>
    </w:p>
    <w:p w:rsidR="00000000" w:rsidDel="00000000" w:rsidP="00000000" w:rsidRDefault="00000000" w:rsidRPr="00000000" w14:paraId="000000C4">
      <w:pPr>
        <w:spacing w:after="120" w:line="360" w:lineRule="auto"/>
        <w:ind w:left="0" w:firstLine="709"/>
        <w:jc w:val="both"/>
        <w:rPr/>
      </w:pPr>
      <w:r w:rsidDel="00000000" w:rsidR="00000000" w:rsidRPr="00000000">
        <w:rPr>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5">
      <w:pPr>
        <w:spacing w:after="120" w:line="360" w:lineRule="auto"/>
        <w:ind w:left="0" w:firstLine="709"/>
        <w:jc w:val="both"/>
        <w:rPr/>
      </w:pPr>
      <w:r w:rsidDel="00000000" w:rsidR="00000000" w:rsidRPr="00000000">
        <w:rPr>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6">
      <w:pPr>
        <w:pStyle w:val="Heading4"/>
        <w:jc w:val="left"/>
        <w:rPr>
          <w:rFonts w:ascii="Times New Roman" w:cs="Times New Roman" w:eastAsia="Times New Roman" w:hAnsi="Times New Roman"/>
          <w:b w:val="0"/>
          <w:bCs w:val="0"/>
        </w:rPr>
      </w:pPr>
      <w:bookmarkStart w:colFirst="0" w:colLast="0" w:name="_6t4xwbhkdwji" w:id="13"/>
      <w:bookmarkEnd w:id="13"/>
      <w:r w:rsidDel="00000000" w:rsidR="00000000" w:rsidRPr="00000000">
        <w:rPr>
          <w:rFonts w:ascii="Times New Roman" w:cs="Times New Roman" w:eastAsia="Times New Roman" w:hAnsi="Times New Roman"/>
          <w:b w:val="0"/>
          <w:bCs w:val="0"/>
          <w:rtl w:val="0"/>
        </w:rPr>
        <w:t xml:space="preserve">Migração de fluidos e gases</w:t>
      </w:r>
    </w:p>
    <w:p w:rsidR="00000000" w:rsidDel="00000000" w:rsidP="00000000" w:rsidRDefault="00000000" w:rsidRPr="00000000" w14:paraId="000000C7">
      <w:pPr>
        <w:spacing w:after="120" w:line="360" w:lineRule="auto"/>
        <w:ind w:left="0" w:firstLine="709"/>
        <w:jc w:val="both"/>
        <w:rPr/>
      </w:pPr>
      <w:r w:rsidDel="00000000" w:rsidR="00000000" w:rsidRPr="00000000">
        <w:rPr>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8">
      <w:pPr>
        <w:spacing w:after="120" w:line="360" w:lineRule="auto"/>
        <w:ind w:left="0" w:firstLine="709"/>
        <w:jc w:val="both"/>
        <w:rPr/>
      </w:pPr>
      <w:r w:rsidDel="00000000" w:rsidR="00000000" w:rsidRPr="00000000">
        <w:rPr>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9">
      <w:pPr>
        <w:pStyle w:val="Heading4"/>
        <w:jc w:val="left"/>
        <w:rPr>
          <w:rFonts w:ascii="Times New Roman" w:cs="Times New Roman" w:eastAsia="Times New Roman" w:hAnsi="Times New Roman"/>
          <w:b w:val="0"/>
          <w:bCs w:val="0"/>
        </w:rPr>
      </w:pPr>
      <w:bookmarkStart w:colFirst="0" w:colLast="0" w:name="_3nk1e2ooya3z" w:id="14"/>
      <w:bookmarkEnd w:id="14"/>
      <w:r w:rsidDel="00000000" w:rsidR="00000000" w:rsidRPr="00000000">
        <w:rPr>
          <w:rFonts w:ascii="Times New Roman" w:cs="Times New Roman" w:eastAsia="Times New Roman" w:hAnsi="Times New Roman"/>
          <w:b w:val="0"/>
          <w:bCs w:val="0"/>
          <w:rtl w:val="0"/>
        </w:rPr>
        <w:t xml:space="preserve">Dissociação de hidratos de gás</w:t>
      </w:r>
    </w:p>
    <w:p w:rsidR="00000000" w:rsidDel="00000000" w:rsidP="00000000" w:rsidRDefault="00000000" w:rsidRPr="00000000" w14:paraId="000000CA">
      <w:pPr>
        <w:spacing w:after="120" w:line="360" w:lineRule="auto"/>
        <w:ind w:left="0" w:firstLine="709"/>
        <w:jc w:val="both"/>
        <w:rPr/>
      </w:pPr>
      <w:r w:rsidDel="00000000" w:rsidR="00000000" w:rsidRPr="00000000">
        <w:rPr>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B">
      <w:pPr>
        <w:spacing w:after="120" w:line="360" w:lineRule="auto"/>
        <w:ind w:left="0" w:firstLine="709"/>
        <w:jc w:val="both"/>
        <w:rPr/>
      </w:pPr>
      <w:r w:rsidDel="00000000" w:rsidR="00000000" w:rsidRPr="00000000">
        <w:rPr>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CC">
      <w:pPr>
        <w:pStyle w:val="Heading4"/>
        <w:jc w:val="left"/>
        <w:rPr>
          <w:rFonts w:ascii="Times New Roman" w:cs="Times New Roman" w:eastAsia="Times New Roman" w:hAnsi="Times New Roman"/>
          <w:b w:val="0"/>
          <w:bCs w:val="0"/>
        </w:rPr>
      </w:pPr>
      <w:bookmarkStart w:colFirst="0" w:colLast="0" w:name="_2reljg3yjt3t" w:id="15"/>
      <w:bookmarkEnd w:id="15"/>
      <w:r w:rsidDel="00000000" w:rsidR="00000000" w:rsidRPr="00000000">
        <w:rPr>
          <w:rFonts w:ascii="Times New Roman" w:cs="Times New Roman" w:eastAsia="Times New Roman" w:hAnsi="Times New Roman"/>
          <w:b w:val="0"/>
          <w:bCs w:val="0"/>
          <w:rtl w:val="0"/>
        </w:rPr>
        <w:t xml:space="preserve">Ondas e carregamento hidrodinâmico</w:t>
      </w:r>
    </w:p>
    <w:p w:rsidR="00000000" w:rsidDel="00000000" w:rsidP="00000000" w:rsidRDefault="00000000" w:rsidRPr="00000000" w14:paraId="000000CD">
      <w:pPr>
        <w:spacing w:after="120" w:line="360" w:lineRule="auto"/>
        <w:ind w:left="0" w:firstLine="709"/>
        <w:jc w:val="both"/>
        <w:rPr/>
      </w:pPr>
      <w:r w:rsidDel="00000000" w:rsidR="00000000" w:rsidRPr="00000000">
        <w:rPr>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CE">
      <w:pPr>
        <w:spacing w:after="120" w:line="360" w:lineRule="auto"/>
        <w:ind w:left="0" w:firstLine="709"/>
        <w:jc w:val="both"/>
        <w:rPr/>
      </w:pPr>
      <w:r w:rsidDel="00000000" w:rsidR="00000000" w:rsidRPr="00000000">
        <w:rPr>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CF">
      <w:pPr>
        <w:spacing w:after="120" w:line="360" w:lineRule="auto"/>
        <w:ind w:left="0" w:firstLine="709"/>
        <w:jc w:val="both"/>
        <w:rPr/>
      </w:pPr>
      <w:r w:rsidDel="00000000" w:rsidR="00000000" w:rsidRPr="00000000">
        <w:rPr>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0">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1">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2">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3">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4">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5">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6">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7">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8">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9">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DA">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DB">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DC">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2">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5">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EB">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EC">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ED">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EE">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5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2">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4">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5">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6">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8">
      <w:pPr>
        <w:rPr/>
      </w:pPr>
      <w:r w:rsidDel="00000000" w:rsidR="00000000" w:rsidRPr="00000000">
        <w:br w:type="page"/>
      </w:r>
      <w:r w:rsidDel="00000000" w:rsidR="00000000" w:rsidRPr="00000000">
        <w:rPr>
          <w:rtl w:val="0"/>
        </w:rPr>
      </w:r>
    </w:p>
    <w:p w:rsidR="00000000" w:rsidDel="00000000" w:rsidP="00000000" w:rsidRDefault="00000000" w:rsidRPr="00000000" w14:paraId="000000F9">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FA">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1">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FB">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2">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FC">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3">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FD">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4">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FE">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FF">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5">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6">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7">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8">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9">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0">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1">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2">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3">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4">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5">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6">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7">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8">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9">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0">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1">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2">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3">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4">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5">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6">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7">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8">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9">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0">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1">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2">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3">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4">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5">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6">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7">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8">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2E">
      <w:pPr>
        <w:rPr/>
      </w:pPr>
      <w:r w:rsidDel="00000000" w:rsidR="00000000" w:rsidRPr="00000000">
        <w:br w:type="page"/>
      </w:r>
      <w:r w:rsidDel="00000000" w:rsidR="00000000" w:rsidRPr="00000000">
        <w:rPr>
          <w:rtl w:val="0"/>
        </w:rPr>
      </w:r>
    </w:p>
    <w:p w:rsidR="00000000" w:rsidDel="00000000" w:rsidP="00000000" w:rsidRDefault="00000000" w:rsidRPr="00000000" w14:paraId="000001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9"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margeo.2016.01.009" TargetMode="External"/><Relationship Id="rId42" Type="http://schemas.openxmlformats.org/officeDocument/2006/relationships/hyperlink" Target="http://www.repositorio.jesuita.org.br/handle/UNISINOS/10129" TargetMode="External"/><Relationship Id="rId41" Type="http://schemas.openxmlformats.org/officeDocument/2006/relationships/hyperlink" Target="https://doi.org/10.1306/111302730367" TargetMode="External"/><Relationship Id="rId44" Type="http://schemas.openxmlformats.org/officeDocument/2006/relationships/hyperlink" Target="https://doi.org/10.5530/jscires.10.3.45" TargetMode="External"/><Relationship Id="rId43" Type="http://schemas.openxmlformats.org/officeDocument/2006/relationships/hyperlink" Target="https://doi.org/10.1016/B978-85-352-6208-7.50011-8" TargetMode="External"/><Relationship Id="rId46" Type="http://schemas.openxmlformats.org/officeDocument/2006/relationships/hyperlink" Target="https://doi.org/10.1016/j.margeo.2014.01.005" TargetMode="External"/><Relationship Id="rId45" Type="http://schemas.openxmlformats.org/officeDocument/2006/relationships/hyperlink" Target="https://doi.org/10.5670/oceanog.2014.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48" Type="http://schemas.openxmlformats.org/officeDocument/2006/relationships/hyperlink" Target="https://doi.org/10.1190/1.9781560801580" TargetMode="External"/><Relationship Id="rId47" Type="http://schemas.openxmlformats.org/officeDocument/2006/relationships/hyperlink" Target="https://doi.org/10.48550/arXiv.2106.06050" TargetMode="External"/><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5.png"/><Relationship Id="rId31" Type="http://schemas.openxmlformats.org/officeDocument/2006/relationships/hyperlink" Target="https://doi.org/10.2110/sepmsp.096.423" TargetMode="External"/><Relationship Id="rId30" Type="http://schemas.openxmlformats.org/officeDocument/2006/relationships/hyperlink" Target="https://doi.org/10.1002/9781444304398.ch5" TargetMode="External"/><Relationship Id="rId33" Type="http://schemas.openxmlformats.org/officeDocument/2006/relationships/hyperlink" Target="https://doi.org/10.1590/S0102-261X2005000300006" TargetMode="External"/><Relationship Id="rId32" Type="http://schemas.openxmlformats.org/officeDocument/2006/relationships/hyperlink" Target="http://www.cpgg.ufba.br/gr-geof/geo213/trabalhos-graducao/Adson-Meneses.pdf" TargetMode="External"/><Relationship Id="rId35" Type="http://schemas.openxmlformats.org/officeDocument/2006/relationships/hyperlink" Target="https://doi.org/10.1111/j.1365-2117.2007.00340.x" TargetMode="External"/><Relationship Id="rId34" Type="http://schemas.openxmlformats.org/officeDocument/2006/relationships/hyperlink" Target="https://doi.org/10.1306/M26490C8" TargetMode="External"/><Relationship Id="rId37"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6" Type="http://schemas.openxmlformats.org/officeDocument/2006/relationships/hyperlink" Target="https://doi.org/10.1130/B31221.1" TargetMode="External"/><Relationship Id="rId39" Type="http://schemas.openxmlformats.org/officeDocument/2006/relationships/hyperlink" Target="https://doi.org/10.1108/DTA-08-2023-0461" TargetMode="External"/><Relationship Id="rId38" Type="http://schemas.openxmlformats.org/officeDocument/2006/relationships/hyperlink" Target="https://doi.org/10.1190/1.9781560801740" TargetMode="External"/><Relationship Id="rId20" Type="http://schemas.openxmlformats.org/officeDocument/2006/relationships/hyperlink" Target="https://www.elsevier.com/products/scopus" TargetMode="External"/><Relationship Id="rId22" Type="http://schemas.openxmlformats.org/officeDocument/2006/relationships/hyperlink" Target="https://doi.org/10.1016/B978-85-352-6937-6.50009-4" TargetMode="External"/><Relationship Id="rId21" Type="http://schemas.openxmlformats.org/officeDocument/2006/relationships/hyperlink" Target="https://www.gov.br/anp/pt-br/rodadas-anp/rodadas-concluidas/concessao-de-blocos-exploratorios/15a-rodada-licitacoes-blocos/arquivos/areas-oferecidas/sumario_geologico_r15_santos.pdf" TargetMode="External"/><Relationship Id="rId24" Type="http://schemas.openxmlformats.org/officeDocument/2006/relationships/hyperlink" Target="https://www.guralp.com/" TargetMode="External"/><Relationship Id="rId23" Type="http://schemas.openxmlformats.org/officeDocument/2006/relationships/hyperlink" Target="https://doi.org/10.1016/j.margeo.2016.06.003" TargetMode="External"/><Relationship Id="rId26" Type="http://schemas.openxmlformats.org/officeDocument/2006/relationships/hyperlink" Target="https://sbgf.org.br/mysbgf/eventos/expanded_abstracts/17th_CISBGf/920211118142805III_SBGGM_DRA_CIZIA_MARIA_MARGEM_CONTINENTAL.pdf" TargetMode="External"/><Relationship Id="rId25" Type="http://schemas.openxmlformats.org/officeDocument/2006/relationships/hyperlink" Target="https://doi.org/10.1029/95RG03287" TargetMode="External"/><Relationship Id="rId28" Type="http://schemas.openxmlformats.org/officeDocument/2006/relationships/hyperlink" Target="https://doi.org/10.1016/B978-85-352-6937-6.50012-4" TargetMode="External"/><Relationship Id="rId27" Type="http://schemas.openxmlformats.org/officeDocument/2006/relationships/hyperlink" Target="https://doi.org/10.1306/09011514210" TargetMode="External"/><Relationship Id="rId29" Type="http://schemas.openxmlformats.org/officeDocument/2006/relationships/hyperlink" Target="https://doi.org/10.3390/jmse8120968" TargetMode="External"/><Relationship Id="rId11" Type="http://schemas.openxmlformats.org/officeDocument/2006/relationships/hyperlink" Target="https://doi.org/10.22456/1807-9806.144416" TargetMode="External"/><Relationship Id="rId10" Type="http://schemas.openxmlformats.org/officeDocument/2006/relationships/image" Target="media/image3.png"/><Relationship Id="rId13" Type="http://schemas.openxmlformats.org/officeDocument/2006/relationships/hyperlink" Target="https://doi.org/10.1017/CBO9781139628921.004" TargetMode="External"/><Relationship Id="rId12" Type="http://schemas.openxmlformats.org/officeDocument/2006/relationships/hyperlink" Target="https://lume.ufrgs.br/handle/10183/139096" TargetMode="External"/><Relationship Id="rId15" Type="http://schemas.openxmlformats.org/officeDocument/2006/relationships/hyperlink" Target="https://doi.org/10.1190/sbgf2005-275" TargetMode="External"/><Relationship Id="rId14" Type="http://schemas.openxmlformats.org/officeDocument/2006/relationships/hyperlink" Target="https://doi.org/10.1016/B978-85-352-6937-6.50013-6" TargetMode="External"/><Relationship Id="rId17" Type="http://schemas.openxmlformats.org/officeDocument/2006/relationships/hyperlink" Target="https://doi.org/10.1190/1.2098670" TargetMode="External"/><Relationship Id="rId16" Type="http://schemas.openxmlformats.org/officeDocument/2006/relationships/hyperlink" Target="https://doi.org/10.1007/978-3-319-20979-1_3" TargetMode="External"/><Relationship Id="rId19" Type="http://schemas.openxmlformats.org/officeDocument/2006/relationships/hyperlink" Target="https://doi.org/10.1144/SP477.15" TargetMode="External"/><Relationship Id="rId18" Type="http://schemas.openxmlformats.org/officeDocument/2006/relationships/hyperlink" Target="https://doi.org/10.1190/1.97815608019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