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10" name="image1.png"/>
            <a:graphic>
              <a:graphicData uri="http://schemas.openxmlformats.org/drawingml/2006/picture">
                <pic:pic>
                  <pic:nvPicPr>
                    <pic:cNvPr descr="Símbolo da Universidade Federal de Santa Catarina" id="0" name="image1.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b w:val="1"/>
          <w:bCs w:val="1"/>
          <w:rtl w:val="0"/>
        </w:rPr>
        <w:t xml:space="preserve">CARACTERIZAÇÃO DE DEPÓSITOS DE MOVIMENTO DE MASSA NA PORÇÃO NORTE DA BACIA DE SANTOS</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tl w:val="0"/>
        </w:rPr>
        <w:t xml:space="preserve">2026</w:t>
      </w:r>
    </w:p>
    <w:p w:rsidR="00000000" w:rsidDel="00000000" w:rsidP="00000000" w:rsidRDefault="00000000" w:rsidRPr="00000000" w14:paraId="0000001A">
      <w:pPr>
        <w:spacing w:after="0" w:lineRule="auto"/>
        <w:jc w:val="cente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b w:val="1"/>
          <w:bCs w:val="1"/>
          <w:rtl w:val="0"/>
        </w:rPr>
        <w:t xml:space="preserve">CARACTERIZAÇÃO DE DEPÓSITOS DE MOVIMENTO DE MASSA NA PORÇÃO NORTE DA BACIA DE SANTOS</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0" w:before="0" w:line="240" w:lineRule="auto"/>
        <w:ind w:left="0" w:firstLine="0"/>
        <w:jc w:val="left"/>
        <w:rPr/>
      </w:pPr>
      <w:r w:rsidDel="00000000" w:rsidR="00000000" w:rsidRPr="00000000">
        <w:rPr>
          <w:rtl w:val="0"/>
        </w:rPr>
        <w:t xml:space="preserve">Figura 1 — Esquemas de padrões de configuração dos refletores</w:t>
      </w:r>
    </w:p>
    <w:p w:rsidR="00000000" w:rsidDel="00000000" w:rsidP="00000000" w:rsidRDefault="00000000" w:rsidRPr="00000000" w14:paraId="0000003F">
      <w:pPr>
        <w:spacing w:after="0" w:before="0" w:line="240" w:lineRule="auto"/>
        <w:ind w:left="0" w:firstLine="0"/>
        <w:jc w:val="left"/>
        <w:rPr/>
      </w:pPr>
      <w:r w:rsidDel="00000000" w:rsidR="00000000" w:rsidRPr="00000000">
        <w:rPr>
          <w:rtl w:val="0"/>
        </w:rPr>
        <w:t xml:space="preserve">Figura 2 — Formas externas das fácies sísmicas</w:t>
      </w:r>
    </w:p>
    <w:p w:rsidR="00000000" w:rsidDel="00000000" w:rsidP="00000000" w:rsidRDefault="00000000" w:rsidRPr="00000000" w14:paraId="00000040">
      <w:pPr>
        <w:spacing w:after="0" w:before="0" w:line="240" w:lineRule="auto"/>
        <w:ind w:left="0" w:firstLine="0"/>
        <w:jc w:val="left"/>
        <w:rPr/>
      </w:pPr>
      <w:r w:rsidDel="00000000" w:rsidR="00000000" w:rsidRPr="00000000">
        <w:rPr>
          <w:rtl w:val="0"/>
        </w:rPr>
        <w:t xml:space="preserve">Figura 3 — Padrões de configuração interna dos refletores em geometrias de preenchimento</w:t>
      </w:r>
    </w:p>
    <w:p w:rsidR="00000000" w:rsidDel="00000000" w:rsidP="00000000" w:rsidRDefault="00000000" w:rsidRPr="00000000" w14:paraId="00000041">
      <w:pPr>
        <w:spacing w:after="0" w:before="0" w:line="240" w:lineRule="auto"/>
        <w:ind w:left="0" w:firstLine="0"/>
        <w:jc w:val="left"/>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spacing w:after="0" w:before="0" w:line="240" w:lineRule="auto"/>
        <w:ind w:left="0" w:firstLine="0"/>
        <w:jc w:val="left"/>
        <w:rPr/>
      </w:pPr>
      <w:r w:rsidDel="00000000" w:rsidR="00000000" w:rsidRPr="00000000">
        <w:rPr>
          <w:rtl w:val="0"/>
        </w:rPr>
        <w:t xml:space="preserve">Figura 5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043">
      <w:pPr>
        <w:spacing w:after="0" w:before="0" w:line="240" w:lineRule="auto"/>
        <w:ind w:left="0" w:firstLine="0"/>
        <w:jc w:val="left"/>
        <w:rPr/>
      </w:pPr>
      <w:r w:rsidDel="00000000" w:rsidR="00000000" w:rsidRPr="00000000">
        <w:rPr>
          <w:rtl w:val="0"/>
        </w:rPr>
        <w:t xml:space="preserve">Figura 6 — Modelos de ruptura do talude continental associados à rápida acumulação de sedimentos de baixa permeabilidade</w:t>
      </w:r>
    </w:p>
    <w:p w:rsidR="00000000" w:rsidDel="00000000" w:rsidP="00000000" w:rsidRDefault="00000000" w:rsidRPr="00000000" w14:paraId="00000044">
      <w:pPr>
        <w:spacing w:after="0" w:before="0" w:line="240" w:lineRule="auto"/>
        <w:ind w:left="0" w:firstLine="0"/>
        <w:jc w:val="left"/>
        <w:rPr/>
      </w:pPr>
      <w:r w:rsidDel="00000000" w:rsidR="00000000" w:rsidRPr="00000000">
        <w:rPr>
          <w:rtl w:val="0"/>
        </w:rPr>
        <w:t xml:space="preserve">Figura 7 — Processos de dissociação de hidratos de gás associados a movimentos de massa submarinos ou emissões de metano</w:t>
      </w:r>
    </w:p>
    <w:p w:rsidR="00000000" w:rsidDel="00000000" w:rsidP="00000000" w:rsidRDefault="00000000" w:rsidRPr="00000000" w14:paraId="00000045">
      <w:pPr>
        <w:spacing w:after="0" w:before="0" w:line="240" w:lineRule="auto"/>
        <w:ind w:left="0" w:firstLine="0"/>
        <w:jc w:val="left"/>
        <w:rPr/>
      </w:pPr>
      <w:r w:rsidDel="00000000" w:rsidR="00000000" w:rsidRPr="00000000">
        <w:rPr>
          <w:rtl w:val="0"/>
        </w:rPr>
        <w:t xml:space="preserve">Figura 8 — Principais elementos geométricos de um movimento de massa submarino</w:t>
      </w:r>
    </w:p>
    <w:p w:rsidR="00000000" w:rsidDel="00000000" w:rsidP="00000000" w:rsidRDefault="00000000" w:rsidRPr="00000000" w14:paraId="00000046">
      <w:pPr>
        <w:spacing w:after="0" w:before="0" w:line="240" w:lineRule="auto"/>
        <w:ind w:left="0" w:firstLine="0"/>
        <w:jc w:val="left"/>
        <w:rPr/>
      </w:pPr>
      <w:r w:rsidDel="00000000" w:rsidR="00000000" w:rsidRPr="00000000">
        <w:rPr>
          <w:rtl w:val="0"/>
        </w:rPr>
        <w:t xml:space="preserve">Figura 9 — Exemplo de movimento de massa submarino em dados de sísmica de reflexão</w:t>
      </w:r>
    </w:p>
    <w:p w:rsidR="00000000" w:rsidDel="00000000" w:rsidP="00000000" w:rsidRDefault="00000000" w:rsidRPr="00000000" w14:paraId="00000047">
      <w:pPr>
        <w:spacing w:after="0" w:before="0" w:line="240" w:lineRule="auto"/>
        <w:ind w:left="0" w:firstLine="0"/>
        <w:jc w:val="left"/>
        <w:rPr/>
      </w:pPr>
      <w:r w:rsidDel="00000000" w:rsidR="00000000" w:rsidRPr="00000000">
        <w:rPr>
          <w:rtl w:val="0"/>
        </w:rPr>
        <w:t xml:space="preserve">Figura 10 — Expressão sismoestratigráfica interna dos depósitos de movimentos de massa</w:t>
      </w:r>
    </w:p>
    <w:p w:rsidR="00000000" w:rsidDel="00000000" w:rsidP="00000000" w:rsidRDefault="00000000" w:rsidRPr="00000000" w14:paraId="00000048">
      <w:pPr>
        <w:spacing w:after="0" w:before="0" w:line="240" w:lineRule="auto"/>
        <w:ind w:left="0" w:firstLine="0"/>
        <w:jc w:val="left"/>
        <w:rPr/>
      </w:pPr>
      <w:r w:rsidDel="00000000" w:rsidR="00000000" w:rsidRPr="00000000">
        <w:rPr>
          <w:rtl w:val="0"/>
        </w:rPr>
        <w:t xml:space="preserve">Figura 11 — Estruturas associadas aos movimentos de massa submarinos segundo o domínio deformacional</w:t>
      </w:r>
    </w:p>
    <w:p w:rsidR="00000000" w:rsidDel="00000000" w:rsidP="00000000" w:rsidRDefault="00000000" w:rsidRPr="00000000" w14:paraId="00000049">
      <w:pPr>
        <w:spacing w:after="0" w:before="0" w:line="240" w:lineRule="auto"/>
        <w:ind w:left="0" w:firstLine="0"/>
        <w:jc w:val="left"/>
        <w:rPr/>
      </w:pPr>
      <w:r w:rsidDel="00000000" w:rsidR="00000000" w:rsidRPr="00000000">
        <w:rPr>
          <w:rtl w:val="0"/>
        </w:rPr>
        <w:t xml:space="preserve">Figura 12 — Morfologia e estruturas de um movimento de massa submarino</w:t>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F">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50">
      <w:pPr>
        <w:rPr/>
      </w:pPr>
      <w:r w:rsidDel="00000000" w:rsidR="00000000" w:rsidRPr="00000000">
        <w:br w:type="page"/>
      </w:r>
      <w:r w:rsidDel="00000000" w:rsidR="00000000" w:rsidRPr="00000000">
        <w:rPr>
          <w:rtl w:val="0"/>
        </w:rPr>
      </w:r>
    </w:p>
    <w:p w:rsidR="00000000" w:rsidDel="00000000" w:rsidP="00000000" w:rsidRDefault="00000000" w:rsidRPr="00000000" w14:paraId="00000051">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5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5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875453541"/>
        <w:docPartObj>
          <w:docPartGallery w:val="Table of Contents"/>
          <w:docPartUnique w:val="1"/>
        </w:docPartObj>
      </w:sdtPr>
      <w:sdtContent>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1 INTRODUÇÃO</w:t>
      </w:r>
      <w:r w:rsidDel="00000000" w:rsidR="00000000" w:rsidRPr="00000000">
        <w:rPr>
          <w:rtl w:val="0"/>
        </w:rPr>
      </w:r>
    </w:p>
    <w:p w:rsidR="00000000" w:rsidDel="00000000" w:rsidP="00000000" w:rsidRDefault="00000000" w:rsidRPr="00000000" w14:paraId="0000005C">
      <w:pPr>
        <w:spacing w:after="0" w:before="0" w:line="360" w:lineRule="auto"/>
        <w:ind w:firstLine="709"/>
        <w:jc w:val="both"/>
        <w:rPr>
          <w:highlight w:val="white"/>
        </w:rPr>
      </w:pPr>
      <w:r w:rsidDel="00000000" w:rsidR="00000000" w:rsidRPr="00000000">
        <w:rPr>
          <w:highlight w:val="white"/>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highlight w:val="white"/>
          <w:rtl w:val="0"/>
        </w:rPr>
        <w:t xml:space="preserve">sediment bypassing</w:t>
      </w:r>
      <w:r w:rsidDel="00000000" w:rsidR="00000000" w:rsidRPr="00000000">
        <w:rPr>
          <w:highlight w:val="white"/>
          <w:rtl w:val="0"/>
        </w:rPr>
        <w:t xml:space="preserve"> (Hampton </w:t>
      </w:r>
      <w:r w:rsidDel="00000000" w:rsidR="00000000" w:rsidRPr="00000000">
        <w:rPr>
          <w:i w:val="1"/>
          <w:iCs w:val="1"/>
          <w:highlight w:val="white"/>
          <w:rtl w:val="0"/>
        </w:rPr>
        <w:t xml:space="preserve">et al</w:t>
      </w:r>
      <w:r w:rsidDel="00000000" w:rsidR="00000000" w:rsidRPr="00000000">
        <w:rPr>
          <w:highlight w:val="white"/>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5D">
      <w:pPr>
        <w:spacing w:after="0" w:before="0" w:line="360" w:lineRule="auto"/>
        <w:ind w:firstLine="709"/>
        <w:jc w:val="both"/>
        <w:rPr>
          <w:highlight w:val="white"/>
        </w:rPr>
      </w:pPr>
      <w:r w:rsidDel="00000000" w:rsidR="00000000" w:rsidRPr="00000000">
        <w:rPr>
          <w:highlight w:val="white"/>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highlight w:val="white"/>
          <w:rtl w:val="0"/>
        </w:rPr>
        <w:t xml:space="preserve">et al</w:t>
      </w:r>
      <w:r w:rsidDel="00000000" w:rsidR="00000000" w:rsidRPr="00000000">
        <w:rPr>
          <w:highlight w:val="white"/>
          <w:rtl w:val="0"/>
        </w:rPr>
        <w:t xml:space="preserve">., 1996). </w:t>
      </w:r>
      <w:r w:rsidDel="00000000" w:rsidR="00000000" w:rsidRPr="00000000">
        <w:rPr>
          <w:rtl w:val="0"/>
        </w:rPr>
        <w:t xml:space="preserve">A magnitude que esses eventos podem atingir é exemplificada pelo Deslizamento de Storegga, ocorrido na margem continental da Noruega, que mobilizou mais de 3.000 km³ de sedimentos e gerou um tsunami que atingiu as costas adjacentes com alturas estimadas entre 6 e 20 m (Bondevik </w:t>
      </w:r>
      <w:r w:rsidDel="00000000" w:rsidR="00000000" w:rsidRPr="00000000">
        <w:rPr>
          <w:i w:val="1"/>
          <w:iCs w:val="1"/>
          <w:rtl w:val="0"/>
        </w:rPr>
        <w:t xml:space="preserve">et al</w:t>
      </w:r>
      <w:r w:rsidDel="00000000" w:rsidR="00000000" w:rsidRPr="00000000">
        <w:rPr>
          <w:rtl w:val="0"/>
        </w:rPr>
        <w:t xml:space="preserve">., 2005; 2012). </w:t>
      </w:r>
      <w:r w:rsidDel="00000000" w:rsidR="00000000" w:rsidRPr="00000000">
        <w:rPr>
          <w:highlight w:val="white"/>
          <w:rtl w:val="0"/>
        </w:rPr>
        <w:t xml:space="preserve"> Porém, mesmo eventos de menor escala podem danificar plataformas de petróleo, dutos e cabos submarinos (Tappin </w:t>
      </w:r>
      <w:r w:rsidDel="00000000" w:rsidR="00000000" w:rsidRPr="00000000">
        <w:rPr>
          <w:i w:val="1"/>
          <w:iCs w:val="1"/>
          <w:highlight w:val="white"/>
          <w:rtl w:val="0"/>
        </w:rPr>
        <w:t xml:space="preserve">et al</w:t>
      </w:r>
      <w:r w:rsidDel="00000000" w:rsidR="00000000" w:rsidRPr="00000000">
        <w:rPr>
          <w:highlight w:val="white"/>
          <w:rtl w:val="0"/>
        </w:rPr>
        <w:t xml:space="preserve">., 2001).</w:t>
      </w:r>
    </w:p>
    <w:p w:rsidR="00000000" w:rsidDel="00000000" w:rsidP="00000000" w:rsidRDefault="00000000" w:rsidRPr="00000000" w14:paraId="0000005E">
      <w:pPr>
        <w:spacing w:after="0" w:before="0" w:line="360" w:lineRule="auto"/>
        <w:ind w:firstLine="709"/>
        <w:jc w:val="both"/>
        <w:rPr>
          <w:highlight w:val="white"/>
        </w:rPr>
      </w:pPr>
      <w:r w:rsidDel="00000000" w:rsidR="00000000" w:rsidRPr="00000000">
        <w:rPr>
          <w:highlight w:val="white"/>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highlight w:val="white"/>
          <w:rtl w:val="0"/>
        </w:rPr>
        <w:t xml:space="preserve">offshore</w:t>
      </w:r>
      <w:r w:rsidDel="00000000" w:rsidR="00000000" w:rsidRPr="00000000">
        <w:rPr>
          <w:highlight w:val="white"/>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F">
      <w:pPr>
        <w:spacing w:after="0" w:before="0" w:line="360" w:lineRule="auto"/>
        <w:ind w:firstLine="709"/>
        <w:jc w:val="both"/>
        <w:rPr>
          <w:highlight w:val="white"/>
        </w:rPr>
      </w:pPr>
      <w:r w:rsidDel="00000000" w:rsidR="00000000" w:rsidRPr="00000000">
        <w:rPr>
          <w:highlight w:val="white"/>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principalmente, o número de eventos envolvidos (Clare </w:t>
      </w:r>
      <w:r w:rsidDel="00000000" w:rsidR="00000000" w:rsidRPr="00000000">
        <w:rPr>
          <w:i w:val="1"/>
          <w:iCs w:val="1"/>
          <w:highlight w:val="white"/>
          <w:rtl w:val="0"/>
        </w:rPr>
        <w:t xml:space="preserve">et al</w:t>
      </w:r>
      <w:r w:rsidDel="00000000" w:rsidR="00000000" w:rsidRPr="00000000">
        <w:rPr>
          <w:highlight w:val="white"/>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white"/>
          <w:rtl w:val="0"/>
        </w:rPr>
        <w:t xml:space="preserve">Horizontal-to-Vertical Spectral Ratio</w:t>
      </w:r>
      <w:r w:rsidDel="00000000" w:rsidR="00000000" w:rsidRPr="00000000">
        <w:rPr>
          <w:highlight w:val="white"/>
          <w:rtl w:val="0"/>
        </w:rPr>
        <w:t xml:space="preserve"> (HVSR) (Nakamura, 1989), utilizando dados obtidos por sismógrafos de fundo oceânico (</w:t>
      </w:r>
      <w:r w:rsidDel="00000000" w:rsidR="00000000" w:rsidRPr="00000000">
        <w:rPr>
          <w:i w:val="1"/>
          <w:iCs w:val="1"/>
          <w:highlight w:val="white"/>
          <w:rtl w:val="0"/>
        </w:rPr>
        <w:t xml:space="preserve">Ocean Bottom Seismometers</w:t>
      </w:r>
      <w:r w:rsidDel="00000000" w:rsidR="00000000" w:rsidRPr="00000000">
        <w:rPr>
          <w:highlight w:val="white"/>
          <w:rtl w:val="0"/>
        </w:rPr>
        <w:t xml:space="preserve"> — OBS). </w:t>
      </w:r>
    </w:p>
    <w:p w:rsidR="00000000" w:rsidDel="00000000" w:rsidP="00000000" w:rsidRDefault="00000000" w:rsidRPr="00000000" w14:paraId="00000060">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1.1 Objetivos</w:t>
      </w:r>
      <w:r w:rsidDel="00000000" w:rsidR="00000000" w:rsidRPr="00000000">
        <w:rPr>
          <w:rtl w:val="0"/>
        </w:rPr>
      </w:r>
    </w:p>
    <w:p w:rsidR="00000000" w:rsidDel="00000000" w:rsidP="00000000" w:rsidRDefault="00000000" w:rsidRPr="00000000" w14:paraId="00000061">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1.1.1 Objetivo geral</w:t>
      </w:r>
      <w:r w:rsidDel="00000000" w:rsidR="00000000" w:rsidRPr="00000000">
        <w:rPr>
          <w:rtl w:val="0"/>
        </w:rPr>
      </w:r>
    </w:p>
    <w:p w:rsidR="00000000" w:rsidDel="00000000" w:rsidP="00000000" w:rsidRDefault="00000000" w:rsidRPr="00000000" w14:paraId="00000062">
      <w:pPr>
        <w:spacing w:after="0" w:line="240" w:lineRule="auto"/>
        <w:jc w:val="both"/>
        <w:rPr>
          <w:highlight w:val="white"/>
        </w:rPr>
      </w:pPr>
      <w:r w:rsidDel="00000000" w:rsidR="00000000" w:rsidRPr="00000000">
        <w:rPr>
          <w:highlight w:val="white"/>
          <w:rtl w:val="0"/>
        </w:rPr>
        <w:t xml:space="preserve">Caracterizar os depósitos de movimento de massa no talude continental na porção norte da Bacia de Santos</w:t>
      </w:r>
    </w:p>
    <w:p w:rsidR="00000000" w:rsidDel="00000000" w:rsidP="00000000" w:rsidRDefault="00000000" w:rsidRPr="00000000" w14:paraId="00000063">
      <w:pPr>
        <w:spacing w:after="0" w:line="240"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64">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1.1.2 Objetivos específicos</w:t>
      </w:r>
      <w:r w:rsidDel="00000000" w:rsidR="00000000" w:rsidRPr="00000000">
        <w:rPr>
          <w:rtl w:val="0"/>
        </w:rPr>
      </w:r>
    </w:p>
    <w:p w:rsidR="00000000" w:rsidDel="00000000" w:rsidP="00000000" w:rsidRDefault="00000000" w:rsidRPr="00000000" w14:paraId="00000065">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66">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67">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8">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Classificar os depósitos/complexos de movimentos de massa.</w:t>
      </w:r>
    </w:p>
    <w:p w:rsidR="00000000" w:rsidDel="00000000" w:rsidP="00000000" w:rsidRDefault="00000000" w:rsidRPr="00000000" w14:paraId="00000069">
      <w:pPr>
        <w:numPr>
          <w:ilvl w:val="0"/>
          <w:numId w:val="3"/>
        </w:numPr>
        <w:spacing w:after="0" w:line="240" w:lineRule="auto"/>
        <w:ind w:left="720" w:hanging="360"/>
        <w:jc w:val="both"/>
        <w:rPr>
          <w:highlight w:val="white"/>
        </w:rPr>
      </w:pPr>
      <w:r w:rsidDel="00000000" w:rsidR="00000000" w:rsidRPr="00000000">
        <w:rPr>
          <w:highlight w:val="white"/>
          <w:rtl w:val="0"/>
        </w:rPr>
        <w:t xml:space="preserve">Correlacionar os depósitos/complexos com idade de sedimentos datados na área de estudo </w:t>
      </w:r>
    </w:p>
    <w:p w:rsidR="00000000" w:rsidDel="00000000" w:rsidP="00000000" w:rsidRDefault="00000000" w:rsidRPr="00000000" w14:paraId="0000006A">
      <w:pPr>
        <w:numPr>
          <w:ilvl w:val="0"/>
          <w:numId w:val="3"/>
        </w:numPr>
        <w:spacing w:after="0" w:line="240" w:lineRule="auto"/>
        <w:ind w:left="720" w:hanging="360"/>
        <w:jc w:val="both"/>
        <w:rPr>
          <w:highlight w:val="white"/>
        </w:rPr>
      </w:pPr>
      <w:r w:rsidDel="00000000" w:rsidR="00000000" w:rsidRPr="00000000">
        <w:rPr>
          <w:highlight w:val="white"/>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B">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1.2 Justificativa</w:t>
      </w:r>
      <w:r w:rsidDel="00000000" w:rsidR="00000000" w:rsidRPr="00000000">
        <w:rPr>
          <w:rtl w:val="0"/>
        </w:rPr>
      </w:r>
    </w:p>
    <w:p w:rsidR="00000000" w:rsidDel="00000000" w:rsidP="00000000" w:rsidRDefault="00000000" w:rsidRPr="00000000" w14:paraId="0000006C">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highlight w:val="white"/>
          <w:rtl w:val="0"/>
        </w:rPr>
        <w:t xml:space="preserve">et al</w:t>
      </w:r>
      <w:r w:rsidDel="00000000" w:rsidR="00000000" w:rsidRPr="00000000">
        <w:rPr>
          <w:highlight w:val="white"/>
          <w:rtl w:val="0"/>
        </w:rPr>
        <w:t xml:space="preserve">., 2018), uma vez que são fontes potenciais a gerar danos (Vanneste </w:t>
      </w:r>
      <w:r w:rsidDel="00000000" w:rsidR="00000000" w:rsidRPr="00000000">
        <w:rPr>
          <w:i w:val="1"/>
          <w:iCs w:val="1"/>
          <w:highlight w:val="white"/>
          <w:rtl w:val="0"/>
        </w:rPr>
        <w:t xml:space="preserve">et al</w:t>
      </w:r>
      <w:r w:rsidDel="00000000" w:rsidR="00000000" w:rsidRPr="00000000">
        <w:rPr>
          <w:highlight w:val="white"/>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et al., 2017), os quais estão presentes na região norte da Bacia de Santos. </w:t>
      </w:r>
    </w:p>
    <w:p w:rsidR="00000000" w:rsidDel="00000000" w:rsidP="00000000" w:rsidRDefault="00000000" w:rsidRPr="00000000" w14:paraId="0000006D">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highlight w:val="white"/>
          <w:rtl w:val="0"/>
        </w:rPr>
        <w:t xml:space="preserve">et al</w:t>
      </w:r>
      <w:r w:rsidDel="00000000" w:rsidR="00000000" w:rsidRPr="00000000">
        <w:rPr>
          <w:highlight w:val="white"/>
          <w:rtl w:val="0"/>
        </w:rPr>
        <w:t xml:space="preserve">., 2016), podem atuar como selos (Cardona </w:t>
      </w:r>
      <w:r w:rsidDel="00000000" w:rsidR="00000000" w:rsidRPr="00000000">
        <w:rPr>
          <w:i w:val="1"/>
          <w:iCs w:val="1"/>
          <w:highlight w:val="white"/>
          <w:rtl w:val="0"/>
        </w:rPr>
        <w:t xml:space="preserve">et al</w:t>
      </w:r>
      <w:r w:rsidDel="00000000" w:rsidR="00000000" w:rsidRPr="00000000">
        <w:rPr>
          <w:highlight w:val="white"/>
          <w:rtl w:val="0"/>
        </w:rPr>
        <w:t xml:space="preserve">., 2016) e também como potenciais reservatórios (Meckel, 2011).</w:t>
      </w:r>
    </w:p>
    <w:p w:rsidR="00000000" w:rsidDel="00000000" w:rsidP="00000000" w:rsidRDefault="00000000" w:rsidRPr="00000000" w14:paraId="0000006E">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highlight w:val="white"/>
          <w:rtl w:val="0"/>
        </w:rPr>
        <w:t xml:space="preserve">et al</w:t>
      </w:r>
      <w:r w:rsidDel="00000000" w:rsidR="00000000" w:rsidRPr="00000000">
        <w:rPr>
          <w:highlight w:val="white"/>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p>
    <w:p w:rsidR="00000000" w:rsidDel="00000000" w:rsidP="00000000" w:rsidRDefault="00000000" w:rsidRPr="00000000" w14:paraId="0000006F">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2 </w:t>
      </w:r>
      <w:r w:rsidDel="00000000" w:rsidR="00000000" w:rsidRPr="00000000">
        <w:rPr>
          <w:highlight w:val="white"/>
          <w:rtl w:val="0"/>
        </w:rPr>
        <w:t xml:space="preserve">FUNDAMENTAÇÃO TEÓRICA</w:t>
      </w:r>
    </w:p>
    <w:p w:rsidR="00000000" w:rsidDel="00000000" w:rsidP="00000000" w:rsidRDefault="00000000" w:rsidRPr="00000000" w14:paraId="00000070">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2.1 </w:t>
      </w:r>
      <w:r w:rsidDel="00000000" w:rsidR="00000000" w:rsidRPr="00000000">
        <w:rPr>
          <w:highlight w:val="white"/>
          <w:rtl w:val="0"/>
        </w:rPr>
        <w:t xml:space="preserve">Sísmica de reflexão</w:t>
      </w:r>
    </w:p>
    <w:p w:rsidR="00000000" w:rsidDel="00000000" w:rsidP="00000000" w:rsidRDefault="00000000" w:rsidRPr="00000000" w14:paraId="00000071">
      <w:pPr>
        <w:spacing w:after="0" w:before="0" w:line="360" w:lineRule="auto"/>
        <w:ind w:firstLine="709"/>
        <w:jc w:val="both"/>
        <w:rPr>
          <w:highlight w:val="white"/>
        </w:rPr>
      </w:pPr>
      <w:r w:rsidDel="00000000" w:rsidR="00000000" w:rsidRPr="00000000">
        <w:rPr>
          <w:highlight w:val="white"/>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72">
      <w:pPr>
        <w:spacing w:after="0" w:before="0" w:line="360" w:lineRule="auto"/>
        <w:ind w:firstLine="709"/>
        <w:jc w:val="both"/>
        <w:rPr>
          <w:highlight w:val="white"/>
        </w:rPr>
      </w:pPr>
      <w:r w:rsidDel="00000000" w:rsidR="00000000" w:rsidRPr="00000000">
        <w:rPr>
          <w:highlight w:val="white"/>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73">
      <w:pPr>
        <w:spacing w:after="0" w:before="0" w:line="360" w:lineRule="auto"/>
        <w:ind w:firstLine="709"/>
        <w:jc w:val="both"/>
        <w:rPr>
          <w:highlight w:val="white"/>
        </w:rPr>
      </w:pPr>
      <w:r w:rsidDel="00000000" w:rsidR="00000000" w:rsidRPr="00000000">
        <w:rPr>
          <w:highlight w:val="white"/>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highlight w:val="white"/>
          <w:rtl w:val="0"/>
        </w:rPr>
        <w:t xml:space="preserve">two-way travel time</w:t>
      </w:r>
      <w:r w:rsidDel="00000000" w:rsidR="00000000" w:rsidRPr="00000000">
        <w:rPr>
          <w:highlight w:val="white"/>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74">
      <w:pPr>
        <w:spacing w:after="0" w:before="0" w:line="360" w:lineRule="auto"/>
        <w:ind w:firstLine="709"/>
        <w:jc w:val="both"/>
        <w:rPr>
          <w:highlight w:val="white"/>
        </w:rPr>
      </w:pPr>
      <w:r w:rsidDel="00000000" w:rsidR="00000000" w:rsidRPr="00000000">
        <w:rPr>
          <w:highlight w:val="white"/>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75">
      <w:pPr>
        <w:pStyle w:val="Heading3"/>
        <w:keepNext w:val="1"/>
        <w:spacing w:after="240" w:before="240" w:line="360" w:lineRule="auto"/>
        <w:ind w:firstLine="0"/>
        <w:jc w:val="left"/>
        <w:rPr>
          <w:highlight w:val="white"/>
        </w:rPr>
      </w:pPr>
      <w:bookmarkStart w:colFirst="0" w:colLast="0" w:name="_1rbldzm8syoo" w:id="0"/>
      <w:bookmarkEnd w:id="0"/>
      <w:r w:rsidDel="00000000" w:rsidR="00000000" w:rsidRPr="00000000">
        <w:rPr>
          <w:highlight w:val="white"/>
          <w:rtl w:val="0"/>
        </w:rPr>
        <w:t xml:space="preserve">2.1.1 Cosseno de fase instantânea</w:t>
      </w:r>
    </w:p>
    <w:p w:rsidR="00000000" w:rsidDel="00000000" w:rsidP="00000000" w:rsidRDefault="00000000" w:rsidRPr="00000000" w14:paraId="00000076">
      <w:pPr>
        <w:spacing w:after="0" w:before="0" w:line="360" w:lineRule="auto"/>
        <w:ind w:firstLine="709"/>
        <w:jc w:val="both"/>
        <w:rPr>
          <w:highlight w:val="white"/>
        </w:rPr>
      </w:pPr>
      <w:r w:rsidDel="00000000" w:rsidR="00000000" w:rsidRPr="00000000">
        <w:rPr>
          <w:highlight w:val="white"/>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77">
      <w:pPr>
        <w:spacing w:after="0" w:before="0" w:line="360" w:lineRule="auto"/>
        <w:ind w:firstLine="0"/>
        <w:jc w:val="center"/>
        <w:rPr>
          <w:highlight w:val="white"/>
        </w:rPr>
      </w:pPr>
      <w:r w:rsidDel="00000000" w:rsidR="00000000" w:rsidRPr="00000000">
        <w:rPr>
          <w:highlight w:val="white"/>
          <w:rtl w:val="0"/>
        </w:rPr>
        <w:t xml:space="preserve">C(t) = cos(φ(t))    (1)</w:t>
      </w:r>
    </w:p>
    <w:p w:rsidR="00000000" w:rsidDel="00000000" w:rsidP="00000000" w:rsidRDefault="00000000" w:rsidRPr="00000000" w14:paraId="00000078">
      <w:pPr>
        <w:spacing w:after="0" w:before="0" w:line="360" w:lineRule="auto"/>
        <w:ind w:firstLine="709"/>
        <w:jc w:val="both"/>
        <w:rPr>
          <w:highlight w:val="white"/>
        </w:rPr>
      </w:pPr>
      <w:r w:rsidDel="00000000" w:rsidR="00000000" w:rsidRPr="00000000">
        <w:rPr>
          <w:highlight w:val="white"/>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9">
      <w:pPr>
        <w:spacing w:after="0" w:before="0" w:line="360" w:lineRule="auto"/>
        <w:ind w:firstLine="709"/>
        <w:jc w:val="both"/>
        <w:rPr>
          <w:highlight w:val="white"/>
        </w:rPr>
      </w:pPr>
      <w:r w:rsidDel="00000000" w:rsidR="00000000" w:rsidRPr="00000000">
        <w:rPr>
          <w:highlight w:val="white"/>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A">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2.2 </w:t>
      </w:r>
      <w:r w:rsidDel="00000000" w:rsidR="00000000" w:rsidRPr="00000000">
        <w:rPr>
          <w:highlight w:val="white"/>
          <w:rtl w:val="0"/>
        </w:rPr>
        <w:t xml:space="preserve">Sismoestratigrafia</w:t>
      </w:r>
    </w:p>
    <w:p w:rsidR="00000000" w:rsidDel="00000000" w:rsidP="00000000" w:rsidRDefault="00000000" w:rsidRPr="00000000" w14:paraId="0000007B">
      <w:pPr>
        <w:spacing w:after="240" w:before="240" w:lineRule="auto"/>
        <w:ind w:firstLine="720"/>
        <w:jc w:val="both"/>
        <w:rPr>
          <w:highlight w:val="white"/>
        </w:rPr>
      </w:pPr>
      <w:r w:rsidDel="00000000" w:rsidR="00000000" w:rsidRPr="00000000">
        <w:rPr>
          <w:highlight w:val="white"/>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C">
      <w:pPr>
        <w:spacing w:after="240" w:before="240" w:lineRule="auto"/>
        <w:ind w:firstLine="720"/>
        <w:jc w:val="both"/>
        <w:rPr>
          <w:highlight w:val="white"/>
        </w:rPr>
      </w:pPr>
      <w:r w:rsidDel="00000000" w:rsidR="00000000" w:rsidRPr="00000000">
        <w:rPr>
          <w:highlight w:val="white"/>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D">
      <w:pPr>
        <w:spacing w:after="240" w:before="240" w:lineRule="auto"/>
        <w:ind w:firstLine="720"/>
        <w:jc w:val="both"/>
        <w:rPr>
          <w:highlight w:val="white"/>
        </w:rPr>
      </w:pPr>
      <w:r w:rsidDel="00000000" w:rsidR="00000000" w:rsidRPr="00000000">
        <w:rPr>
          <w:highlight w:val="white"/>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E">
      <w:pPr>
        <w:spacing w:after="240" w:before="240" w:lineRule="auto"/>
        <w:ind w:firstLine="720"/>
        <w:jc w:val="both"/>
        <w:rPr>
          <w:highlight w:val="white"/>
        </w:rPr>
      </w:pPr>
      <w:r w:rsidDel="00000000" w:rsidR="00000000" w:rsidRPr="00000000">
        <w:rPr>
          <w:highlight w:val="white"/>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F">
      <w:pPr>
        <w:pStyle w:val="Heading3"/>
        <w:rPr>
          <w:highlight w:val="white"/>
        </w:rPr>
      </w:pPr>
      <w:bookmarkStart w:colFirst="0" w:colLast="0" w:name="_o1eeu2ym2b2q" w:id="1"/>
      <w:bookmarkEnd w:id="1"/>
      <w:r w:rsidDel="00000000" w:rsidR="00000000" w:rsidRPr="00000000">
        <w:rPr>
          <w:highlight w:val="white"/>
          <w:rtl w:val="0"/>
        </w:rPr>
        <w:t xml:space="preserve">2.2.1 Fácies sísmicas </w:t>
      </w:r>
    </w:p>
    <w:p w:rsidR="00000000" w:rsidDel="00000000" w:rsidP="00000000" w:rsidRDefault="00000000" w:rsidRPr="00000000" w14:paraId="00000080">
      <w:pPr>
        <w:spacing w:after="0" w:before="0" w:line="360" w:lineRule="auto"/>
        <w:ind w:firstLine="709"/>
        <w:jc w:val="both"/>
        <w:rPr>
          <w:highlight w:val="white"/>
        </w:rPr>
      </w:pPr>
      <w:r w:rsidDel="00000000" w:rsidR="00000000" w:rsidRPr="00000000">
        <w:rPr>
          <w:highlight w:val="white"/>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81">
      <w:pPr>
        <w:spacing w:after="0" w:before="0" w:line="360" w:lineRule="auto"/>
        <w:ind w:firstLine="709"/>
        <w:jc w:val="both"/>
        <w:rPr>
          <w:highlight w:val="white"/>
        </w:rPr>
      </w:pPr>
      <w:r w:rsidDel="00000000" w:rsidR="00000000" w:rsidRPr="00000000">
        <w:rPr>
          <w:highlight w:val="white"/>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82">
      <w:pPr>
        <w:spacing w:after="0" w:before="0" w:line="360" w:lineRule="auto"/>
        <w:ind w:firstLine="709"/>
        <w:jc w:val="both"/>
        <w:rPr>
          <w:highlight w:val="white"/>
        </w:rPr>
      </w:pPr>
      <w:r w:rsidDel="00000000" w:rsidR="00000000" w:rsidRPr="00000000">
        <w:rPr>
          <w:highlight w:val="white"/>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83">
      <w:pPr>
        <w:spacing w:after="0" w:before="0" w:line="360" w:lineRule="auto"/>
        <w:ind w:firstLine="709"/>
        <w:jc w:val="both"/>
        <w:rPr>
          <w:highlight w:val="white"/>
        </w:rPr>
      </w:pPr>
      <w:r w:rsidDel="00000000" w:rsidR="00000000" w:rsidRPr="00000000">
        <w:rPr>
          <w:highlight w:val="white"/>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84">
      <w:pPr>
        <w:spacing w:after="0" w:before="0" w:line="360" w:lineRule="auto"/>
        <w:ind w:firstLine="709"/>
        <w:jc w:val="both"/>
        <w:rPr>
          <w:highlight w:val="white"/>
        </w:rPr>
      </w:pPr>
      <w:r w:rsidDel="00000000" w:rsidR="00000000" w:rsidRPr="00000000">
        <w:rPr>
          <w:highlight w:val="white"/>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85">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4690796" cy="4706302"/>
            <wp:effectExtent b="0" l="0" r="0" t="0"/>
            <wp:docPr id="13"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1 — Esquemas de padrões de configuração dos refletores</w:t>
      </w:r>
    </w:p>
    <w:p w:rsidR="00000000" w:rsidDel="00000000" w:rsidP="00000000" w:rsidRDefault="00000000" w:rsidRPr="00000000" w14:paraId="00000087">
      <w:pPr>
        <w:spacing w:after="0" w:before="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88">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9">
      <w:pPr>
        <w:pStyle w:val="Heading3"/>
        <w:keepNext w:val="1"/>
        <w:spacing w:after="120" w:before="240" w:lineRule="auto"/>
        <w:ind w:firstLine="0"/>
        <w:jc w:val="left"/>
        <w:rPr>
          <w:highlight w:val="white"/>
        </w:rPr>
      </w:pPr>
      <w:bookmarkStart w:colFirst="0" w:colLast="0" w:name="_meybu3i0zoza" w:id="2"/>
      <w:bookmarkEnd w:id="2"/>
      <w:r w:rsidDel="00000000" w:rsidR="00000000" w:rsidRPr="00000000">
        <w:rPr>
          <w:highlight w:val="white"/>
          <w:rtl w:val="0"/>
        </w:rPr>
        <w:t xml:space="preserve">2.2.2 Formas externas das fácies sísmicas</w:t>
      </w:r>
    </w:p>
    <w:p w:rsidR="00000000" w:rsidDel="00000000" w:rsidP="00000000" w:rsidRDefault="00000000" w:rsidRPr="00000000" w14:paraId="0000008A">
      <w:pPr>
        <w:spacing w:after="0" w:before="0" w:line="360" w:lineRule="auto"/>
        <w:ind w:firstLine="709"/>
        <w:jc w:val="both"/>
        <w:rPr>
          <w:highlight w:val="white"/>
        </w:rPr>
      </w:pPr>
      <w:r w:rsidDel="00000000" w:rsidR="00000000" w:rsidRPr="00000000">
        <w:rPr>
          <w:highlight w:val="white"/>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B">
      <w:pPr>
        <w:spacing w:after="0" w:before="0" w:line="360" w:lineRule="auto"/>
        <w:ind w:firstLine="709"/>
        <w:jc w:val="both"/>
        <w:rPr>
          <w:highlight w:val="white"/>
        </w:rPr>
      </w:pPr>
      <w:r w:rsidDel="00000000" w:rsidR="00000000" w:rsidRPr="00000000">
        <w:rPr>
          <w:highlight w:val="white"/>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C">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759775" cy="1295400"/>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2 — Formas externas das fácies sísmicas: (A) lençóis ondulados ou drapes; (B) montiformas; (C) geometria de preenchimento</w:t>
      </w:r>
    </w:p>
    <w:p w:rsidR="00000000" w:rsidDel="00000000" w:rsidP="00000000" w:rsidRDefault="00000000" w:rsidRPr="00000000" w14:paraId="0000008E">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F">
      <w:pPr>
        <w:spacing w:after="0" w:before="0" w:line="360" w:lineRule="auto"/>
        <w:ind w:firstLine="709"/>
        <w:jc w:val="both"/>
        <w:rPr>
          <w:highlight w:val="white"/>
        </w:rPr>
      </w:pPr>
      <w:r w:rsidDel="00000000" w:rsidR="00000000" w:rsidRPr="00000000">
        <w:rPr>
          <w:highlight w:val="white"/>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90">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444561" cy="2798774"/>
            <wp:effectExtent b="0" l="0" r="0" t="0"/>
            <wp:docPr id="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92">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93">
      <w:pPr>
        <w:pStyle w:val="Heading2"/>
        <w:jc w:val="left"/>
        <w:rPr>
          <w:highlight w:val="white"/>
        </w:rPr>
      </w:pPr>
      <w:bookmarkStart w:colFirst="0" w:colLast="0" w:name="_pfgfl1mim8bb" w:id="3"/>
      <w:bookmarkEnd w:id="3"/>
      <w:r w:rsidDel="00000000" w:rsidR="00000000" w:rsidRPr="00000000">
        <w:rPr>
          <w:highlight w:val="white"/>
          <w:rtl w:val="0"/>
        </w:rPr>
        <w:t xml:space="preserve">2.3 Movimentos de massa submarinos</w:t>
      </w:r>
    </w:p>
    <w:p w:rsidR="00000000" w:rsidDel="00000000" w:rsidP="00000000" w:rsidRDefault="00000000" w:rsidRPr="00000000" w14:paraId="00000094">
      <w:pPr>
        <w:spacing w:after="120" w:line="360" w:lineRule="auto"/>
        <w:ind w:left="0" w:firstLine="709"/>
        <w:jc w:val="both"/>
        <w:rPr>
          <w:highlight w:val="white"/>
        </w:rPr>
      </w:pPr>
      <w:r w:rsidDel="00000000" w:rsidR="00000000" w:rsidRPr="00000000">
        <w:rPr>
          <w:highlight w:val="white"/>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95">
      <w:pPr>
        <w:spacing w:after="120" w:line="360" w:lineRule="auto"/>
        <w:ind w:left="0" w:firstLine="709"/>
        <w:jc w:val="both"/>
        <w:rPr>
          <w:highlight w:val="white"/>
        </w:rPr>
      </w:pPr>
      <w:r w:rsidDel="00000000" w:rsidR="00000000" w:rsidRPr="00000000">
        <w:rPr>
          <w:highlight w:val="white"/>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highlight w:val="white"/>
          <w:rtl w:val="0"/>
        </w:rPr>
        <w:t xml:space="preserve">sediment bypassing</w:t>
      </w:r>
      <w:r w:rsidDel="00000000" w:rsidR="00000000" w:rsidRPr="00000000">
        <w:rPr>
          <w:highlight w:val="white"/>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highlight w:val="white"/>
          <w:rtl w:val="0"/>
        </w:rPr>
        <w:t xml:space="preserve">et al</w:t>
      </w:r>
      <w:r w:rsidDel="00000000" w:rsidR="00000000" w:rsidRPr="00000000">
        <w:rPr>
          <w:highlight w:val="white"/>
          <w:rtl w:val="0"/>
        </w:rPr>
        <w:t xml:space="preserve">., 1996; Talling </w:t>
      </w:r>
      <w:r w:rsidDel="00000000" w:rsidR="00000000" w:rsidRPr="00000000">
        <w:rPr>
          <w:i w:val="1"/>
          <w:iCs w:val="1"/>
          <w:highlight w:val="white"/>
          <w:rtl w:val="0"/>
        </w:rPr>
        <w:t xml:space="preserve">et al</w:t>
      </w:r>
      <w:r w:rsidDel="00000000" w:rsidR="00000000" w:rsidRPr="00000000">
        <w:rPr>
          <w:highlight w:val="white"/>
          <w:rtl w:val="0"/>
        </w:rPr>
        <w:t xml:space="preserve">., 2014). </w:t>
      </w:r>
    </w:p>
    <w:p w:rsidR="00000000" w:rsidDel="00000000" w:rsidP="00000000" w:rsidRDefault="00000000" w:rsidRPr="00000000" w14:paraId="00000096">
      <w:pPr>
        <w:spacing w:after="120" w:line="360" w:lineRule="auto"/>
        <w:ind w:left="0" w:firstLine="709"/>
        <w:jc w:val="both"/>
        <w:rPr>
          <w:highlight w:val="white"/>
        </w:rPr>
      </w:pPr>
      <w:r w:rsidDel="00000000" w:rsidR="00000000" w:rsidRPr="00000000">
        <w:rPr>
          <w:highlight w:val="white"/>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97">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344478" cy="4946954"/>
            <wp:effectExtent b="0" l="0" r="0" t="0"/>
            <wp:docPr id="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9">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traduzido e adaptado de Posamentier &amp; Martinsen (2011).</w:t>
      </w:r>
    </w:p>
    <w:p w:rsidR="00000000" w:rsidDel="00000000" w:rsidP="00000000" w:rsidRDefault="00000000" w:rsidRPr="00000000" w14:paraId="0000009A">
      <w:pPr>
        <w:spacing w:after="120" w:line="360" w:lineRule="auto"/>
        <w:ind w:left="0" w:firstLine="709"/>
        <w:jc w:val="both"/>
        <w:rPr>
          <w:highlight w:val="white"/>
        </w:rPr>
      </w:pPr>
      <w:r w:rsidDel="00000000" w:rsidR="00000000" w:rsidRPr="00000000">
        <w:rPr>
          <w:highlight w:val="white"/>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B">
      <w:pPr>
        <w:spacing w:after="120" w:line="360" w:lineRule="auto"/>
        <w:ind w:left="0" w:firstLine="709"/>
        <w:jc w:val="both"/>
        <w:rPr>
          <w:highlight w:val="white"/>
        </w:rPr>
      </w:pPr>
      <w:r w:rsidDel="00000000" w:rsidR="00000000" w:rsidRPr="00000000">
        <w:rPr>
          <w:highlight w:val="white"/>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C">
      <w:pPr>
        <w:spacing w:after="120" w:line="360" w:lineRule="auto"/>
        <w:ind w:left="0" w:firstLine="709"/>
        <w:jc w:val="both"/>
        <w:rPr>
          <w:highlight w:val="white"/>
        </w:rPr>
      </w:pPr>
      <w:r w:rsidDel="00000000" w:rsidR="00000000" w:rsidRPr="00000000">
        <w:rPr>
          <w:highlight w:val="white"/>
          <w:rtl w:val="0"/>
        </w:rPr>
        <w:t xml:space="preserve">Nesse contexto, é necessário diferenciar o movimento de massa do produto sedimentar resultante. O termo depósito de transporte de massa, ou </w:t>
      </w:r>
      <w:r w:rsidDel="00000000" w:rsidR="00000000" w:rsidRPr="00000000">
        <w:rPr>
          <w:i w:val="1"/>
          <w:iCs w:val="1"/>
          <w:highlight w:val="white"/>
          <w:rtl w:val="0"/>
        </w:rPr>
        <w:t xml:space="preserve">mass-transport deposit</w:t>
      </w:r>
      <w:r w:rsidDel="00000000" w:rsidR="00000000" w:rsidRPr="00000000">
        <w:rPr>
          <w:highlight w:val="white"/>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highlight w:val="white"/>
          <w:rtl w:val="0"/>
        </w:rPr>
        <w:t xml:space="preserve">en masse</w:t>
      </w:r>
      <w:r w:rsidDel="00000000" w:rsidR="00000000" w:rsidRPr="00000000">
        <w:rPr>
          <w:highlight w:val="white"/>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D">
      <w:pPr>
        <w:spacing w:after="120" w:line="360" w:lineRule="auto"/>
        <w:ind w:left="0" w:firstLine="709"/>
        <w:jc w:val="both"/>
        <w:rPr>
          <w:highlight w:val="white"/>
        </w:rPr>
      </w:pPr>
      <w:r w:rsidDel="00000000" w:rsidR="00000000" w:rsidRPr="00000000">
        <w:rPr>
          <w:highlight w:val="white"/>
          <w:rtl w:val="0"/>
        </w:rPr>
        <w:t xml:space="preserve">A distinção entre os termos MTD e complexo de transporte de massa, ou </w:t>
      </w:r>
      <w:r w:rsidDel="00000000" w:rsidR="00000000" w:rsidRPr="00000000">
        <w:rPr>
          <w:i w:val="1"/>
          <w:iCs w:val="1"/>
          <w:highlight w:val="white"/>
          <w:rtl w:val="0"/>
        </w:rPr>
        <w:t xml:space="preserve">mass-transport complex</w:t>
      </w:r>
      <w:r w:rsidDel="00000000" w:rsidR="00000000" w:rsidRPr="00000000">
        <w:rPr>
          <w:highlight w:val="white"/>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E">
      <w:pPr>
        <w:spacing w:after="120" w:line="360" w:lineRule="auto"/>
        <w:ind w:left="0" w:firstLine="709"/>
        <w:jc w:val="both"/>
        <w:rPr>
          <w:highlight w:val="white"/>
        </w:rPr>
      </w:pPr>
      <w:r w:rsidDel="00000000" w:rsidR="00000000" w:rsidRPr="00000000">
        <w:rPr>
          <w:highlight w:val="white"/>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F">
      <w:pPr>
        <w:pStyle w:val="Heading3"/>
        <w:jc w:val="left"/>
        <w:rPr>
          <w:highlight w:val="white"/>
        </w:rPr>
      </w:pPr>
      <w:bookmarkStart w:colFirst="0" w:colLast="0" w:name="_a2mvyzh9o22m" w:id="4"/>
      <w:bookmarkEnd w:id="4"/>
      <w:r w:rsidDel="00000000" w:rsidR="00000000" w:rsidRPr="00000000">
        <w:rPr>
          <w:highlight w:val="white"/>
          <w:rtl w:val="0"/>
        </w:rPr>
        <w:t xml:space="preserve">2.3.1 Mecanismos de ruptura</w:t>
      </w:r>
    </w:p>
    <w:p w:rsidR="00000000" w:rsidDel="00000000" w:rsidP="00000000" w:rsidRDefault="00000000" w:rsidRPr="00000000" w14:paraId="000000A0">
      <w:pPr>
        <w:spacing w:after="120" w:line="360" w:lineRule="auto"/>
        <w:ind w:left="0" w:firstLine="709"/>
        <w:jc w:val="both"/>
        <w:rPr>
          <w:highlight w:val="white"/>
        </w:rPr>
      </w:pPr>
      <w:r w:rsidDel="00000000" w:rsidR="00000000" w:rsidRPr="00000000">
        <w:rPr>
          <w:highlight w:val="white"/>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A1">
      <w:pPr>
        <w:pStyle w:val="Heading4"/>
        <w:jc w:val="left"/>
        <w:rPr>
          <w:rFonts w:ascii="Times New Roman" w:cs="Times New Roman" w:eastAsia="Times New Roman" w:hAnsi="Times New Roman"/>
          <w:i w:val="0"/>
          <w:iCs w:val="0"/>
          <w:color w:val="000000"/>
          <w:highlight w:val="white"/>
        </w:rPr>
      </w:pPr>
      <w:bookmarkStart w:colFirst="0" w:colLast="0" w:name="_s033fpnlnvlq" w:id="5"/>
      <w:bookmarkEnd w:id="5"/>
      <w:r w:rsidDel="00000000" w:rsidR="00000000" w:rsidRPr="00000000">
        <w:rPr>
          <w:rFonts w:ascii="Times New Roman" w:cs="Times New Roman" w:eastAsia="Times New Roman" w:hAnsi="Times New Roman"/>
          <w:i w:val="0"/>
          <w:iCs w:val="0"/>
          <w:color w:val="000000"/>
          <w:highlight w:val="white"/>
          <w:rtl w:val="0"/>
        </w:rPr>
        <w:t xml:space="preserve">Fator de segurança</w:t>
      </w:r>
    </w:p>
    <w:p w:rsidR="00000000" w:rsidDel="00000000" w:rsidP="00000000" w:rsidRDefault="00000000" w:rsidRPr="00000000" w14:paraId="000000A2">
      <w:pPr>
        <w:spacing w:after="120" w:line="360" w:lineRule="auto"/>
        <w:ind w:left="0" w:firstLine="709"/>
        <w:jc w:val="both"/>
        <w:rPr>
          <w:highlight w:val="white"/>
        </w:rPr>
      </w:pPr>
      <w:r w:rsidDel="00000000" w:rsidR="00000000" w:rsidRPr="00000000">
        <w:rPr>
          <w:highlight w:val="white"/>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A3">
      <w:pPr>
        <w:spacing w:after="120" w:before="120" w:line="360" w:lineRule="auto"/>
        <w:ind w:left="0" w:firstLine="0"/>
        <w:jc w:val="center"/>
        <w:rPr>
          <w:highlight w:val="white"/>
        </w:rPr>
      </w:pPr>
      <w:r w:rsidDel="00000000" w:rsidR="00000000" w:rsidRPr="00000000">
        <w:rPr>
          <w:highlight w:val="white"/>
          <w:rtl w:val="0"/>
        </w:rPr>
        <w:t xml:space="preserve">FS = τ</w:t>
      </w:r>
      <w:r w:rsidDel="00000000" w:rsidR="00000000" w:rsidRPr="00000000">
        <w:rPr>
          <w:highlight w:val="white"/>
          <w:vertAlign w:val="subscript"/>
          <w:rtl w:val="0"/>
        </w:rPr>
        <w:t xml:space="preserve">f</w:t>
      </w:r>
      <w:r w:rsidDel="00000000" w:rsidR="00000000" w:rsidRPr="00000000">
        <w:rPr>
          <w:highlight w:val="white"/>
          <w:rtl w:val="0"/>
        </w:rPr>
        <w:t xml:space="preserve"> / τ</w:t>
      </w:r>
      <w:r w:rsidDel="00000000" w:rsidR="00000000" w:rsidRPr="00000000">
        <w:rPr>
          <w:highlight w:val="white"/>
          <w:vertAlign w:val="subscript"/>
          <w:rtl w:val="0"/>
        </w:rPr>
        <w:t xml:space="preserve">m</w:t>
      </w:r>
      <w:r w:rsidDel="00000000" w:rsidR="00000000" w:rsidRPr="00000000">
        <w:rPr>
          <w:highlight w:val="white"/>
          <w:rtl w:val="0"/>
        </w:rPr>
        <w:t xml:space="preserve">    (1)</w:t>
      </w:r>
    </w:p>
    <w:p w:rsidR="00000000" w:rsidDel="00000000" w:rsidP="00000000" w:rsidRDefault="00000000" w:rsidRPr="00000000" w14:paraId="000000A4">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5">
      <w:pPr>
        <w:numPr>
          <w:ilvl w:val="0"/>
          <w:numId w:val="4"/>
        </w:numPr>
        <w:spacing w:after="120" w:line="360" w:lineRule="auto"/>
        <w:ind w:left="0" w:firstLine="709"/>
        <w:jc w:val="both"/>
        <w:rPr>
          <w:highlight w:val="white"/>
        </w:rPr>
      </w:pPr>
      <w:r w:rsidDel="00000000" w:rsidR="00000000" w:rsidRPr="00000000">
        <w:rPr>
          <w:highlight w:val="white"/>
          <w:rtl w:val="0"/>
        </w:rPr>
        <w:t xml:space="preserve">FS é o fator de segurança;</w:t>
      </w:r>
    </w:p>
    <w:p w:rsidR="00000000" w:rsidDel="00000000" w:rsidP="00000000" w:rsidRDefault="00000000" w:rsidRPr="00000000" w14:paraId="000000A6">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 do material;</w:t>
      </w:r>
    </w:p>
    <w:p w:rsidR="00000000" w:rsidDel="00000000" w:rsidP="00000000" w:rsidRDefault="00000000" w:rsidRPr="00000000" w14:paraId="000000A7">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m</w:t>
      </w:r>
      <w:r w:rsidDel="00000000" w:rsidR="00000000" w:rsidRPr="00000000">
        <w:rPr>
          <w:highlight w:val="white"/>
          <w:rtl w:val="0"/>
        </w:rPr>
        <w:t xml:space="preserve"> é a tensão cisalhante mobilizada ao longo da superfície potencial de ruptura.</w:t>
      </w:r>
    </w:p>
    <w:p w:rsidR="00000000" w:rsidDel="00000000" w:rsidP="00000000" w:rsidRDefault="00000000" w:rsidRPr="00000000" w14:paraId="000000A8">
      <w:pPr>
        <w:spacing w:after="120" w:line="360" w:lineRule="auto"/>
        <w:ind w:left="0" w:firstLine="709"/>
        <w:jc w:val="both"/>
        <w:rPr>
          <w:highlight w:val="white"/>
        </w:rPr>
      </w:pPr>
      <w:r w:rsidDel="00000000" w:rsidR="00000000" w:rsidRPr="00000000">
        <w:rPr>
          <w:highlight w:val="white"/>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9">
      <w:pPr>
        <w:pStyle w:val="Heading4"/>
        <w:jc w:val="left"/>
        <w:rPr>
          <w:rFonts w:ascii="Times New Roman" w:cs="Times New Roman" w:eastAsia="Times New Roman" w:hAnsi="Times New Roman"/>
          <w:i w:val="0"/>
          <w:iCs w:val="0"/>
          <w:color w:val="000000"/>
          <w:highlight w:val="white"/>
        </w:rPr>
      </w:pPr>
      <w:bookmarkStart w:colFirst="0" w:colLast="0" w:name="_m5qkttbybalp" w:id="6"/>
      <w:bookmarkEnd w:id="6"/>
      <w:r w:rsidDel="00000000" w:rsidR="00000000" w:rsidRPr="00000000">
        <w:rPr>
          <w:rFonts w:ascii="Times New Roman" w:cs="Times New Roman" w:eastAsia="Times New Roman" w:hAnsi="Times New Roman"/>
          <w:i w:val="0"/>
          <w:iCs w:val="0"/>
          <w:color w:val="000000"/>
          <w:highlight w:val="white"/>
          <w:rtl w:val="0"/>
        </w:rPr>
        <w:t xml:space="preserve">Critério de ruptura de Mohr-Coulomb</w:t>
      </w:r>
    </w:p>
    <w:p w:rsidR="00000000" w:rsidDel="00000000" w:rsidP="00000000" w:rsidRDefault="00000000" w:rsidRPr="00000000" w14:paraId="000000AA">
      <w:pPr>
        <w:spacing w:after="120" w:line="360" w:lineRule="auto"/>
        <w:ind w:left="0" w:firstLine="709"/>
        <w:jc w:val="both"/>
        <w:rPr>
          <w:highlight w:val="white"/>
        </w:rPr>
      </w:pPr>
      <w:r w:rsidDel="00000000" w:rsidR="00000000" w:rsidRPr="00000000">
        <w:rPr>
          <w:highlight w:val="white"/>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B">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highlight w:val="white"/>
          <w:rtl w:val="0"/>
        </w:rPr>
        <w:t xml:space="preserve"> tan φ′    (2)</w:t>
      </w:r>
    </w:p>
    <w:p w:rsidR="00000000" w:rsidDel="00000000" w:rsidP="00000000" w:rsidRDefault="00000000" w:rsidRPr="00000000" w14:paraId="000000AC">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D">
      <w:pPr>
        <w:numPr>
          <w:ilvl w:val="0"/>
          <w:numId w:val="1"/>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w:t>
      </w:r>
    </w:p>
    <w:p w:rsidR="00000000" w:rsidDel="00000000" w:rsidP="00000000" w:rsidRDefault="00000000" w:rsidRPr="00000000" w14:paraId="000000AE">
      <w:pPr>
        <w:numPr>
          <w:ilvl w:val="0"/>
          <w:numId w:val="1"/>
        </w:numPr>
        <w:spacing w:after="120" w:line="360" w:lineRule="auto"/>
        <w:ind w:left="0" w:firstLine="709"/>
        <w:jc w:val="both"/>
        <w:rPr>
          <w:highlight w:val="white"/>
        </w:rPr>
      </w:pPr>
      <w:r w:rsidDel="00000000" w:rsidR="00000000" w:rsidRPr="00000000">
        <w:rPr>
          <w:highlight w:val="white"/>
          <w:rtl w:val="0"/>
        </w:rPr>
        <w:t xml:space="preserve">c′ é a coesão efetiva do material;</w:t>
      </w:r>
    </w:p>
    <w:p w:rsidR="00000000" w:rsidDel="00000000" w:rsidP="00000000" w:rsidRDefault="00000000" w:rsidRPr="00000000" w14:paraId="000000AF">
      <w:pPr>
        <w:numPr>
          <w:ilvl w:val="0"/>
          <w:numId w:val="1"/>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 atuante sobre a superfície de ruptura;</w:t>
      </w:r>
    </w:p>
    <w:p w:rsidR="00000000" w:rsidDel="00000000" w:rsidP="00000000" w:rsidRDefault="00000000" w:rsidRPr="00000000" w14:paraId="000000B0">
      <w:pPr>
        <w:numPr>
          <w:ilvl w:val="0"/>
          <w:numId w:val="1"/>
        </w:numPr>
        <w:spacing w:after="120" w:line="360" w:lineRule="auto"/>
        <w:ind w:left="0" w:firstLine="709"/>
        <w:jc w:val="both"/>
        <w:rPr>
          <w:highlight w:val="white"/>
        </w:rPr>
      </w:pPr>
      <w:r w:rsidDel="00000000" w:rsidR="00000000" w:rsidRPr="00000000">
        <w:rPr>
          <w:highlight w:val="white"/>
          <w:rtl w:val="0"/>
        </w:rPr>
        <w:t xml:space="preserve">φ′ é o ângulo de atrito interno efetivo;</w:t>
      </w:r>
    </w:p>
    <w:p w:rsidR="00000000" w:rsidDel="00000000" w:rsidP="00000000" w:rsidRDefault="00000000" w:rsidRPr="00000000" w14:paraId="000000B1">
      <w:pPr>
        <w:numPr>
          <w:ilvl w:val="0"/>
          <w:numId w:val="1"/>
        </w:numPr>
        <w:spacing w:after="120" w:line="360" w:lineRule="auto"/>
        <w:ind w:left="0" w:firstLine="709"/>
        <w:jc w:val="both"/>
        <w:rPr>
          <w:highlight w:val="white"/>
        </w:rPr>
      </w:pPr>
      <w:r w:rsidDel="00000000" w:rsidR="00000000" w:rsidRPr="00000000">
        <w:rPr>
          <w:highlight w:val="white"/>
          <w:rtl w:val="0"/>
        </w:rPr>
        <w:t xml:space="preserve">tan φ′ representa o coeficiente de atrito interno.</w:t>
      </w:r>
    </w:p>
    <w:p w:rsidR="00000000" w:rsidDel="00000000" w:rsidP="00000000" w:rsidRDefault="00000000" w:rsidRPr="00000000" w14:paraId="000000B2">
      <w:pPr>
        <w:spacing w:after="120" w:line="360" w:lineRule="auto"/>
        <w:ind w:left="0" w:firstLine="709"/>
        <w:jc w:val="both"/>
        <w:rPr>
          <w:highlight w:val="white"/>
        </w:rPr>
      </w:pPr>
      <w:r w:rsidDel="00000000" w:rsidR="00000000" w:rsidRPr="00000000">
        <w:rPr>
          <w:highlight w:val="white"/>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B3">
      <w:pPr>
        <w:pStyle w:val="Heading4"/>
        <w:jc w:val="left"/>
        <w:rPr>
          <w:rFonts w:ascii="Times New Roman" w:cs="Times New Roman" w:eastAsia="Times New Roman" w:hAnsi="Times New Roman"/>
          <w:i w:val="0"/>
          <w:iCs w:val="0"/>
          <w:color w:val="000000"/>
          <w:highlight w:val="white"/>
        </w:rPr>
      </w:pPr>
      <w:bookmarkStart w:colFirst="0" w:colLast="0" w:name="_o97v7vltv7hk" w:id="7"/>
      <w:bookmarkEnd w:id="7"/>
      <w:r w:rsidDel="00000000" w:rsidR="00000000" w:rsidRPr="00000000">
        <w:rPr>
          <w:rFonts w:ascii="Times New Roman" w:cs="Times New Roman" w:eastAsia="Times New Roman" w:hAnsi="Times New Roman"/>
          <w:i w:val="0"/>
          <w:iCs w:val="0"/>
          <w:color w:val="000000"/>
          <w:highlight w:val="white"/>
          <w:rtl w:val="0"/>
        </w:rPr>
        <w:t xml:space="preserve">Tensão efetiva e poropressão</w:t>
      </w:r>
    </w:p>
    <w:p w:rsidR="00000000" w:rsidDel="00000000" w:rsidP="00000000" w:rsidRDefault="00000000" w:rsidRPr="00000000" w14:paraId="000000B4">
      <w:pPr>
        <w:spacing w:after="120" w:line="360" w:lineRule="auto"/>
        <w:ind w:left="0" w:firstLine="709"/>
        <w:jc w:val="both"/>
        <w:rPr>
          <w:highlight w:val="white"/>
        </w:rPr>
      </w:pPr>
      <w:r w:rsidDel="00000000" w:rsidR="00000000" w:rsidRPr="00000000">
        <w:rPr>
          <w:highlight w:val="white"/>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r w:rsidDel="00000000" w:rsidR="00000000" w:rsidRPr="00000000">
        <w:rPr>
          <w:rtl w:val="0"/>
        </w:rPr>
      </w:r>
    </w:p>
    <w:p w:rsidR="00000000" w:rsidDel="00000000" w:rsidP="00000000" w:rsidRDefault="00000000" w:rsidRPr="00000000" w14:paraId="000000B5">
      <w:pPr>
        <w:spacing w:after="120" w:before="120" w:line="360" w:lineRule="auto"/>
        <w:ind w:left="0" w:firstLine="0"/>
        <w:jc w:val="center"/>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(3)</w:t>
      </w:r>
    </w:p>
    <w:p w:rsidR="00000000" w:rsidDel="00000000" w:rsidP="00000000" w:rsidRDefault="00000000" w:rsidRPr="00000000" w14:paraId="000000B6">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B7">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w:t>
      </w:r>
    </w:p>
    <w:p w:rsidR="00000000" w:rsidDel="00000000" w:rsidP="00000000" w:rsidRDefault="00000000" w:rsidRPr="00000000" w14:paraId="000000B8">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total;</w:t>
      </w:r>
    </w:p>
    <w:p w:rsidR="00000000" w:rsidDel="00000000" w:rsidP="00000000" w:rsidRDefault="00000000" w:rsidRPr="00000000" w14:paraId="000000B9">
      <w:pPr>
        <w:numPr>
          <w:ilvl w:val="0"/>
          <w:numId w:val="2"/>
        </w:numPr>
        <w:spacing w:after="120" w:line="360" w:lineRule="auto"/>
        <w:ind w:left="0" w:firstLine="709"/>
        <w:jc w:val="both"/>
        <w:rPr>
          <w:highlight w:val="white"/>
        </w:rPr>
      </w:pPr>
      <w:r w:rsidDel="00000000" w:rsidR="00000000" w:rsidRPr="00000000">
        <w:rPr>
          <w:highlight w:val="white"/>
          <w:rtl w:val="0"/>
        </w:rPr>
        <w:t xml:space="preserve">u é a pressão do fluido nos poros, ou poropressão.</w:t>
      </w:r>
    </w:p>
    <w:p w:rsidR="00000000" w:rsidDel="00000000" w:rsidP="00000000" w:rsidRDefault="00000000" w:rsidRPr="00000000" w14:paraId="000000BA">
      <w:pPr>
        <w:spacing w:after="120" w:line="360" w:lineRule="auto"/>
        <w:ind w:left="0" w:firstLine="709"/>
        <w:jc w:val="both"/>
        <w:rPr>
          <w:highlight w:val="white"/>
        </w:rPr>
      </w:pPr>
      <w:r w:rsidDel="00000000" w:rsidR="00000000" w:rsidRPr="00000000">
        <w:rPr>
          <w:highlight w:val="white"/>
          <w:rtl w:val="0"/>
        </w:rPr>
        <w:t xml:space="preserve">Substituindo a Equação 3 no critério de Mohr-Coulomb, obtém-se:</w:t>
      </w:r>
    </w:p>
    <w:p w:rsidR="00000000" w:rsidDel="00000000" w:rsidP="00000000" w:rsidRDefault="00000000" w:rsidRPr="00000000" w14:paraId="000000BB">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(4)</w:t>
      </w:r>
    </w:p>
    <w:p w:rsidR="00000000" w:rsidDel="00000000" w:rsidP="00000000" w:rsidRDefault="00000000" w:rsidRPr="00000000" w14:paraId="000000BC">
      <w:pPr>
        <w:spacing w:after="120" w:line="360" w:lineRule="auto"/>
        <w:ind w:left="0" w:firstLine="709"/>
        <w:jc w:val="both"/>
        <w:rPr>
          <w:highlight w:val="white"/>
        </w:rPr>
      </w:pPr>
      <w:r w:rsidDel="00000000" w:rsidR="00000000" w:rsidRPr="00000000">
        <w:rPr>
          <w:highlight w:val="white"/>
          <w:rtl w:val="0"/>
        </w:rPr>
        <w:t xml:space="preserve">Com isso, o fator de segurança pode ser representado de forma simplificada por:</w:t>
      </w:r>
    </w:p>
    <w:p w:rsidR="00000000" w:rsidDel="00000000" w:rsidP="00000000" w:rsidRDefault="00000000" w:rsidRPr="00000000" w14:paraId="000000BD">
      <w:pPr>
        <w:spacing w:after="120" w:before="120" w:line="360" w:lineRule="auto"/>
        <w:ind w:left="0" w:firstLine="0"/>
        <w:jc w:val="center"/>
        <w:rPr>
          <w:highlight w:val="white"/>
        </w:rPr>
      </w:pPr>
      <w:r w:rsidDel="00000000" w:rsidR="00000000" w:rsidRPr="00000000">
        <w:rPr>
          <w:highlight w:val="white"/>
          <w:rtl w:val="0"/>
        </w:rPr>
        <w:t xml:space="preserve">FS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 τ</w:t>
      </w:r>
      <w:r w:rsidDel="00000000" w:rsidR="00000000" w:rsidRPr="00000000">
        <w:rPr>
          <w:highlight w:val="white"/>
          <w:vertAlign w:val="subscript"/>
          <w:rtl w:val="0"/>
        </w:rPr>
        <w:t xml:space="preserve">m</w:t>
      </w:r>
      <w:r w:rsidDel="00000000" w:rsidR="00000000" w:rsidRPr="00000000">
        <w:rPr>
          <w:highlight w:val="white"/>
          <w:rtl w:val="0"/>
        </w:rPr>
        <w:t xml:space="preserve">    (5)</w:t>
      </w:r>
    </w:p>
    <w:p w:rsidR="00000000" w:rsidDel="00000000" w:rsidP="00000000" w:rsidRDefault="00000000" w:rsidRPr="00000000" w14:paraId="000000BE">
      <w:pPr>
        <w:spacing w:after="120" w:line="360" w:lineRule="auto"/>
        <w:ind w:left="0" w:firstLine="709"/>
        <w:jc w:val="both"/>
        <w:rPr>
          <w:highlight w:val="white"/>
        </w:rPr>
      </w:pPr>
      <w:r w:rsidDel="00000000" w:rsidR="00000000" w:rsidRPr="00000000">
        <w:rPr>
          <w:highlight w:val="white"/>
          <w:rtl w:val="0"/>
        </w:rPr>
        <w:t xml:space="preserve">As forças atuantes sobre um bloco sedimentar em um talude e o equilíbrio entre a componente tangencial do peso e a resistência ao cisalhamento são representados na Figura 5(a). Nos sedimentos saturados, a água ocupa os espaços entre os grãos e o excesso de poropressão reduz o contato efetivo entre eles, como ilustrado na Figura 5(b). As equações mostram que esse aumento da poropressão reduz a tensão efetiva e, consequentemente, a resistência ao cisalhamento; a variação da tensão total, da poropressão e da tensão efetiva com a profundidade é apresentada na Figura 5(c). Quando a poropressão se aproxima da tensão normal total, a tensão efetiva tende a valores muito baixos e o sedimento perde grande parte de sua resistência. Nessas condições, mesmo um pequeno aumento da tensão cisalhante pode provocar a ruptura (Hampton et al., 1996; Talling et al., 2014). Na figura, a poropressão e o ângulo de atrito são representados por μ e θ; neste texto e nas equações, adotam-se u e φ′, respectivamente.</w:t>
      </w:r>
    </w:p>
    <w:p w:rsidR="00000000" w:rsidDel="00000000" w:rsidP="00000000" w:rsidRDefault="00000000" w:rsidRPr="00000000" w14:paraId="000000BF">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3481083" cy="5218748"/>
            <wp:effectExtent b="0" l="0" r="0" t="0"/>
            <wp:docPr id="8"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3481083" cy="5218748"/>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before="0" w:line="240" w:lineRule="auto"/>
        <w:ind w:left="0" w:firstLine="0"/>
        <w:jc w:val="center"/>
        <w:rPr>
          <w:sz w:val="20"/>
          <w:szCs w:val="20"/>
        </w:rPr>
      </w:pPr>
      <w:r w:rsidDel="00000000" w:rsidR="00000000" w:rsidRPr="00000000">
        <w:rPr>
          <w:sz w:val="20"/>
          <w:szCs w:val="20"/>
          <w:rtl w:val="0"/>
        </w:rPr>
        <w:t xml:space="preserve">Figura 5 — Relações de força e condições de estabilidade em sedimentos marinhos: (a) equilíbrio entre a força motriz e a resistência ao cisalhamento em um talude; (b) excesso de poropressão no espaço poroso do sedimento; (c) variação da tensão total, da poropressão e da tensão efetiva com a profundidade</w:t>
      </w:r>
    </w:p>
    <w:p w:rsidR="00000000" w:rsidDel="00000000" w:rsidP="00000000" w:rsidRDefault="00000000" w:rsidRPr="00000000" w14:paraId="000000C1">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C2">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ighlknxj0qpm" w:id="8"/>
      <w:bookmarkEnd w:id="8"/>
      <w:r w:rsidDel="00000000" w:rsidR="00000000" w:rsidRPr="00000000">
        <w:rPr>
          <w:rFonts w:ascii="Times New Roman" w:cs="Times New Roman" w:eastAsia="Times New Roman" w:hAnsi="Times New Roman"/>
          <w:i w:val="0"/>
          <w:iCs w:val="0"/>
          <w:color w:val="000000"/>
          <w:highlight w:val="white"/>
          <w:rtl w:val="0"/>
        </w:rPr>
        <w:t xml:space="preserve">2.3.1.1 Fatores condicionantes e mecanismos de gatilho </w:t>
      </w:r>
    </w:p>
    <w:p w:rsidR="00000000" w:rsidDel="00000000" w:rsidP="00000000" w:rsidRDefault="00000000" w:rsidRPr="00000000" w14:paraId="000000C3">
      <w:pPr>
        <w:spacing w:after="120" w:before="0" w:line="360" w:lineRule="auto"/>
        <w:ind w:left="0" w:firstLine="709"/>
        <w:jc w:val="both"/>
        <w:rPr>
          <w:highlight w:val="white"/>
        </w:rPr>
      </w:pPr>
      <w:r w:rsidDel="00000000" w:rsidR="00000000" w:rsidRPr="00000000">
        <w:rPr>
          <w:highlight w:val="white"/>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C4">
      <w:pPr>
        <w:spacing w:after="120" w:before="0" w:line="360" w:lineRule="auto"/>
        <w:ind w:left="0" w:firstLine="709"/>
        <w:jc w:val="both"/>
        <w:rPr>
          <w:highlight w:val="white"/>
        </w:rPr>
      </w:pPr>
      <w:r w:rsidDel="00000000" w:rsidR="00000000" w:rsidRPr="00000000">
        <w:rPr>
          <w:highlight w:val="white"/>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C5">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poexuqct3yzg" w:id="9"/>
      <w:bookmarkEnd w:id="9"/>
      <w:r w:rsidDel="00000000" w:rsidR="00000000" w:rsidRPr="00000000">
        <w:rPr>
          <w:rFonts w:ascii="Times New Roman" w:cs="Times New Roman" w:eastAsia="Times New Roman" w:hAnsi="Times New Roman"/>
          <w:i w:val="0"/>
          <w:iCs w:val="0"/>
          <w:color w:val="000000"/>
          <w:highlight w:val="white"/>
          <w:rtl w:val="0"/>
        </w:rPr>
        <w:t xml:space="preserve">Sedimentação rápida</w:t>
      </w:r>
    </w:p>
    <w:p w:rsidR="00000000" w:rsidDel="00000000" w:rsidP="00000000" w:rsidRDefault="00000000" w:rsidRPr="00000000" w14:paraId="000000C6">
      <w:pPr>
        <w:spacing w:after="120" w:before="0" w:line="360" w:lineRule="auto"/>
        <w:ind w:left="0" w:firstLine="709"/>
        <w:jc w:val="both"/>
        <w:rPr>
          <w:highlight w:val="white"/>
        </w:rPr>
      </w:pPr>
      <w:r w:rsidDel="00000000" w:rsidR="00000000" w:rsidRPr="00000000">
        <w:rPr>
          <w:highlight w:val="white"/>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C7">
      <w:pPr>
        <w:spacing w:after="120" w:before="0" w:line="360" w:lineRule="auto"/>
        <w:ind w:left="0" w:firstLine="709"/>
        <w:jc w:val="both"/>
        <w:rPr>
          <w:highlight w:val="white"/>
        </w:rPr>
      </w:pPr>
      <w:r w:rsidDel="00000000" w:rsidR="00000000" w:rsidRPr="00000000">
        <w:rPr>
          <w:highlight w:val="white"/>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 Dois modelos conceituais de ruptura associados à acumulação rápida são apresentados na Figura 6.</w:t>
      </w:r>
    </w:p>
    <w:p w:rsidR="00000000" w:rsidDel="00000000" w:rsidP="00000000" w:rsidRDefault="00000000" w:rsidRPr="00000000" w14:paraId="000000C8">
      <w:pPr>
        <w:ind w:firstLine="720"/>
        <w:jc w:val="both"/>
        <w:rPr/>
      </w:pPr>
      <w:r w:rsidDel="00000000" w:rsidR="00000000" w:rsidRPr="00000000">
        <w:rPr>
          <w:rtl w:val="0"/>
        </w:rPr>
      </w:r>
    </w:p>
    <w:p w:rsidR="00000000" w:rsidDel="00000000" w:rsidP="00000000" w:rsidRDefault="00000000" w:rsidRPr="00000000" w14:paraId="000000C9">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759775" cy="3873500"/>
            <wp:effectExtent b="0" l="0" r="0" t="0"/>
            <wp:docPr id="4"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5977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after="120" w:before="0" w:line="240" w:lineRule="auto"/>
        <w:ind w:left="0" w:firstLine="0"/>
        <w:jc w:val="center"/>
        <w:rPr>
          <w:sz w:val="20"/>
          <w:szCs w:val="20"/>
          <w:highlight w:val="white"/>
        </w:rPr>
      </w:pPr>
      <w:r w:rsidDel="00000000" w:rsidR="00000000" w:rsidRPr="00000000">
        <w:rPr>
          <w:sz w:val="20"/>
          <w:szCs w:val="20"/>
          <w:rtl w:val="0"/>
        </w:rPr>
        <w:t xml:space="preserve">Figura 6 — Modelos de ruptura do talude continental associados à rápida acumulação de sedimentos de baixa permeabilidade: (a) ruptura iniciada em águas rasas sob elevada taxa de sedimentação; (b) ruptura iniciada em águas profundas pelo fluxo lateral do fluido intersticial em direção ao sopé do talude, com propagação retrogressiva para as porções superiores</w:t>
      </w:r>
      <w:r w:rsidDel="00000000" w:rsidR="00000000" w:rsidRPr="00000000">
        <w:rPr>
          <w:rtl w:val="0"/>
        </w:rPr>
      </w:r>
    </w:p>
    <w:p w:rsidR="00000000" w:rsidDel="00000000" w:rsidP="00000000" w:rsidRDefault="00000000" w:rsidRPr="00000000" w14:paraId="000000CB">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CC">
      <w:pPr>
        <w:ind w:firstLine="709"/>
        <w:jc w:val="both"/>
        <w:rPr>
          <w:highlight w:val="white"/>
        </w:rPr>
      </w:pPr>
      <w:r w:rsidDel="00000000" w:rsidR="00000000" w:rsidRPr="00000000">
        <w:rPr>
          <w:rtl w:val="0"/>
        </w:rPr>
      </w:r>
    </w:p>
    <w:p w:rsidR="00000000" w:rsidDel="00000000" w:rsidP="00000000" w:rsidRDefault="00000000" w:rsidRPr="00000000" w14:paraId="000000CD">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3ujkyzlmb02h" w:id="10"/>
      <w:bookmarkEnd w:id="10"/>
      <w:r w:rsidDel="00000000" w:rsidR="00000000" w:rsidRPr="00000000">
        <w:rPr>
          <w:rFonts w:ascii="Times New Roman" w:cs="Times New Roman" w:eastAsia="Times New Roman" w:hAnsi="Times New Roman"/>
          <w:i w:val="0"/>
          <w:iCs w:val="0"/>
          <w:color w:val="000000"/>
          <w:highlight w:val="white"/>
          <w:rtl w:val="0"/>
        </w:rPr>
        <w:t xml:space="preserve">Abalos sísmicos</w:t>
      </w:r>
    </w:p>
    <w:p w:rsidR="00000000" w:rsidDel="00000000" w:rsidP="00000000" w:rsidRDefault="00000000" w:rsidRPr="00000000" w14:paraId="000000CE">
      <w:pPr>
        <w:spacing w:after="120" w:before="0" w:line="360" w:lineRule="auto"/>
        <w:ind w:left="0" w:firstLine="709"/>
        <w:jc w:val="both"/>
        <w:rPr>
          <w:highlight w:val="white"/>
        </w:rPr>
      </w:pPr>
      <w:r w:rsidDel="00000000" w:rsidR="00000000" w:rsidRPr="00000000">
        <w:rPr>
          <w:highlight w:val="white"/>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CF">
      <w:pPr>
        <w:spacing w:after="120" w:before="0" w:line="360" w:lineRule="auto"/>
        <w:ind w:left="0" w:firstLine="709"/>
        <w:jc w:val="both"/>
        <w:rPr>
          <w:highlight w:val="white"/>
        </w:rPr>
      </w:pPr>
      <w:r w:rsidDel="00000000" w:rsidR="00000000" w:rsidRPr="00000000">
        <w:rPr>
          <w:highlight w:val="white"/>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D0">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19az0jlrmk1v" w:id="11"/>
      <w:bookmarkEnd w:id="11"/>
      <w:r w:rsidDel="00000000" w:rsidR="00000000" w:rsidRPr="00000000">
        <w:rPr>
          <w:rFonts w:ascii="Times New Roman" w:cs="Times New Roman" w:eastAsia="Times New Roman" w:hAnsi="Times New Roman"/>
          <w:i w:val="0"/>
          <w:iCs w:val="0"/>
          <w:color w:val="000000"/>
          <w:highlight w:val="white"/>
          <w:rtl w:val="0"/>
        </w:rPr>
        <w:t xml:space="preserve">Erosão e aumento da inclinação</w:t>
      </w:r>
    </w:p>
    <w:p w:rsidR="00000000" w:rsidDel="00000000" w:rsidP="00000000" w:rsidRDefault="00000000" w:rsidRPr="00000000" w14:paraId="000000D1">
      <w:pPr>
        <w:spacing w:after="120" w:before="0" w:line="360" w:lineRule="auto"/>
        <w:ind w:left="0" w:firstLine="709"/>
        <w:jc w:val="both"/>
        <w:rPr>
          <w:highlight w:val="white"/>
        </w:rPr>
      </w:pPr>
      <w:r w:rsidDel="00000000" w:rsidR="00000000" w:rsidRPr="00000000">
        <w:rPr>
          <w:highlight w:val="white"/>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D2">
      <w:pPr>
        <w:spacing w:after="120" w:before="0" w:line="360" w:lineRule="auto"/>
        <w:ind w:left="0" w:firstLine="709"/>
        <w:jc w:val="both"/>
        <w:rPr>
          <w:highlight w:val="white"/>
        </w:rPr>
      </w:pPr>
      <w:r w:rsidDel="00000000" w:rsidR="00000000" w:rsidRPr="00000000">
        <w:rPr>
          <w:highlight w:val="white"/>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D3">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sv9o58cb0k7p" w:id="12"/>
      <w:bookmarkEnd w:id="12"/>
      <w:r w:rsidDel="00000000" w:rsidR="00000000" w:rsidRPr="00000000">
        <w:rPr>
          <w:rFonts w:ascii="Times New Roman" w:cs="Times New Roman" w:eastAsia="Times New Roman" w:hAnsi="Times New Roman"/>
          <w:i w:val="0"/>
          <w:iCs w:val="0"/>
          <w:color w:val="000000"/>
          <w:highlight w:val="white"/>
          <w:rtl w:val="0"/>
        </w:rPr>
        <w:t xml:space="preserve">Diapirismo e deformação tectônica</w:t>
      </w:r>
    </w:p>
    <w:p w:rsidR="00000000" w:rsidDel="00000000" w:rsidP="00000000" w:rsidRDefault="00000000" w:rsidRPr="00000000" w14:paraId="000000D4">
      <w:pPr>
        <w:spacing w:after="120" w:before="0" w:line="360" w:lineRule="auto"/>
        <w:ind w:left="0" w:firstLine="709"/>
        <w:jc w:val="both"/>
        <w:rPr>
          <w:highlight w:val="white"/>
        </w:rPr>
      </w:pPr>
      <w:r w:rsidDel="00000000" w:rsidR="00000000" w:rsidRPr="00000000">
        <w:rPr>
          <w:highlight w:val="white"/>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D5">
      <w:pPr>
        <w:spacing w:after="120" w:before="0" w:line="360" w:lineRule="auto"/>
        <w:ind w:left="0" w:firstLine="709"/>
        <w:jc w:val="both"/>
        <w:rPr>
          <w:highlight w:val="white"/>
        </w:rPr>
      </w:pPr>
      <w:r w:rsidDel="00000000" w:rsidR="00000000" w:rsidRPr="00000000">
        <w:rPr>
          <w:highlight w:val="white"/>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D6">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j15pg8ark3qm" w:id="13"/>
      <w:bookmarkEnd w:id="13"/>
      <w:r w:rsidDel="00000000" w:rsidR="00000000" w:rsidRPr="00000000">
        <w:rPr>
          <w:rFonts w:ascii="Times New Roman" w:cs="Times New Roman" w:eastAsia="Times New Roman" w:hAnsi="Times New Roman"/>
          <w:i w:val="0"/>
          <w:iCs w:val="0"/>
          <w:color w:val="000000"/>
          <w:highlight w:val="white"/>
          <w:rtl w:val="0"/>
        </w:rPr>
        <w:t xml:space="preserve">Migração de fluidos e gases</w:t>
      </w:r>
    </w:p>
    <w:p w:rsidR="00000000" w:rsidDel="00000000" w:rsidP="00000000" w:rsidRDefault="00000000" w:rsidRPr="00000000" w14:paraId="000000D7">
      <w:pPr>
        <w:spacing w:after="120" w:before="0" w:line="360" w:lineRule="auto"/>
        <w:ind w:left="0" w:firstLine="709"/>
        <w:jc w:val="both"/>
        <w:rPr>
          <w:highlight w:val="white"/>
        </w:rPr>
      </w:pPr>
      <w:r w:rsidDel="00000000" w:rsidR="00000000" w:rsidRPr="00000000">
        <w:rPr>
          <w:highlight w:val="white"/>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D8">
      <w:pPr>
        <w:spacing w:after="120" w:before="0" w:line="360" w:lineRule="auto"/>
        <w:ind w:left="0" w:firstLine="709"/>
        <w:jc w:val="both"/>
        <w:rPr>
          <w:highlight w:val="white"/>
        </w:rPr>
      </w:pPr>
      <w:r w:rsidDel="00000000" w:rsidR="00000000" w:rsidRPr="00000000">
        <w:rPr>
          <w:highlight w:val="white"/>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D9">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anupzua4hx0o" w:id="14"/>
      <w:bookmarkEnd w:id="14"/>
      <w:r w:rsidDel="00000000" w:rsidR="00000000" w:rsidRPr="00000000">
        <w:rPr>
          <w:rFonts w:ascii="Times New Roman" w:cs="Times New Roman" w:eastAsia="Times New Roman" w:hAnsi="Times New Roman"/>
          <w:i w:val="0"/>
          <w:iCs w:val="0"/>
          <w:color w:val="000000"/>
          <w:highlight w:val="white"/>
          <w:rtl w:val="0"/>
        </w:rPr>
        <w:t xml:space="preserve">Dissociação de hidratos de gás</w:t>
      </w:r>
    </w:p>
    <w:p w:rsidR="00000000" w:rsidDel="00000000" w:rsidP="00000000" w:rsidRDefault="00000000" w:rsidRPr="00000000" w14:paraId="000000DA">
      <w:pPr>
        <w:spacing w:after="120" w:before="0" w:line="360" w:lineRule="auto"/>
        <w:ind w:left="0" w:firstLine="709"/>
        <w:jc w:val="both"/>
        <w:rPr>
          <w:highlight w:val="white"/>
        </w:rPr>
      </w:pPr>
      <w:r w:rsidDel="00000000" w:rsidR="00000000" w:rsidRPr="00000000">
        <w:rPr>
          <w:highlight w:val="white"/>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DB">
      <w:pPr>
        <w:spacing w:after="120" w:before="0" w:line="360" w:lineRule="auto"/>
        <w:ind w:left="0" w:firstLine="709"/>
        <w:jc w:val="both"/>
        <w:rPr>
          <w:highlight w:val="white"/>
        </w:rPr>
      </w:pPr>
      <w:r w:rsidDel="00000000" w:rsidR="00000000" w:rsidRPr="00000000">
        <w:rPr>
          <w:highlight w:val="white"/>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 Os mecanismos propostos para essa associação são sintetizados na Figura 7.</w:t>
      </w:r>
    </w:p>
    <w:p w:rsidR="00000000" w:rsidDel="00000000" w:rsidP="00000000" w:rsidRDefault="00000000" w:rsidRPr="00000000" w14:paraId="000000DC">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759775" cy="4127500"/>
            <wp:effectExtent b="0" l="0" r="0" t="0"/>
            <wp:docPr id="12"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59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120" w:before="0" w:line="240" w:lineRule="auto"/>
        <w:ind w:left="0" w:firstLine="0"/>
        <w:jc w:val="center"/>
        <w:rPr>
          <w:sz w:val="20"/>
          <w:szCs w:val="20"/>
        </w:rPr>
      </w:pPr>
      <w:r w:rsidDel="00000000" w:rsidR="00000000" w:rsidRPr="00000000">
        <w:rPr>
          <w:sz w:val="20"/>
          <w:szCs w:val="20"/>
          <w:rtl w:val="0"/>
        </w:rPr>
        <w:t xml:space="preserve">Figura 7 — Síntese dos processos de dissociação de hidratos de gás propostos como possíveis causas de movimentos de massa submarinos ou de emissões de metano</w:t>
      </w:r>
    </w:p>
    <w:p w:rsidR="00000000" w:rsidDel="00000000" w:rsidP="00000000" w:rsidRDefault="00000000" w:rsidRPr="00000000" w14:paraId="000000DE">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DF">
      <w:pPr>
        <w:ind w:firstLine="709"/>
        <w:jc w:val="both"/>
        <w:rPr/>
      </w:pPr>
      <w:r w:rsidDel="00000000" w:rsidR="00000000" w:rsidRPr="00000000">
        <w:rPr>
          <w:rtl w:val="0"/>
        </w:rPr>
      </w:r>
    </w:p>
    <w:p w:rsidR="00000000" w:rsidDel="00000000" w:rsidP="00000000" w:rsidRDefault="00000000" w:rsidRPr="00000000" w14:paraId="000000E0">
      <w:pPr>
        <w:pStyle w:val="Heading4"/>
        <w:keepNext w:val="1"/>
        <w:spacing w:after="120" w:before="240" w:line="360" w:lineRule="auto"/>
        <w:ind w:firstLine="0"/>
        <w:jc w:val="left"/>
        <w:rPr>
          <w:rFonts w:ascii="Times New Roman" w:cs="Times New Roman" w:eastAsia="Times New Roman" w:hAnsi="Times New Roman"/>
          <w:i w:val="0"/>
          <w:iCs w:val="0"/>
          <w:color w:val="000000"/>
          <w:highlight w:val="white"/>
        </w:rPr>
      </w:pPr>
      <w:bookmarkStart w:colFirst="0" w:colLast="0" w:name="_kdpzfnkswo38" w:id="15"/>
      <w:bookmarkEnd w:id="15"/>
      <w:r w:rsidDel="00000000" w:rsidR="00000000" w:rsidRPr="00000000">
        <w:rPr>
          <w:rFonts w:ascii="Times New Roman" w:cs="Times New Roman" w:eastAsia="Times New Roman" w:hAnsi="Times New Roman"/>
          <w:i w:val="0"/>
          <w:iCs w:val="0"/>
          <w:color w:val="000000"/>
          <w:highlight w:val="white"/>
          <w:rtl w:val="0"/>
        </w:rPr>
        <w:t xml:space="preserve">Ondas e carregamento hidrodinâmico</w:t>
      </w:r>
    </w:p>
    <w:p w:rsidR="00000000" w:rsidDel="00000000" w:rsidP="00000000" w:rsidRDefault="00000000" w:rsidRPr="00000000" w14:paraId="000000E1">
      <w:pPr>
        <w:spacing w:after="120" w:before="0" w:line="360" w:lineRule="auto"/>
        <w:ind w:left="0" w:firstLine="709"/>
        <w:jc w:val="both"/>
        <w:rPr>
          <w:highlight w:val="white"/>
        </w:rPr>
      </w:pPr>
      <w:r w:rsidDel="00000000" w:rsidR="00000000" w:rsidRPr="00000000">
        <w:rPr>
          <w:highlight w:val="white"/>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E2">
      <w:pPr>
        <w:spacing w:after="120" w:before="0" w:line="360" w:lineRule="auto"/>
        <w:ind w:left="0" w:firstLine="709"/>
        <w:jc w:val="both"/>
        <w:rPr>
          <w:highlight w:val="white"/>
        </w:rPr>
      </w:pPr>
      <w:r w:rsidDel="00000000" w:rsidR="00000000" w:rsidRPr="00000000">
        <w:rPr>
          <w:highlight w:val="white"/>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E3">
      <w:pPr>
        <w:spacing w:after="120" w:before="0" w:line="360" w:lineRule="auto"/>
        <w:ind w:left="0" w:firstLine="709"/>
        <w:jc w:val="both"/>
        <w:rPr>
          <w:highlight w:val="white"/>
        </w:rPr>
      </w:pPr>
      <w:r w:rsidDel="00000000" w:rsidR="00000000" w:rsidRPr="00000000">
        <w:rPr>
          <w:highlight w:val="white"/>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E4">
      <w:pPr>
        <w:pStyle w:val="Heading3"/>
        <w:keepNext w:val="1"/>
        <w:spacing w:after="120" w:before="240" w:line="360" w:lineRule="auto"/>
        <w:ind w:firstLine="0"/>
        <w:jc w:val="left"/>
        <w:rPr/>
      </w:pPr>
      <w:bookmarkStart w:colFirst="0" w:colLast="0" w:name="_h9bhwpu5q0yx" w:id="16"/>
      <w:bookmarkEnd w:id="16"/>
      <w:r w:rsidDel="00000000" w:rsidR="00000000" w:rsidRPr="00000000">
        <w:rPr>
          <w:highlight w:val="white"/>
          <w:rtl w:val="0"/>
        </w:rPr>
        <w:t xml:space="preserve">2.3.2 </w:t>
      </w:r>
      <w:r w:rsidDel="00000000" w:rsidR="00000000" w:rsidRPr="00000000">
        <w:rPr>
          <w:rtl w:val="0"/>
        </w:rPr>
        <w:t xml:space="preserve">Identificação dos depósitos de movimentos de massa em dados sísmicos </w:t>
      </w:r>
    </w:p>
    <w:p w:rsidR="00000000" w:rsidDel="00000000" w:rsidP="00000000" w:rsidRDefault="00000000" w:rsidRPr="00000000" w14:paraId="000000E5">
      <w:pPr>
        <w:spacing w:after="120" w:before="0" w:line="360" w:lineRule="auto"/>
        <w:ind w:left="0" w:firstLine="709"/>
        <w:jc w:val="both"/>
        <w:rPr/>
      </w:pPr>
      <w:r w:rsidDel="00000000" w:rsidR="00000000" w:rsidRPr="00000000">
        <w:rPr>
          <w:rtl w:val="0"/>
        </w:rPr>
        <w:t xml:space="preserve">Os depósitos de movimentos de massa podem ser reconhecidos em dados de sísmica de reflexão pela análise integrada de sua geometria externa, das superfícies que os limitam e do padrão das reflexões internas. De modo geral, esses depósitos são constituídos por uma superfície de ruptura e uma massa deslocada, associadas a feições como cicatriz principal, fissuras, cicatrizes secundárias, topo e base do corpo (Figura 8). A preservação e a expressão sísmica desses elementos variam conforme o mecanismo de transporte, o grau de deformação, o soterramento e a resolução dos dados </w:t>
      </w:r>
      <w:r w:rsidDel="00000000" w:rsidR="00000000" w:rsidRPr="00000000">
        <w:rPr>
          <w:rtl w:val="0"/>
        </w:rPr>
        <w:t xml:space="preserve">(Hampton </w:t>
      </w:r>
      <w:r w:rsidDel="00000000" w:rsidR="00000000" w:rsidRPr="00000000">
        <w:rPr>
          <w:i w:val="1"/>
          <w:iCs w:val="1"/>
          <w:rtl w:val="0"/>
        </w:rPr>
        <w:t xml:space="preserve">et al</w:t>
      </w:r>
      <w:r w:rsidDel="00000000" w:rsidR="00000000" w:rsidRPr="00000000">
        <w:rPr>
          <w:rtl w:val="0"/>
        </w:rPr>
        <w:t xml:space="preserve">., 1996; Posamentier &amp; Martinsen, 2011). </w:t>
      </w:r>
    </w:p>
    <w:p w:rsidR="00000000" w:rsidDel="00000000" w:rsidP="00000000" w:rsidRDefault="00000000" w:rsidRPr="00000000" w14:paraId="000000E6">
      <w:pPr>
        <w:spacing w:after="120" w:before="0" w:line="240" w:lineRule="auto"/>
        <w:ind w:left="0" w:firstLine="0"/>
        <w:jc w:val="center"/>
        <w:rPr/>
      </w:pPr>
      <w:r w:rsidDel="00000000" w:rsidR="00000000" w:rsidRPr="00000000">
        <w:rPr/>
        <w:drawing>
          <wp:inline distB="114300" distT="114300" distL="114300" distR="114300">
            <wp:extent cx="5362575" cy="3676650"/>
            <wp:effectExtent b="0" l="0" r="0" t="0"/>
            <wp:docPr id="9"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362575" cy="367665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120" w:before="0" w:line="240" w:lineRule="auto"/>
        <w:ind w:left="0" w:firstLine="0"/>
        <w:jc w:val="center"/>
        <w:rPr>
          <w:sz w:val="20"/>
          <w:szCs w:val="20"/>
        </w:rPr>
      </w:pPr>
      <w:r w:rsidDel="00000000" w:rsidR="00000000" w:rsidRPr="00000000">
        <w:rPr>
          <w:sz w:val="20"/>
          <w:szCs w:val="20"/>
          <w:rtl w:val="0"/>
        </w:rPr>
        <w:t xml:space="preserve">Figura 8 — Principais elementos geométricos de um movimento de massa submarino. O esquema representa uma configuração simplificada e não contempla todos os tipos de movimentos de massa.</w:t>
      </w:r>
    </w:p>
    <w:p w:rsidR="00000000" w:rsidDel="00000000" w:rsidP="00000000" w:rsidRDefault="00000000" w:rsidRPr="00000000" w14:paraId="000000E8">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Hampton et al. (1996).</w:t>
      </w:r>
      <w:r w:rsidDel="00000000" w:rsidR="00000000" w:rsidRPr="00000000">
        <w:rPr>
          <w:rtl w:val="0"/>
        </w:rPr>
      </w:r>
    </w:p>
    <w:p w:rsidR="00000000" w:rsidDel="00000000" w:rsidP="00000000" w:rsidRDefault="00000000" w:rsidRPr="00000000" w14:paraId="000000E9">
      <w:pPr>
        <w:spacing w:after="120" w:before="0" w:line="360" w:lineRule="auto"/>
        <w:ind w:left="0" w:firstLine="709"/>
        <w:jc w:val="both"/>
        <w:rPr/>
      </w:pPr>
      <w:r w:rsidDel="00000000" w:rsidR="00000000" w:rsidRPr="00000000">
        <w:rPr>
          <w:rtl w:val="0"/>
        </w:rPr>
        <w:t xml:space="preserve">Na interpretação sísmica, o reconhecimento dessas feições é favorecido pela integração entre seções verticais e mapas de superfície, quando possível. As seções permitem observar a superfície basal de cisalhamento, o limite superior do depósito e a deformação dos refletores internos, enquanto a análise em planta auxilia na delimitação da escarpa de cabeceira, das margens laterais e da distribuição espacial da massa deslocada (Figura 9). Internamente, os MTDs são frequentemente caracterizados por reflexões caóticas, descontínuas, contorcidas ou transparentes, que contrastam com os refletores mais contínuos e paralelos das unidades não deformadas adjacentes (Posamentier &amp; Martinsen, 2011; Scarselli, 2020). </w:t>
      </w:r>
    </w:p>
    <w:p w:rsidR="00000000" w:rsidDel="00000000" w:rsidP="00000000" w:rsidRDefault="00000000" w:rsidRPr="00000000" w14:paraId="000000EA">
      <w:pPr>
        <w:spacing w:after="120" w:before="0" w:line="240" w:lineRule="auto"/>
        <w:ind w:left="0" w:firstLine="0"/>
        <w:jc w:val="center"/>
        <w:rPr/>
      </w:pPr>
      <w:r w:rsidDel="00000000" w:rsidR="00000000" w:rsidRPr="00000000">
        <w:rPr/>
        <w:drawing>
          <wp:inline distB="114300" distT="114300" distL="114300" distR="114300">
            <wp:extent cx="5759775" cy="4889500"/>
            <wp:effectExtent b="0" l="0" r="0" t="0"/>
            <wp:docPr id="1"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59775"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120" w:before="0" w:line="240" w:lineRule="auto"/>
        <w:ind w:left="0" w:firstLine="0"/>
        <w:jc w:val="center"/>
        <w:rPr>
          <w:sz w:val="20"/>
          <w:szCs w:val="20"/>
        </w:rPr>
      </w:pPr>
      <w:r w:rsidDel="00000000" w:rsidR="00000000" w:rsidRPr="00000000">
        <w:rPr>
          <w:sz w:val="20"/>
          <w:szCs w:val="20"/>
          <w:rtl w:val="0"/>
        </w:rPr>
        <w:t xml:space="preserve">Figura 9 — Exemplo de movimento de massa submarino em dados de sísmica de reflexão: (a) mapa estrutural da superfície de topo, com a distribuição do depósito e as escarpas de cabeceira; (b) seção sísmica vertical, com a superfície de topo, a superfície basal de cisalhamento e a massa sedimentar deformada.</w:t>
      </w:r>
    </w:p>
    <w:p w:rsidR="00000000" w:rsidDel="00000000" w:rsidP="00000000" w:rsidRDefault="00000000" w:rsidRPr="00000000" w14:paraId="000000EC">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Scarselli (2020).</w:t>
      </w:r>
      <w:r w:rsidDel="00000000" w:rsidR="00000000" w:rsidRPr="00000000">
        <w:rPr>
          <w:rtl w:val="0"/>
        </w:rPr>
      </w:r>
    </w:p>
    <w:p w:rsidR="00000000" w:rsidDel="00000000" w:rsidP="00000000" w:rsidRDefault="00000000" w:rsidRPr="00000000" w14:paraId="000000ED">
      <w:pPr>
        <w:spacing w:after="120" w:before="0" w:line="360" w:lineRule="auto"/>
        <w:ind w:left="0" w:firstLine="709"/>
        <w:jc w:val="both"/>
        <w:rPr/>
      </w:pPr>
      <w:r w:rsidDel="00000000" w:rsidR="00000000" w:rsidRPr="00000000">
        <w:rPr>
          <w:rtl w:val="0"/>
        </w:rPr>
        <w:t xml:space="preserve">A resolução sísmica estabelece um limite importante para o reconhecimento dessas feições. Estruturas menores do que a resolução vertical podem não ser individualizadas e aparecer apenas como uma fácies caótica ou transparente. Da mesma forma, superfícies que separam eventos sucessivos podem permanecer invisíveis quando os depósitos apresentam propriedades sísmicas semelhantes ou foram amalgamados. Por isso, um corpo internamente complexo não deve ser classificado automaticamente como MTC. Conforme a convenção adotada neste trabalho, a denominação MTC será utilizada apenas quando forem reconhecidas evidências claras de mais de um evento; quando essa separação não for possível, será mantido o termo MTD.</w:t>
      </w:r>
    </w:p>
    <w:p w:rsidR="00000000" w:rsidDel="00000000" w:rsidP="00000000" w:rsidRDefault="00000000" w:rsidRPr="00000000" w14:paraId="000000EE">
      <w:pPr>
        <w:spacing w:after="120" w:before="0" w:line="360" w:lineRule="auto"/>
        <w:ind w:left="0" w:firstLine="709"/>
        <w:jc w:val="both"/>
        <w:rPr/>
      </w:pPr>
      <w:r w:rsidDel="00000000" w:rsidR="00000000" w:rsidRPr="00000000">
        <w:rPr>
          <w:rtl w:val="0"/>
        </w:rPr>
        <w:t xml:space="preserve">Em síntese, a interpretação de um depósito de movimento de massa deve combinar: uma superfície basal de ruptura; uma massa deslocada com reflexões deformadas; limites laterais e superior reconhecíveis; mudanças na geometria e na continuidade das reflexões; e estruturas compatíveis com extensão, transporte e compressão. A ocorrência conjunta desses elementos permite diferenciar os MTDs de outras unidades que também podem apresentar reflexões caóticas ou descontínuas.</w:t>
      </w:r>
    </w:p>
    <w:p w:rsidR="00000000" w:rsidDel="00000000" w:rsidP="00000000" w:rsidRDefault="00000000" w:rsidRPr="00000000" w14:paraId="000000EF">
      <w:pPr>
        <w:spacing w:after="120" w:line="360" w:lineRule="auto"/>
        <w:ind w:left="0" w:firstLine="0"/>
        <w:jc w:val="both"/>
        <w:rPr/>
      </w:pPr>
      <w:r w:rsidDel="00000000" w:rsidR="00000000" w:rsidRPr="00000000">
        <w:rPr>
          <w:rtl w:val="0"/>
        </w:rPr>
      </w:r>
    </w:p>
    <w:p w:rsidR="00000000" w:rsidDel="00000000" w:rsidP="00000000" w:rsidRDefault="00000000" w:rsidRPr="00000000" w14:paraId="000000F0">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mofv7rtfoou" w:id="17"/>
      <w:bookmarkEnd w:id="17"/>
      <w:r w:rsidDel="00000000" w:rsidR="00000000" w:rsidRPr="00000000">
        <w:rPr>
          <w:rFonts w:ascii="Times New Roman" w:cs="Times New Roman" w:eastAsia="Times New Roman" w:hAnsi="Times New Roman"/>
          <w:i w:val="0"/>
          <w:iCs w:val="0"/>
          <w:color w:val="000000"/>
          <w:rtl w:val="0"/>
        </w:rPr>
        <w:t xml:space="preserve">Superfície basal de ruptura</w:t>
      </w:r>
    </w:p>
    <w:p w:rsidR="00000000" w:rsidDel="00000000" w:rsidP="00000000" w:rsidRDefault="00000000" w:rsidRPr="00000000" w14:paraId="000000F1">
      <w:pPr>
        <w:spacing w:after="120" w:before="0" w:line="360" w:lineRule="auto"/>
        <w:ind w:left="0" w:firstLine="709"/>
        <w:jc w:val="both"/>
        <w:rPr/>
      </w:pPr>
      <w:r w:rsidDel="00000000" w:rsidR="00000000" w:rsidRPr="00000000">
        <w:rPr>
          <w:rtl w:val="0"/>
        </w:rPr>
        <w:t xml:space="preserve">A superfície basal de ruptura, também denominada superfície basal de cisalhamento ou de descolamento, representa o limite sobre o qual ocorreu o deslocamento da massa sedimentar. Em seções sísmicas, ela pode ser identificada como uma reflexão relativamente contínua que separa o material deformado do MTD dos estratos pouco deformados ou não deformados abaixo do depósito. Essa superfície pode acompanhar planos de estratificação durante parte de sua extensão ou cortar os refletores subjacentes, produzindo terminações erosivas e truncamentos.</w:t>
      </w:r>
    </w:p>
    <w:p w:rsidR="00000000" w:rsidDel="00000000" w:rsidP="00000000" w:rsidRDefault="00000000" w:rsidRPr="00000000" w14:paraId="000000F2">
      <w:pPr>
        <w:spacing w:after="120" w:before="0" w:line="360" w:lineRule="auto"/>
        <w:ind w:left="0" w:firstLine="709"/>
        <w:jc w:val="both"/>
        <w:rPr/>
      </w:pPr>
      <w:r w:rsidDel="00000000" w:rsidR="00000000" w:rsidRPr="00000000">
        <w:rPr>
          <w:rtl w:val="0"/>
        </w:rPr>
        <w:t xml:space="preserve">A geometria da superfície basal pode variar lateralmente, apresentando segmentos aproximadamente paralelos à estratificação, denominados </w:t>
      </w:r>
      <w:r w:rsidDel="00000000" w:rsidR="00000000" w:rsidRPr="00000000">
        <w:rPr>
          <w:i w:val="1"/>
          <w:iCs w:val="1"/>
          <w:rtl w:val="0"/>
        </w:rPr>
        <w:t xml:space="preserve">flats</w:t>
      </w:r>
      <w:r w:rsidDel="00000000" w:rsidR="00000000" w:rsidRPr="00000000">
        <w:rPr>
          <w:rtl w:val="0"/>
        </w:rPr>
        <w:t xml:space="preserve">, interligados por trechos mais inclinados, denominados </w:t>
      </w:r>
      <w:r w:rsidDel="00000000" w:rsidR="00000000" w:rsidRPr="00000000">
        <w:rPr>
          <w:i w:val="1"/>
          <w:iCs w:val="1"/>
          <w:rtl w:val="0"/>
        </w:rPr>
        <w:t xml:space="preserve">ramps</w:t>
      </w:r>
      <w:r w:rsidDel="00000000" w:rsidR="00000000" w:rsidRPr="00000000">
        <w:rPr>
          <w:rtl w:val="0"/>
        </w:rPr>
        <w:t xml:space="preserve">. Essa alternância pode refletir mudanças nas propriedades mecânicas e na resistência dos níveis estratigráficos atravessados pela ruptura. Os </w:t>
      </w:r>
      <w:r w:rsidDel="00000000" w:rsidR="00000000" w:rsidRPr="00000000">
        <w:rPr>
          <w:i w:val="1"/>
          <w:iCs w:val="1"/>
          <w:rtl w:val="0"/>
        </w:rPr>
        <w:t xml:space="preserve">flats</w:t>
      </w:r>
      <w:r w:rsidDel="00000000" w:rsidR="00000000" w:rsidRPr="00000000">
        <w:rPr>
          <w:rtl w:val="0"/>
        </w:rPr>
        <w:t xml:space="preserve"> tendem a se desenvolver ao longo de camadas mecanicamente mais fracas, enquanto as rampas permitem que a superfície de ruptura passe de um nível estratigráfico para outro (Bull </w:t>
      </w:r>
      <w:r w:rsidDel="00000000" w:rsidR="00000000" w:rsidRPr="00000000">
        <w:rPr>
          <w:i w:val="1"/>
          <w:iCs w:val="1"/>
          <w:rtl w:val="0"/>
        </w:rPr>
        <w:t xml:space="preserve">et al</w:t>
      </w:r>
      <w:r w:rsidDel="00000000" w:rsidR="00000000" w:rsidRPr="00000000">
        <w:rPr>
          <w:rtl w:val="0"/>
        </w:rPr>
        <w:t xml:space="preserve">., 2009; Scarselli, 2020).</w:t>
      </w:r>
    </w:p>
    <w:p w:rsidR="00000000" w:rsidDel="00000000" w:rsidP="00000000" w:rsidRDefault="00000000" w:rsidRPr="00000000" w14:paraId="000000F3">
      <w:pPr>
        <w:spacing w:after="120" w:before="0" w:line="360" w:lineRule="auto"/>
        <w:ind w:left="0" w:firstLine="709"/>
        <w:jc w:val="both"/>
        <w:rPr/>
      </w:pPr>
      <w:r w:rsidDel="00000000" w:rsidR="00000000" w:rsidRPr="00000000">
        <w:rPr>
          <w:rtl w:val="0"/>
        </w:rPr>
        <w:t xml:space="preserve">Em alguns depósitos, a superfície basal apresenta sulcos e estrias produzidos pelo arraste de blocos rígidos ou fragmentos incorporados à massa em movimento. Esses sulcos podem se estender por vários quilômetros e são importantes indicadores cinemáticos, pois sua orientação tende a acompanhar a direção do transporte. Também podem ser reconhecidas feições erosivas profundas, relacionadas à escavação e à incorporação de sedimentos do substrato durante o deslocamento. Dessa forma, a superfície basal não representa apenas o plano onde ocorreu a ruptura, mas também registra parte da trajetória e da interação entre a massa deslocada e o substrato.</w:t>
      </w:r>
    </w:p>
    <w:p w:rsidR="00000000" w:rsidDel="00000000" w:rsidP="00000000" w:rsidRDefault="00000000" w:rsidRPr="00000000" w14:paraId="000000F4">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7wkx1asi2qj" w:id="18"/>
      <w:bookmarkEnd w:id="18"/>
      <w:r w:rsidDel="00000000" w:rsidR="00000000" w:rsidRPr="00000000">
        <w:rPr>
          <w:rFonts w:ascii="Times New Roman" w:cs="Times New Roman" w:eastAsia="Times New Roman" w:hAnsi="Times New Roman"/>
          <w:i w:val="0"/>
          <w:iCs w:val="0"/>
          <w:color w:val="000000"/>
          <w:rtl w:val="0"/>
        </w:rPr>
        <w:t xml:space="preserve">Geometria externa e superfícies limitantes</w:t>
      </w:r>
    </w:p>
    <w:p w:rsidR="00000000" w:rsidDel="00000000" w:rsidP="00000000" w:rsidRDefault="00000000" w:rsidRPr="00000000" w14:paraId="000000F5">
      <w:pPr>
        <w:spacing w:after="120" w:before="0" w:line="360" w:lineRule="auto"/>
        <w:ind w:left="0" w:firstLine="709"/>
        <w:jc w:val="both"/>
        <w:rPr/>
      </w:pPr>
      <w:r w:rsidDel="00000000" w:rsidR="00000000" w:rsidRPr="00000000">
        <w:rPr>
          <w:rtl w:val="0"/>
        </w:rPr>
        <w:t xml:space="preserve">Além da superfície basal, a delimitação do topo e das margens laterais é fundamental para definir a extensão, a espessura e o volume do MTD. A superfície de topo corresponde ao limite entre o depósito deformado e a unidade sobrejacente. Quando o MTD permanece próximo ao fundo marinho ou conserva seu relevo deposicional, essa superfície pode apresentar morfologia irregular, com montículos, depressões, blocos e cristas de pressão. Em depósitos soterrados, o relevo pode ser recoberto e suavizado por sedimentos posteriores, mas ainda pode ser reconhecido por relações de drapeamento, </w:t>
      </w:r>
      <w:r w:rsidDel="00000000" w:rsidR="00000000" w:rsidRPr="00000000">
        <w:rPr>
          <w:i w:val="1"/>
          <w:iCs w:val="1"/>
          <w:rtl w:val="0"/>
        </w:rPr>
        <w:t xml:space="preserve">onlap</w:t>
      </w:r>
      <w:r w:rsidDel="00000000" w:rsidR="00000000" w:rsidRPr="00000000">
        <w:rPr>
          <w:rtl w:val="0"/>
        </w:rPr>
        <w:t xml:space="preserve"> ou preenchimento de depressões.</w:t>
      </w:r>
    </w:p>
    <w:p w:rsidR="00000000" w:rsidDel="00000000" w:rsidP="00000000" w:rsidRDefault="00000000" w:rsidRPr="00000000" w14:paraId="000000F6">
      <w:pPr>
        <w:spacing w:after="120" w:before="0" w:line="360" w:lineRule="auto"/>
        <w:ind w:left="0" w:firstLine="709"/>
        <w:jc w:val="both"/>
        <w:rPr/>
      </w:pPr>
      <w:r w:rsidDel="00000000" w:rsidR="00000000" w:rsidRPr="00000000">
        <w:rPr>
          <w:rtl w:val="0"/>
        </w:rPr>
        <w:t xml:space="preserve">As margens laterais separam a massa transportada dos estratos adjacentes não deformados. Em planta, costumam formar lineamentos contínuos aproximadamente paralelos à direção do transporte. Em seção, podem aparecer como limites íngremes, por vezes erosivos, entre as reflexões deformadas do depósito e os refletores mais contínuos das unidades laterais. A associação entre a escarpa de cabeceira, as margens laterais e a terminação distal permite reconstruir a geometria geral do corpo e estimar a direção do deslocamento.</w:t>
      </w:r>
    </w:p>
    <w:p w:rsidR="00000000" w:rsidDel="00000000" w:rsidP="00000000" w:rsidRDefault="00000000" w:rsidRPr="00000000" w14:paraId="000000F7">
      <w:pPr>
        <w:spacing w:after="120" w:before="0" w:line="360" w:lineRule="auto"/>
        <w:ind w:left="0" w:firstLine="709"/>
        <w:jc w:val="both"/>
        <w:rPr/>
      </w:pPr>
      <w:r w:rsidDel="00000000" w:rsidR="00000000" w:rsidRPr="00000000">
        <w:rPr>
          <w:rtl w:val="0"/>
        </w:rPr>
        <w:t xml:space="preserve">A escarpa de cabeceira marca o limite proximal do movimento de massa, onde a superfície basal se inclina e passa a cortar níveis estratigráficos progressivamente mais rasos. Em mapas de horizonte, essa escarpa pode apresentar geometria arqueada, semicircular ou sinuosa. A direção geral de transporte tende a ser aproximadamente perpendicular à escarpa, embora movimentos retrogressivos possam formar um conjunto de escarpas sucessivas. A presença de blocos rotacionados, falhas normais e cristas extensionais próximas à cabeceira constitui evidência adicional da retirada e do deslocamento do material (Bull </w:t>
      </w:r>
      <w:r w:rsidDel="00000000" w:rsidR="00000000" w:rsidRPr="00000000">
        <w:rPr>
          <w:i w:val="1"/>
          <w:iCs w:val="1"/>
          <w:rtl w:val="0"/>
        </w:rPr>
        <w:t xml:space="preserve">et al</w:t>
      </w:r>
      <w:r w:rsidDel="00000000" w:rsidR="00000000" w:rsidRPr="00000000">
        <w:rPr>
          <w:rtl w:val="0"/>
        </w:rPr>
        <w:t xml:space="preserve">., 2009; Scarselli, 2020).</w:t>
      </w:r>
    </w:p>
    <w:p w:rsidR="00000000" w:rsidDel="00000000" w:rsidP="00000000" w:rsidRDefault="00000000" w:rsidRPr="00000000" w14:paraId="000000F8">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vukhu7uvkwu7" w:id="19"/>
      <w:bookmarkEnd w:id="19"/>
      <w:r w:rsidDel="00000000" w:rsidR="00000000" w:rsidRPr="00000000">
        <w:rPr>
          <w:rFonts w:ascii="Times New Roman" w:cs="Times New Roman" w:eastAsia="Times New Roman" w:hAnsi="Times New Roman"/>
          <w:i w:val="0"/>
          <w:iCs w:val="0"/>
          <w:color w:val="000000"/>
          <w:rtl w:val="0"/>
        </w:rPr>
        <w:t xml:space="preserve">Fácies sísmicas internas</w:t>
      </w:r>
    </w:p>
    <w:p w:rsidR="00000000" w:rsidDel="00000000" w:rsidP="00000000" w:rsidRDefault="00000000" w:rsidRPr="00000000" w14:paraId="000000F9">
      <w:pPr>
        <w:spacing w:after="120" w:before="0" w:line="360" w:lineRule="auto"/>
        <w:ind w:left="0" w:firstLine="709"/>
        <w:jc w:val="both"/>
        <w:rPr/>
      </w:pPr>
      <w:r w:rsidDel="00000000" w:rsidR="00000000" w:rsidRPr="00000000">
        <w:rPr>
          <w:rtl w:val="0"/>
        </w:rPr>
        <w:t xml:space="preserve">Os MTDs são frequentemente caracterizados por reflexões internas caóticas, descontínuas, contorcidas ou transparentes (Figura 10). A fácies caótica apresenta refletores com baixa continuidade lateral, orientação irregular e terminações aparentemente desordenadas. Esse padrão representa a deformação e a desorganização da estratificação original durante o transporte. Quanto maior a deformação e a desagregação da massa, menor tende a ser a continuidade dos refletores internos.</w:t>
      </w:r>
    </w:p>
    <w:p w:rsidR="00000000" w:rsidDel="00000000" w:rsidP="00000000" w:rsidRDefault="00000000" w:rsidRPr="00000000" w14:paraId="000000FA">
      <w:pPr>
        <w:spacing w:after="120" w:before="0" w:line="360" w:lineRule="auto"/>
        <w:ind w:left="0" w:firstLine="709"/>
        <w:jc w:val="both"/>
        <w:rPr/>
      </w:pPr>
      <w:r w:rsidDel="00000000" w:rsidR="00000000" w:rsidRPr="00000000">
        <w:rPr>
          <w:rtl w:val="0"/>
        </w:rPr>
        <w:t xml:space="preserve">A fácies transparente é caracterizada pela ausência ou pela baixa definição de reflexões internas. Esse padrão pode estar relacionado à homogeneização do material, à intensa deformação abaixo da resolução sísmica ou à pequena diferença de impedância acústica entre seus componentes. Depósitos associados a fluxos de detritos podem apresentar resposta transparente ou caótica devido à ausência de estratificação organizada e à presença de uma matriz relativamente homogênea. Entretanto, uma fácies transparente também pode resultar da baixa qualidade do sinal, da resolução insuficiente ou da atenuação causada por gás, razão pela qual sua interpretação deve considerar as superfícies limitantes e o contexto estratigráfico.</w:t>
      </w:r>
    </w:p>
    <w:p w:rsidR="00000000" w:rsidDel="00000000" w:rsidP="00000000" w:rsidRDefault="00000000" w:rsidRPr="00000000" w14:paraId="000000FB">
      <w:pPr>
        <w:spacing w:after="120" w:before="0" w:line="360" w:lineRule="auto"/>
        <w:ind w:left="0" w:firstLine="709"/>
        <w:jc w:val="both"/>
        <w:rPr/>
      </w:pPr>
      <w:r w:rsidDel="00000000" w:rsidR="00000000" w:rsidRPr="00000000">
        <w:rPr>
          <w:rtl w:val="0"/>
        </w:rPr>
        <w:t xml:space="preserve">Reflexões descontínuas e onduladas, frequentemente descritas como </w:t>
      </w:r>
      <w:r w:rsidDel="00000000" w:rsidR="00000000" w:rsidRPr="00000000">
        <w:rPr>
          <w:i w:val="1"/>
          <w:iCs w:val="1"/>
          <w:rtl w:val="0"/>
        </w:rPr>
        <w:t xml:space="preserve">hummocky</w:t>
      </w:r>
      <w:r w:rsidDel="00000000" w:rsidR="00000000" w:rsidRPr="00000000">
        <w:rPr>
          <w:rtl w:val="0"/>
        </w:rPr>
        <w:t xml:space="preserve">, estão associadas à preservação parcial de estratos deformados, blocos transportados, dobras e irregularidades internas. O termo </w:t>
      </w:r>
      <w:r w:rsidDel="00000000" w:rsidR="00000000" w:rsidRPr="00000000">
        <w:rPr>
          <w:i w:val="1"/>
          <w:iCs w:val="1"/>
          <w:rtl w:val="0"/>
        </w:rPr>
        <w:t xml:space="preserve">hummocky</w:t>
      </w:r>
      <w:r w:rsidDel="00000000" w:rsidR="00000000" w:rsidRPr="00000000">
        <w:rPr>
          <w:rtl w:val="0"/>
        </w:rPr>
        <w:t xml:space="preserve">, nesse contexto, descreve um padrão de reflexões irregulares ou um relevo composto por montículos, não devendo ser confundido com a estratificação cruzada </w:t>
      </w:r>
      <w:r w:rsidDel="00000000" w:rsidR="00000000" w:rsidRPr="00000000">
        <w:rPr>
          <w:i w:val="1"/>
          <w:iCs w:val="1"/>
          <w:rtl w:val="0"/>
        </w:rPr>
        <w:t xml:space="preserve">hummocky</w:t>
      </w:r>
      <w:r w:rsidDel="00000000" w:rsidR="00000000" w:rsidRPr="00000000">
        <w:rPr>
          <w:rtl w:val="0"/>
        </w:rPr>
        <w:t xml:space="preserve"> formada pela ação de ondas. Esse padrão pode ocorrer no interior do depósito ou em sua superfície superior. Hampton </w:t>
      </w:r>
      <w:r w:rsidDel="00000000" w:rsidR="00000000" w:rsidRPr="00000000">
        <w:rPr>
          <w:i w:val="1"/>
          <w:iCs w:val="1"/>
          <w:rtl w:val="0"/>
        </w:rPr>
        <w:t xml:space="preserve">et al</w:t>
      </w:r>
      <w:r w:rsidDel="00000000" w:rsidR="00000000" w:rsidRPr="00000000">
        <w:rPr>
          <w:rtl w:val="0"/>
        </w:rPr>
        <w:t xml:space="preserve">. (1996) alertam que uma morfologia ondulada ou monticular não constitui, isoladamente, evidência suficiente de movimento de massa, pois formas semelhantes podem ser produzidas por erosão, ravinamento ou formas de leito atravessadas obliquamente pelo perfil sísmico.</w:t>
      </w:r>
    </w:p>
    <w:p w:rsidR="00000000" w:rsidDel="00000000" w:rsidP="00000000" w:rsidRDefault="00000000" w:rsidRPr="00000000" w14:paraId="000000FC">
      <w:pPr>
        <w:spacing w:after="120" w:before="0" w:line="360" w:lineRule="auto"/>
        <w:ind w:left="0" w:firstLine="709"/>
        <w:jc w:val="both"/>
        <w:rPr/>
      </w:pPr>
      <w:r w:rsidDel="00000000" w:rsidR="00000000" w:rsidRPr="00000000">
        <w:rPr>
          <w:rtl w:val="0"/>
        </w:rPr>
        <w:t xml:space="preserve">Em alguns MTDs, porções da estratificação original permanecem preservadas como blocos coerentes envolvidos por material caótico ou transparente. Esses blocos podem apresentar reflexões internas contínuas, porém rotacionadas, dobradas ou deslocadas em relação à posição original. Sua presença indica que a deformação não ocorreu de forma homogênea em toda a massa. Blocos localizados no interior do depósito podem registrar a direção do transporte, principalmente quando apresentam orientação preferencial ou estão associados a sulcos na superfície basal.</w:t>
      </w:r>
    </w:p>
    <w:p w:rsidR="00000000" w:rsidDel="00000000" w:rsidP="00000000" w:rsidRDefault="00000000" w:rsidRPr="00000000" w14:paraId="000000FD">
      <w:pPr>
        <w:spacing w:after="120" w:before="0" w:line="240" w:lineRule="auto"/>
        <w:ind w:left="0" w:firstLine="0"/>
        <w:jc w:val="center"/>
        <w:rPr/>
      </w:pPr>
      <w:r w:rsidDel="00000000" w:rsidR="00000000" w:rsidRPr="00000000">
        <w:rPr/>
        <w:drawing>
          <wp:inline distB="114300" distT="114300" distL="114300" distR="114300">
            <wp:extent cx="5759775" cy="6299200"/>
            <wp:effectExtent b="0" l="0" r="0" t="0"/>
            <wp:docPr id="11"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59775" cy="62992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120" w:before="0" w:line="240" w:lineRule="auto"/>
        <w:ind w:left="0" w:firstLine="0"/>
        <w:jc w:val="center"/>
        <w:rPr>
          <w:sz w:val="20"/>
          <w:szCs w:val="20"/>
        </w:rPr>
      </w:pPr>
      <w:r w:rsidDel="00000000" w:rsidR="00000000" w:rsidRPr="00000000">
        <w:rPr>
          <w:sz w:val="20"/>
          <w:szCs w:val="20"/>
          <w:rtl w:val="0"/>
        </w:rPr>
        <w:t xml:space="preserve">Figura 10 — Expressão sismoestratigráfica interna dos depósitos de movimentos de massa indicados pelas setas brancas: fácies transparentes no painel E, caóticas nos painéis A, B, C e D e convolutas no painel F. As feições são apresentadas em seção transversal (A, B e C) e em planta (D, E e F); os painéis A, B e C também mostram erosão variável na base dos depósitos.</w:t>
      </w:r>
    </w:p>
    <w:p w:rsidR="00000000" w:rsidDel="00000000" w:rsidP="00000000" w:rsidRDefault="00000000" w:rsidRPr="00000000" w14:paraId="000000FF">
      <w:pPr>
        <w:spacing w:after="120" w:before="0" w:line="240" w:lineRule="auto"/>
        <w:ind w:left="0" w:firstLine="0"/>
        <w:jc w:val="center"/>
        <w:rPr>
          <w:sz w:val="20"/>
          <w:szCs w:val="20"/>
        </w:rPr>
      </w:pPr>
      <w:r w:rsidDel="00000000" w:rsidR="00000000" w:rsidRPr="00000000">
        <w:rPr>
          <w:sz w:val="20"/>
          <w:szCs w:val="20"/>
          <w:rtl w:val="0"/>
        </w:rPr>
        <w:t xml:space="preserve">Fonte: adaptado de Posamentier &amp; Walker (2006).</w:t>
      </w:r>
      <w:r w:rsidDel="00000000" w:rsidR="00000000" w:rsidRPr="00000000">
        <w:rPr>
          <w:rtl w:val="0"/>
        </w:rPr>
      </w:r>
    </w:p>
    <w:p w:rsidR="00000000" w:rsidDel="00000000" w:rsidP="00000000" w:rsidRDefault="00000000" w:rsidRPr="00000000" w14:paraId="00000100">
      <w:pPr>
        <w:pStyle w:val="Heading4"/>
        <w:keepNext w:val="1"/>
        <w:keepLines w:val="0"/>
        <w:spacing w:after="120" w:before="240" w:line="360" w:lineRule="auto"/>
        <w:ind w:left="0" w:firstLine="0"/>
        <w:jc w:val="left"/>
        <w:rPr>
          <w:rFonts w:ascii="Times New Roman" w:cs="Times New Roman" w:eastAsia="Times New Roman" w:hAnsi="Times New Roman"/>
          <w:i w:val="0"/>
          <w:iCs w:val="0"/>
          <w:color w:val="000000"/>
        </w:rPr>
      </w:pPr>
      <w:bookmarkStart w:colFirst="0" w:colLast="0" w:name="_qxt0t74iekyp" w:id="20"/>
      <w:bookmarkEnd w:id="20"/>
      <w:r w:rsidDel="00000000" w:rsidR="00000000" w:rsidRPr="00000000">
        <w:rPr>
          <w:rFonts w:ascii="Times New Roman" w:cs="Times New Roman" w:eastAsia="Times New Roman" w:hAnsi="Times New Roman"/>
          <w:i w:val="0"/>
          <w:iCs w:val="0"/>
          <w:color w:val="000000"/>
          <w:rtl w:val="0"/>
        </w:rPr>
        <w:t xml:space="preserve">Arquitetura interna e domínios deformacionais</w:t>
      </w:r>
    </w:p>
    <w:p w:rsidR="00000000" w:rsidDel="00000000" w:rsidP="00000000" w:rsidRDefault="00000000" w:rsidRPr="00000000" w14:paraId="00000101">
      <w:pPr>
        <w:spacing w:after="120" w:before="0" w:line="360" w:lineRule="auto"/>
        <w:ind w:left="0" w:firstLine="709"/>
        <w:jc w:val="both"/>
        <w:rPr/>
      </w:pPr>
      <w:r w:rsidDel="00000000" w:rsidR="00000000" w:rsidRPr="00000000">
        <w:rPr>
          <w:rtl w:val="0"/>
        </w:rPr>
        <w:t xml:space="preserve">Os movimentos de massa submarinos frequentemente apresentam uma arquitetura dividida em três domínios: proximal ou extensional, translacional e distal ou compressional (Figuras 11 e 12). Essa divisão não ocorre de maneira igualmente clara em todos os depósitos, mas fornece um modelo útil para a interpretação das estruturas observadas na sísmica (Bull </w:t>
      </w:r>
      <w:r w:rsidDel="00000000" w:rsidR="00000000" w:rsidRPr="00000000">
        <w:rPr>
          <w:i w:val="1"/>
          <w:iCs w:val="1"/>
          <w:rtl w:val="0"/>
        </w:rPr>
        <w:t xml:space="preserve">et al</w:t>
      </w:r>
      <w:r w:rsidDel="00000000" w:rsidR="00000000" w:rsidRPr="00000000">
        <w:rPr>
          <w:rtl w:val="0"/>
        </w:rPr>
        <w:t xml:space="preserve">., 2009; Scarselli, 2020).</w:t>
      </w:r>
    </w:p>
    <w:p w:rsidR="00000000" w:rsidDel="00000000" w:rsidP="00000000" w:rsidRDefault="00000000" w:rsidRPr="00000000" w14:paraId="00000102">
      <w:pPr>
        <w:spacing w:after="120" w:before="0" w:line="360" w:lineRule="auto"/>
        <w:ind w:left="0" w:firstLine="709"/>
        <w:jc w:val="both"/>
        <w:rPr/>
      </w:pPr>
      <w:r w:rsidDel="00000000" w:rsidR="00000000" w:rsidRPr="00000000">
        <w:rPr>
          <w:rtl w:val="0"/>
        </w:rPr>
        <w:t xml:space="preserve">O domínio proximal está associado à escarpa de cabeceira e é predominantemente extensional. Nele podem ser identificadas falhas normais, blocos rotacionados, cristas extensionais e setores parcialmente evacuados. Essas estruturas resultam do estiramento e da perda de suporte do material durante o início do deslocamento.</w:t>
      </w:r>
    </w:p>
    <w:p w:rsidR="00000000" w:rsidDel="00000000" w:rsidP="00000000" w:rsidRDefault="00000000" w:rsidRPr="00000000" w14:paraId="00000103">
      <w:pPr>
        <w:spacing w:after="120" w:before="0" w:line="360" w:lineRule="auto"/>
        <w:ind w:left="0" w:firstLine="709"/>
        <w:jc w:val="both"/>
        <w:rPr/>
      </w:pPr>
      <w:r w:rsidDel="00000000" w:rsidR="00000000" w:rsidRPr="00000000">
        <w:rPr>
          <w:rtl w:val="0"/>
        </w:rPr>
        <w:t xml:space="preserve">O domínio translacional ocupa a porção central do depósito, onde predomina o transporte da massa sobre a superfície basal. Essa região pode apresentar reflexões caóticas, blocos transportados, dobras, zonas de cisalhamento longitudinal, rampas, </w:t>
      </w:r>
      <w:r w:rsidDel="00000000" w:rsidR="00000000" w:rsidRPr="00000000">
        <w:rPr>
          <w:i w:val="1"/>
          <w:iCs w:val="1"/>
          <w:rtl w:val="0"/>
        </w:rPr>
        <w:t xml:space="preserve">flats</w:t>
      </w:r>
      <w:r w:rsidDel="00000000" w:rsidR="00000000" w:rsidRPr="00000000">
        <w:rPr>
          <w:rtl w:val="0"/>
        </w:rPr>
        <w:t xml:space="preserve"> e sulcos basais. As margens laterais e as estruturas alongadas paralelamente ao deslocamento auxiliam na determinação da direção de transporte.</w:t>
      </w:r>
    </w:p>
    <w:p w:rsidR="00000000" w:rsidDel="00000000" w:rsidP="00000000" w:rsidRDefault="00000000" w:rsidRPr="00000000" w14:paraId="00000104">
      <w:pPr>
        <w:spacing w:after="120" w:before="0" w:line="360" w:lineRule="auto"/>
        <w:ind w:left="0" w:firstLine="709"/>
        <w:jc w:val="both"/>
        <w:rPr/>
      </w:pPr>
      <w:r w:rsidDel="00000000" w:rsidR="00000000" w:rsidRPr="00000000">
        <w:rPr>
          <w:rtl w:val="0"/>
        </w:rPr>
        <w:t xml:space="preserve">No domínio distal, a redução da velocidade e a resistência imposta pelo substrato favorecem o desenvolvimento de estruturas compressivas. São comuns falhas de empurrão, dobras, blocos imbricados e cristas de pressão. Em planta, essas cristas podem apresentar geometria arqueada e orientação aproximadamente perpendicular ao deslocamento. Em seção sísmica, as falhas de empurrão podem partir da superfície basal e atravessar parte ou toda a espessura do depósito. A vergência das dobras e dos empurrões também pode fornecer informações sobre o sentido do movimento.</w:t>
      </w:r>
    </w:p>
    <w:p w:rsidR="00000000" w:rsidDel="00000000" w:rsidP="00000000" w:rsidRDefault="00000000" w:rsidRPr="00000000" w14:paraId="00000105">
      <w:pPr>
        <w:spacing w:after="240" w:before="240" w:lineRule="auto"/>
        <w:jc w:val="both"/>
        <w:rPr/>
      </w:pPr>
      <w:r w:rsidDel="00000000" w:rsidR="00000000" w:rsidRPr="00000000">
        <w:rPr>
          <w:rtl w:val="0"/>
        </w:rPr>
      </w:r>
    </w:p>
    <w:p w:rsidR="00000000" w:rsidDel="00000000" w:rsidP="00000000" w:rsidRDefault="00000000" w:rsidRPr="00000000" w14:paraId="00000106">
      <w:pPr>
        <w:spacing w:after="120" w:before="0" w:line="240" w:lineRule="auto"/>
        <w:ind w:left="0" w:firstLine="0"/>
        <w:jc w:val="center"/>
        <w:rPr/>
      </w:pPr>
      <w:r w:rsidDel="00000000" w:rsidR="00000000" w:rsidRPr="00000000">
        <w:rPr/>
        <w:drawing>
          <wp:inline distB="114300" distT="114300" distL="114300" distR="114300">
            <wp:extent cx="5759775" cy="8636000"/>
            <wp:effectExtent b="0" l="0" r="0" t="0"/>
            <wp:docPr id="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759775" cy="86360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120" w:before="0" w:line="240" w:lineRule="auto"/>
        <w:ind w:left="0" w:firstLine="0"/>
        <w:jc w:val="center"/>
        <w:rPr>
          <w:sz w:val="20"/>
          <w:szCs w:val="20"/>
        </w:rPr>
      </w:pPr>
      <w:r w:rsidDel="00000000" w:rsidR="00000000" w:rsidRPr="00000000">
        <w:rPr>
          <w:sz w:val="20"/>
          <w:szCs w:val="20"/>
          <w:rtl w:val="0"/>
        </w:rPr>
        <w:t xml:space="preserve">Figura 11 — Síntese das principais estruturas associadas aos movimentos de massa submarinos, agrupadas segundo o domínio em que tendem a ocorrer.</w:t>
      </w:r>
    </w:p>
    <w:p w:rsidR="00000000" w:rsidDel="00000000" w:rsidP="00000000" w:rsidRDefault="00000000" w:rsidRPr="00000000" w14:paraId="00000108">
      <w:pPr>
        <w:spacing w:after="120" w:before="0" w:line="240" w:lineRule="auto"/>
        <w:ind w:left="0" w:firstLine="0"/>
        <w:jc w:val="center"/>
        <w:rPr>
          <w:sz w:val="20"/>
          <w:szCs w:val="20"/>
        </w:rPr>
      </w:pPr>
      <w:r w:rsidDel="00000000" w:rsidR="00000000" w:rsidRPr="00000000">
        <w:rPr>
          <w:sz w:val="20"/>
          <w:szCs w:val="20"/>
          <w:rtl w:val="0"/>
        </w:rPr>
        <w:t xml:space="preserve">Fonte: modificado de Bull et al. (2009).</w:t>
      </w:r>
      <w:r w:rsidDel="00000000" w:rsidR="00000000" w:rsidRPr="00000000">
        <w:rPr>
          <w:rtl w:val="0"/>
        </w:rPr>
      </w:r>
    </w:p>
    <w:p w:rsidR="00000000" w:rsidDel="00000000" w:rsidP="00000000" w:rsidRDefault="00000000" w:rsidRPr="00000000" w14:paraId="00000109">
      <w:pPr>
        <w:spacing w:after="120" w:before="0" w:line="240" w:lineRule="auto"/>
        <w:ind w:left="0" w:firstLine="0"/>
        <w:jc w:val="center"/>
        <w:rPr/>
      </w:pPr>
      <w:r w:rsidDel="00000000" w:rsidR="00000000" w:rsidRPr="00000000">
        <w:rPr/>
        <w:drawing>
          <wp:inline distB="114300" distT="114300" distL="114300" distR="114300">
            <wp:extent cx="5759775" cy="2552700"/>
            <wp:effectExtent b="0" l="0" r="0" t="0"/>
            <wp:docPr id="6"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59775"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120" w:before="0" w:line="240" w:lineRule="auto"/>
        <w:ind w:left="0" w:firstLine="0"/>
        <w:jc w:val="center"/>
        <w:rPr>
          <w:sz w:val="20"/>
          <w:szCs w:val="20"/>
        </w:rPr>
      </w:pPr>
      <w:r w:rsidDel="00000000" w:rsidR="00000000" w:rsidRPr="00000000">
        <w:rPr>
          <w:sz w:val="20"/>
          <w:szCs w:val="20"/>
          <w:rtl w:val="0"/>
        </w:rPr>
        <w:t xml:space="preserve">Figura 12 — Ilustração esquemática da morfologia e das estruturas de um movimento de massa submarino.</w:t>
      </w:r>
    </w:p>
    <w:p w:rsidR="00000000" w:rsidDel="00000000" w:rsidP="00000000" w:rsidRDefault="00000000" w:rsidRPr="00000000" w14:paraId="0000010B">
      <w:pPr>
        <w:spacing w:after="120" w:before="0" w:line="240" w:lineRule="auto"/>
        <w:ind w:left="0" w:firstLine="0"/>
        <w:jc w:val="center"/>
        <w:rPr>
          <w:sz w:val="20"/>
          <w:szCs w:val="20"/>
        </w:rPr>
      </w:pPr>
      <w:r w:rsidDel="00000000" w:rsidR="00000000" w:rsidRPr="00000000">
        <w:rPr>
          <w:sz w:val="20"/>
          <w:szCs w:val="20"/>
          <w:rtl w:val="0"/>
        </w:rPr>
        <w:t xml:space="preserve">Fonte: compilado de Prior et al. (1984) e Bull et al. (2009).</w:t>
      </w:r>
      <w:r w:rsidDel="00000000" w:rsidR="00000000" w:rsidRPr="00000000">
        <w:rPr>
          <w:rtl w:val="0"/>
        </w:rPr>
      </w:r>
    </w:p>
    <w:p w:rsidR="00000000" w:rsidDel="00000000" w:rsidP="00000000" w:rsidRDefault="00000000" w:rsidRPr="00000000" w14:paraId="0000010C">
      <w:pPr>
        <w:pStyle w:val="Heading3"/>
        <w:keepNext w:val="1"/>
        <w:spacing w:after="120" w:before="240" w:line="360" w:lineRule="auto"/>
        <w:ind w:firstLine="0"/>
        <w:jc w:val="left"/>
        <w:rPr/>
      </w:pPr>
      <w:bookmarkStart w:colFirst="0" w:colLast="0" w:name="_ku6fscdwuuh6" w:id="21"/>
      <w:bookmarkEnd w:id="21"/>
      <w:r w:rsidDel="00000000" w:rsidR="00000000" w:rsidRPr="00000000">
        <w:rPr>
          <w:highlight w:val="white"/>
          <w:rtl w:val="0"/>
        </w:rPr>
        <w:t xml:space="preserve">2.3.3 </w:t>
      </w:r>
      <w:r w:rsidDel="00000000" w:rsidR="00000000" w:rsidRPr="00000000">
        <w:rPr>
          <w:rtl w:val="0"/>
        </w:rPr>
        <w:t xml:space="preserve">Classificação de depósitos de movimento de massa</w:t>
      </w:r>
    </w:p>
    <w:p w:rsidR="00000000" w:rsidDel="00000000" w:rsidP="00000000" w:rsidRDefault="00000000" w:rsidRPr="00000000" w14:paraId="0000010D">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10E">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10F">
      <w:pPr>
        <w:spacing w:after="120" w:line="360" w:lineRule="auto"/>
        <w:ind w:left="0" w:firstLine="709"/>
        <w:jc w:val="both"/>
        <w:rPr/>
      </w:pPr>
      <w:r w:rsidDel="00000000" w:rsidR="00000000" w:rsidRPr="00000000">
        <w:rPr>
          <w:rtl w:val="0"/>
        </w:rPr>
      </w:r>
    </w:p>
    <w:p w:rsidR="00000000" w:rsidDel="00000000" w:rsidP="00000000" w:rsidRDefault="00000000" w:rsidRPr="00000000" w14:paraId="00000110">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111">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112">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113">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114">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115">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116">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117">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118">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11A">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11B">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11C">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11D">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1E">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1F">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120">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1">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2">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123">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4">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125">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27">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129">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12A">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13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12C">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2E">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12F">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130">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131">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132">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133">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134">
      <w:pPr>
        <w:rPr/>
      </w:pPr>
      <w:r w:rsidDel="00000000" w:rsidR="00000000" w:rsidRPr="00000000">
        <w:br w:type="page"/>
      </w:r>
      <w:r w:rsidDel="00000000" w:rsidR="00000000" w:rsidRPr="00000000">
        <w:rPr>
          <w:rtl w:val="0"/>
        </w:rPr>
      </w:r>
    </w:p>
    <w:p w:rsidR="00000000" w:rsidDel="00000000" w:rsidP="00000000" w:rsidRDefault="00000000" w:rsidRPr="00000000" w14:paraId="00000135">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136">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9">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137">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20">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38">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21">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139">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22">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13A">
      <w:pPr>
        <w:spacing w:after="240" w:before="0" w:line="240" w:lineRule="auto"/>
        <w:ind w:firstLine="0"/>
        <w:jc w:val="left"/>
        <w:rPr>
          <w:i w:val="1"/>
          <w:iCs w:val="1"/>
          <w:color w:val="595959"/>
        </w:rPr>
      </w:pPr>
      <w:r w:rsidDel="00000000" w:rsidR="00000000" w:rsidRPr="00000000">
        <w:rPr>
          <w:i w:val="1"/>
          <w:iCs w:val="1"/>
          <w:color w:val="595959"/>
          <w:rtl w:val="0"/>
        </w:rPr>
        <w:t xml:space="preserve">BONDEVIK, S.; LØVHOLT, F.; HARBITZ, C.; MANGERUD, J.; DAWSON, A.; SVENDSEN, J. I. The Storegga Slide tsunami—comparing field observations with numerical simulations. Marine and Petroleum Geology, v. 22, n. 1–2, p. 195–208, 2005. DOI: https://doi.org/10.1016/j.marpetgeo.2004.10.003.</w:t>
      </w:r>
    </w:p>
    <w:p w:rsidR="00000000" w:rsidDel="00000000" w:rsidP="00000000" w:rsidRDefault="00000000" w:rsidRPr="00000000" w14:paraId="0000013B">
      <w:pPr>
        <w:spacing w:after="240" w:before="0" w:line="240" w:lineRule="auto"/>
        <w:ind w:firstLine="0"/>
        <w:jc w:val="left"/>
        <w:rPr>
          <w:i w:val="1"/>
          <w:iCs w:val="1"/>
          <w:color w:val="595959"/>
        </w:rPr>
      </w:pPr>
      <w:r w:rsidDel="00000000" w:rsidR="00000000" w:rsidRPr="00000000">
        <w:rPr>
          <w:i w:val="1"/>
          <w:iCs w:val="1"/>
          <w:color w:val="595959"/>
          <w:rtl w:val="0"/>
        </w:rPr>
        <w:t xml:space="preserve">BONDEVIK, S.; STORMO, S. K.; SKJERDAL, G. Green mosses date the Storegga tsunami to the chilliest decades of the 8.2 ka cold event. Quaternary Science Reviews, v. 45, p. 1–6, 2012. DOI: https://doi.org/10.1016/j.quascirev.2012.04.020.</w:t>
      </w:r>
    </w:p>
    <w:p w:rsidR="00000000" w:rsidDel="00000000" w:rsidP="00000000" w:rsidRDefault="00000000" w:rsidRPr="00000000" w14:paraId="0000013C">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13D">
      <w:pPr>
        <w:spacing w:after="120" w:before="0" w:line="240" w:lineRule="auto"/>
        <w:ind w:left="0" w:firstLine="0"/>
        <w:jc w:val="left"/>
        <w:rPr/>
      </w:pPr>
      <w:r w:rsidDel="00000000" w:rsidR="00000000" w:rsidRPr="00000000">
        <w:rPr>
          <w:rtl w:val="0"/>
        </w:rPr>
        <w:t xml:space="preserve">BULL, S.; CARTWRIGHT, J.; HUUSE, M. A review of kinematic indicators from mass-transport complexes using 3D seismic data. Marine and Petroleum Geology, v. 26, n. 7, p. 1132–1151, 2009. DOI: https://doi.org/10.1016/j.marpetgeo.2008.09.011.</w:t>
      </w:r>
    </w:p>
    <w:p w:rsidR="00000000" w:rsidDel="00000000" w:rsidP="00000000" w:rsidRDefault="00000000" w:rsidRPr="00000000" w14:paraId="0000013E">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23">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3F">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40">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24">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41">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25">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42">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26">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43">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27">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44">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8">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45">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9">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46">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30">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47">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31">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48">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32">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49">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33">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4A">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34">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4B">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4C">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35">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4D">
      <w:pPr>
        <w:spacing w:after="120" w:before="0" w:line="240" w:lineRule="auto"/>
        <w:ind w:left="0" w:firstLine="0"/>
        <w:jc w:val="left"/>
        <w:rPr/>
      </w:pPr>
      <w:r w:rsidDel="00000000" w:rsidR="00000000" w:rsidRPr="00000000">
        <w:rPr>
          <w:rtl w:val="0"/>
        </w:rPr>
        <w:t xml:space="preserve">KOWSMANN, R. O.; MACHADO, L. C. R.; VIANA, A. R.; ALMEIDA JÚNIOR, W.; VICALVI, M. A. Controls on mass-wasting in deep water of the Campos Basin. In: OFFSHORE TECHNOLOGY CONFERENCE, 34., 2002, Houston. Proceedings [...]. Richardson: Offshore Technology Conference, 2002. DOI: https://doi.org/10.4043/14030-MS.</w:t>
      </w:r>
    </w:p>
    <w:p w:rsidR="00000000" w:rsidDel="00000000" w:rsidP="00000000" w:rsidRDefault="00000000" w:rsidRPr="00000000" w14:paraId="0000014E">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36">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4F">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37">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50">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8">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51">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9">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52">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40">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53">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41">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54">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42">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55">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43">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56">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44">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57">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45">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58">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46">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59">
      <w:pPr>
        <w:spacing w:after="240" w:before="0" w:line="240" w:lineRule="auto"/>
        <w:ind w:firstLine="0"/>
        <w:jc w:val="left"/>
        <w:rPr>
          <w:i w:val="1"/>
          <w:iCs w:val="1"/>
          <w:color w:val="595959"/>
        </w:rPr>
      </w:pPr>
      <w:r w:rsidDel="00000000" w:rsidR="00000000" w:rsidRPr="00000000">
        <w:rPr>
          <w:i w:val="1"/>
          <w:iCs w:val="1"/>
          <w:color w:val="595959"/>
          <w:rtl w:val="0"/>
        </w:rPr>
        <w:t xml:space="preserve">ORTIZ-KARPF,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5A">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47">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5B">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8">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5C">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9">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5D">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5E">
      <w:pPr>
        <w:spacing w:after="120" w:before="0" w:line="240" w:lineRule="auto"/>
        <w:ind w:left="0" w:firstLine="0"/>
        <w:jc w:val="left"/>
        <w:rPr/>
      </w:pPr>
      <w:r w:rsidDel="00000000" w:rsidR="00000000" w:rsidRPr="00000000">
        <w:rPr>
          <w:rtl w:val="0"/>
        </w:rPr>
        <w:t xml:space="preserve">POSAMENTIER, H. W. &amp; WALKER, R. G. Deep-water turbidites and submarine fans. In: POSAMENTIER, H. W.; WALKER, R. G. (org.). Facies models revisited. Tulsa: SEPM Society for Sedimentary Geology, 2006. p. 399–520. (SEPM Special Publication, v. 84). DOI: https://doi.org/10.2110/pec.06.84.0399.</w:t>
      </w:r>
    </w:p>
    <w:p w:rsidR="00000000" w:rsidDel="00000000" w:rsidP="00000000" w:rsidRDefault="00000000" w:rsidRPr="00000000" w14:paraId="0000015F">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50">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60">
      <w:pPr>
        <w:spacing w:after="120" w:before="0" w:line="240" w:lineRule="auto"/>
        <w:ind w:left="0" w:firstLine="0"/>
        <w:jc w:val="left"/>
        <w:rPr/>
      </w:pPr>
      <w:r w:rsidDel="00000000" w:rsidR="00000000" w:rsidRPr="00000000">
        <w:rPr>
          <w:rtl w:val="0"/>
        </w:rPr>
        <w:t xml:space="preserve">PRIOR, D. B.; BORNHOLD, B. D.; JOHNS, M. W. Depositional characteristics of a submarine debris flow. The Journal of Geology, v. 92, n. 6, p. 707–727, 1984. DOI: https://doi.org/10.1086/628907.</w:t>
      </w:r>
    </w:p>
    <w:p w:rsidR="00000000" w:rsidDel="00000000" w:rsidP="00000000" w:rsidRDefault="00000000" w:rsidRPr="00000000" w14:paraId="00000161">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62">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63">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51">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64">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52">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65">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66">
      <w:pPr>
        <w:spacing w:after="240" w:before="0" w:line="240" w:lineRule="auto"/>
        <w:ind w:firstLine="0"/>
        <w:jc w:val="left"/>
        <w:rPr>
          <w:i w:val="1"/>
          <w:iCs w:val="1"/>
          <w:color w:val="595959"/>
        </w:rPr>
      </w:pPr>
      <w:r w:rsidDel="00000000" w:rsidR="00000000" w:rsidRPr="00000000">
        <w:rPr>
          <w:i w:val="1"/>
          <w:iCs w:val="1"/>
          <w:color w:val="595959"/>
          <w:rtl w:val="0"/>
        </w:rPr>
        <w:t xml:space="preserve">TAPPIN, D. R.; WATTS, P.; MCMURTRY, G. M.; LAFOY, Y.; MATSUMOTO, T. The Sissano, Papua New Guinea tsunami of July 1998—offshore evidence on the source mechanism. Marine Geology, v. 175, n. 1–4, p. 1–23, 2001. DOI: https://doi.org/10.1016/S0025-3227(01)00131-1.</w:t>
      </w:r>
    </w:p>
    <w:p w:rsidR="00000000" w:rsidDel="00000000" w:rsidP="00000000" w:rsidRDefault="00000000" w:rsidRPr="00000000" w14:paraId="00000167">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53">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68">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69">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6A">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6B">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6C">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54">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6D">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55">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6E">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56">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6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7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71">
      <w:pPr>
        <w:rPr/>
      </w:pPr>
      <w:r w:rsidDel="00000000" w:rsidR="00000000" w:rsidRPr="00000000">
        <w:br w:type="page"/>
      </w:r>
      <w:r w:rsidDel="00000000" w:rsidR="00000000" w:rsidRPr="00000000">
        <w:rPr>
          <w:rtl w:val="0"/>
        </w:rPr>
      </w:r>
    </w:p>
    <w:p w:rsidR="00000000" w:rsidDel="00000000" w:rsidP="00000000" w:rsidRDefault="00000000" w:rsidRPr="00000000" w14:paraId="0000017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7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57"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Gungsuh"/>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www.cpgg.ufba.br/gr-geof/geo213/trabalhos-graducao/Adson-Meneses.pdf" TargetMode="External"/><Relationship Id="rId42" Type="http://schemas.openxmlformats.org/officeDocument/2006/relationships/hyperlink" Target="https://doi.org/10.1306/M26490C8" TargetMode="External"/><Relationship Id="rId41" Type="http://schemas.openxmlformats.org/officeDocument/2006/relationships/hyperlink" Target="https://doi.org/10.1590/S0102-261X2005000300006" TargetMode="External"/><Relationship Id="rId44" Type="http://schemas.openxmlformats.org/officeDocument/2006/relationships/hyperlink" Target="https://doi.org/10.1130/B31221.1" TargetMode="External"/><Relationship Id="rId43" Type="http://schemas.openxmlformats.org/officeDocument/2006/relationships/hyperlink" Target="https://doi.org/10.1111/j.1365-2117.2007.00340.x" TargetMode="External"/><Relationship Id="rId46" Type="http://schemas.openxmlformats.org/officeDocument/2006/relationships/hyperlink" Target="https://doi.org/10.1190/1.9781560801740" TargetMode="External"/><Relationship Id="rId45"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48" Type="http://schemas.openxmlformats.org/officeDocument/2006/relationships/hyperlink" Target="https://doi.org/10.1016/j.margeo.2016.01.009" TargetMode="External"/><Relationship Id="rId47" Type="http://schemas.openxmlformats.org/officeDocument/2006/relationships/hyperlink" Target="https://doi.org/10.1108/DTA-08-2023-0461" TargetMode="External"/><Relationship Id="rId49" Type="http://schemas.openxmlformats.org/officeDocument/2006/relationships/hyperlink" Target="https://doi.org/10.1306/111302730367"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10.png"/><Relationship Id="rId8" Type="http://schemas.openxmlformats.org/officeDocument/2006/relationships/image" Target="media/image4.png"/><Relationship Id="rId31" Type="http://schemas.openxmlformats.org/officeDocument/2006/relationships/hyperlink" Target="https://doi.org/10.1016/j.margeo.2016.06.003" TargetMode="External"/><Relationship Id="rId30" Type="http://schemas.openxmlformats.org/officeDocument/2006/relationships/hyperlink" Target="https://doi.org/10.1016/B978-85-352-6937-6.50009-4" TargetMode="External"/><Relationship Id="rId33" Type="http://schemas.openxmlformats.org/officeDocument/2006/relationships/hyperlink" Target="https://doi.org/10.1029/95RG03287" TargetMode="External"/><Relationship Id="rId32" Type="http://schemas.openxmlformats.org/officeDocument/2006/relationships/hyperlink" Target="https://www.guralp.com/" TargetMode="External"/><Relationship Id="rId35" Type="http://schemas.openxmlformats.org/officeDocument/2006/relationships/hyperlink" Target="https://doi.org/10.1306/09011514210" TargetMode="External"/><Relationship Id="rId34" Type="http://schemas.openxmlformats.org/officeDocument/2006/relationships/hyperlink" Target="https://sbgf.org.br/mysbgf/eventos/expanded_abstracts/17th_CISBGf/920211118142805III_SBGGM_DRA_CIZIA_MARIA_MARGEM_CONTINENTAL.pdf" TargetMode="External"/><Relationship Id="rId37" Type="http://schemas.openxmlformats.org/officeDocument/2006/relationships/hyperlink" Target="https://doi.org/10.3390/jmse8120968" TargetMode="External"/><Relationship Id="rId36" Type="http://schemas.openxmlformats.org/officeDocument/2006/relationships/hyperlink" Target="https://doi.org/10.1016/B978-85-352-6937-6.50012-4" TargetMode="External"/><Relationship Id="rId39" Type="http://schemas.openxmlformats.org/officeDocument/2006/relationships/hyperlink" Target="https://doi.org/10.2110/sepmsp.096.423" TargetMode="External"/><Relationship Id="rId38" Type="http://schemas.openxmlformats.org/officeDocument/2006/relationships/hyperlink" Target="https://doi.org/10.1002/9781444304398.ch5" TargetMode="External"/><Relationship Id="rId20" Type="http://schemas.openxmlformats.org/officeDocument/2006/relationships/hyperlink" Target="https://lume.ufrgs.br/handle/10183/139096" TargetMode="External"/><Relationship Id="rId22" Type="http://schemas.openxmlformats.org/officeDocument/2006/relationships/hyperlink" Target="https://doi.org/10.1016/B978-85-352-6937-6.50013-6" TargetMode="External"/><Relationship Id="rId21" Type="http://schemas.openxmlformats.org/officeDocument/2006/relationships/hyperlink" Target="https://doi.org/10.1017/CBO9781139628921.004" TargetMode="External"/><Relationship Id="rId24" Type="http://schemas.openxmlformats.org/officeDocument/2006/relationships/hyperlink" Target="https://doi.org/10.1007/978-3-319-20979-1_3" TargetMode="External"/><Relationship Id="rId23" Type="http://schemas.openxmlformats.org/officeDocument/2006/relationships/hyperlink" Target="https://doi.org/10.1190/sbgf2005-275" TargetMode="External"/><Relationship Id="rId26" Type="http://schemas.openxmlformats.org/officeDocument/2006/relationships/hyperlink" Target="https://doi.org/10.1190/1.9781560801900" TargetMode="External"/><Relationship Id="rId25" Type="http://schemas.openxmlformats.org/officeDocument/2006/relationships/hyperlink" Target="https://doi.org/10.1190/1.2098670" TargetMode="External"/><Relationship Id="rId28" Type="http://schemas.openxmlformats.org/officeDocument/2006/relationships/hyperlink" Target="https://www.elsevier.com/products/scopus" TargetMode="External"/><Relationship Id="rId27" Type="http://schemas.openxmlformats.org/officeDocument/2006/relationships/hyperlink" Target="https://doi.org/10.1144/SP477.15" TargetMode="External"/><Relationship Id="rId29" Type="http://schemas.openxmlformats.org/officeDocument/2006/relationships/hyperlink" Target="https://www.gov.br/anp/pt-br/rodadas-anp/rodadas-concluidas/concessao-de-blocos-exploratorios/15a-rodada-licitacoes-blocos/arquivos/areas-oferecidas/sumario_geologico_r15_santos.pdf" TargetMode="External"/><Relationship Id="rId51" Type="http://schemas.openxmlformats.org/officeDocument/2006/relationships/hyperlink" Target="https://doi.org/10.1016/B978-85-352-6208-7.50011-8" TargetMode="External"/><Relationship Id="rId50" Type="http://schemas.openxmlformats.org/officeDocument/2006/relationships/hyperlink" Target="http://www.repositorio.jesuita.org.br/handle/UNISINOS/10129" TargetMode="External"/><Relationship Id="rId53" Type="http://schemas.openxmlformats.org/officeDocument/2006/relationships/hyperlink" Target="https://doi.org/10.5670/oceanog.2014.38" TargetMode="External"/><Relationship Id="rId52" Type="http://schemas.openxmlformats.org/officeDocument/2006/relationships/hyperlink" Target="https://doi.org/10.5530/jscires.10.3.45" TargetMode="External"/><Relationship Id="rId11" Type="http://schemas.openxmlformats.org/officeDocument/2006/relationships/image" Target="media/image13.png"/><Relationship Id="rId55" Type="http://schemas.openxmlformats.org/officeDocument/2006/relationships/hyperlink" Target="https://doi.org/10.48550/arXiv.2106.06050" TargetMode="External"/><Relationship Id="rId10" Type="http://schemas.openxmlformats.org/officeDocument/2006/relationships/image" Target="media/image2.png"/><Relationship Id="rId54" Type="http://schemas.openxmlformats.org/officeDocument/2006/relationships/hyperlink" Target="https://doi.org/10.1016/j.margeo.2014.01.005" TargetMode="External"/><Relationship Id="rId13" Type="http://schemas.openxmlformats.org/officeDocument/2006/relationships/image" Target="media/image11.png"/><Relationship Id="rId57" Type="http://schemas.openxmlformats.org/officeDocument/2006/relationships/footer" Target="footer1.xml"/><Relationship Id="rId12" Type="http://schemas.openxmlformats.org/officeDocument/2006/relationships/image" Target="media/image7.png"/><Relationship Id="rId56" Type="http://schemas.openxmlformats.org/officeDocument/2006/relationships/hyperlink" Target="https://doi.org/10.1190/1.9781560801580" TargetMode="External"/><Relationship Id="rId15" Type="http://schemas.openxmlformats.org/officeDocument/2006/relationships/image" Target="media/image5.png"/><Relationship Id="rId14" Type="http://schemas.openxmlformats.org/officeDocument/2006/relationships/image" Target="media/image12.png"/><Relationship Id="rId17" Type="http://schemas.openxmlformats.org/officeDocument/2006/relationships/image" Target="media/image9.png"/><Relationship Id="rId16" Type="http://schemas.openxmlformats.org/officeDocument/2006/relationships/image" Target="media/image6.png"/><Relationship Id="rId19" Type="http://schemas.openxmlformats.org/officeDocument/2006/relationships/hyperlink" Target="https://doi.org/10.22456/1807-9806.144416" TargetMode="External"/><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