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3" name="image5.png"/>
            <a:graphic>
              <a:graphicData uri="http://schemas.openxmlformats.org/drawingml/2006/picture">
                <pic:pic>
                  <pic:nvPicPr>
                    <pic:cNvPr descr="Símbolo da Universidade Federal de Santa Catarina" id="0" name="image5.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rPr/>
      </w:pPr>
      <w:r w:rsidDel="00000000" w:rsidR="00000000" w:rsidRPr="00000000">
        <w:rPr>
          <w:rtl w:val="0"/>
        </w:rPr>
        <w:t xml:space="preserve">Figura 5 — Relações entre tensão total, poropressão, tensão efetiva e resistência ao cisalhamento em sedimentos marinhos saturados</w:t>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6">
      <w:pPr>
        <w:rPr/>
      </w:pPr>
      <w:r w:rsidDel="00000000" w:rsidR="00000000" w:rsidRPr="00000000">
        <w:br w:type="page"/>
      </w:r>
      <w:r w:rsidDel="00000000" w:rsidR="00000000" w:rsidRPr="00000000">
        <w:rPr>
          <w:rtl w:val="0"/>
        </w:rPr>
      </w:r>
    </w:p>
    <w:p w:rsidR="00000000" w:rsidDel="00000000" w:rsidP="00000000" w:rsidRDefault="00000000" w:rsidRPr="00000000" w14:paraId="00000047">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8">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9">
      <w:pPr>
        <w:rPr/>
      </w:pPr>
      <w:r w:rsidDel="00000000" w:rsidR="00000000" w:rsidRPr="00000000">
        <w:br w:type="page"/>
      </w:r>
      <w:r w:rsidDel="00000000" w:rsidR="00000000" w:rsidRPr="00000000">
        <w:rPr>
          <w:rtl w:val="0"/>
        </w:rPr>
      </w:r>
    </w:p>
    <w:p w:rsidR="00000000" w:rsidDel="00000000" w:rsidP="00000000" w:rsidRDefault="00000000" w:rsidRPr="00000000" w14:paraId="0000004A">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B">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813349404"/>
        <w:docPartObj>
          <w:docPartGallery w:val="Table of Contents"/>
          <w:docPartUnique w:val="1"/>
        </w:docPartObj>
      </w:sdtPr>
      <w:sdtContent>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1 INTRODUÇÃO</w:t>
      </w:r>
      <w:r w:rsidDel="00000000" w:rsidR="00000000" w:rsidRPr="00000000">
        <w:rPr>
          <w:rtl w:val="0"/>
        </w:rPr>
      </w:r>
    </w:p>
    <w:p w:rsidR="00000000" w:rsidDel="00000000" w:rsidP="00000000" w:rsidRDefault="00000000" w:rsidRPr="00000000" w14:paraId="00000055">
      <w:pPr>
        <w:spacing w:after="0" w:before="0" w:line="360" w:lineRule="auto"/>
        <w:ind w:firstLine="709"/>
        <w:jc w:val="both"/>
        <w:rPr>
          <w:highlight w:val="white"/>
        </w:rPr>
      </w:pPr>
      <w:r w:rsidDel="00000000" w:rsidR="00000000" w:rsidRPr="00000000">
        <w:rPr>
          <w:highlight w:val="white"/>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highlight w:val="white"/>
          <w:rtl w:val="0"/>
        </w:rPr>
        <w:t xml:space="preserve">sediment bypassing</w:t>
      </w:r>
      <w:r w:rsidDel="00000000" w:rsidR="00000000" w:rsidRPr="00000000">
        <w:rPr>
          <w:highlight w:val="white"/>
          <w:rtl w:val="0"/>
        </w:rPr>
        <w:t xml:space="preserve"> (Hampton </w:t>
      </w:r>
      <w:r w:rsidDel="00000000" w:rsidR="00000000" w:rsidRPr="00000000">
        <w:rPr>
          <w:i w:val="1"/>
          <w:iCs w:val="1"/>
          <w:highlight w:val="white"/>
          <w:rtl w:val="0"/>
        </w:rPr>
        <w:t xml:space="preserve">et al</w:t>
      </w:r>
      <w:r w:rsidDel="00000000" w:rsidR="00000000" w:rsidRPr="00000000">
        <w:rPr>
          <w:highlight w:val="white"/>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56">
      <w:pPr>
        <w:spacing w:after="0" w:before="0" w:line="360" w:lineRule="auto"/>
        <w:ind w:firstLine="709"/>
        <w:jc w:val="both"/>
        <w:rPr>
          <w:highlight w:val="white"/>
        </w:rPr>
      </w:pPr>
      <w:r w:rsidDel="00000000" w:rsidR="00000000" w:rsidRPr="00000000">
        <w:rPr>
          <w:highlight w:val="white"/>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highlight w:val="white"/>
          <w:rtl w:val="0"/>
        </w:rPr>
        <w:t xml:space="preserve">et al</w:t>
      </w:r>
      <w:r w:rsidDel="00000000" w:rsidR="00000000" w:rsidRPr="00000000">
        <w:rPr>
          <w:highlight w:val="white"/>
          <w:rtl w:val="0"/>
        </w:rPr>
        <w:t xml:space="preserve">., 1996). </w:t>
      </w:r>
      <w:r w:rsidDel="00000000" w:rsidR="00000000" w:rsidRPr="00000000">
        <w:rPr>
          <w:rtl w:val="0"/>
        </w:rPr>
        <w:t xml:space="preserve">A magnitude que esses eventos podem atingir é exemplificada pelo Deslizamento de Storegga, ocorrido na margem continental da Noruega, que mobilizou mais de 3.000 km³ de sedimentos e gerou um tsunami que atingiu as costas adjacentes com alturas estimadas entre 6 e 20 m (Bondevik </w:t>
      </w:r>
      <w:r w:rsidDel="00000000" w:rsidR="00000000" w:rsidRPr="00000000">
        <w:rPr>
          <w:i w:val="1"/>
          <w:iCs w:val="1"/>
          <w:rtl w:val="0"/>
        </w:rPr>
        <w:t xml:space="preserve">et al</w:t>
      </w:r>
      <w:r w:rsidDel="00000000" w:rsidR="00000000" w:rsidRPr="00000000">
        <w:rPr>
          <w:rtl w:val="0"/>
        </w:rPr>
        <w:t xml:space="preserve">., 2005; 2012). </w:t>
      </w:r>
      <w:r w:rsidDel="00000000" w:rsidR="00000000" w:rsidRPr="00000000">
        <w:rPr>
          <w:highlight w:val="white"/>
          <w:rtl w:val="0"/>
        </w:rPr>
        <w:t xml:space="preserve"> Porém, mesmo eventos de menor escala podem danificar plataformas de petróleo, dutos e cabos submarinos (Tappin </w:t>
      </w:r>
      <w:r w:rsidDel="00000000" w:rsidR="00000000" w:rsidRPr="00000000">
        <w:rPr>
          <w:i w:val="1"/>
          <w:iCs w:val="1"/>
          <w:highlight w:val="white"/>
          <w:rtl w:val="0"/>
        </w:rPr>
        <w:t xml:space="preserve">et al</w:t>
      </w:r>
      <w:r w:rsidDel="00000000" w:rsidR="00000000" w:rsidRPr="00000000">
        <w:rPr>
          <w:highlight w:val="white"/>
          <w:rtl w:val="0"/>
        </w:rPr>
        <w:t xml:space="preserve">., 2001).</w:t>
      </w:r>
    </w:p>
    <w:p w:rsidR="00000000" w:rsidDel="00000000" w:rsidP="00000000" w:rsidRDefault="00000000" w:rsidRPr="00000000" w14:paraId="00000057">
      <w:pPr>
        <w:spacing w:after="0" w:before="0" w:line="360" w:lineRule="auto"/>
        <w:ind w:firstLine="709"/>
        <w:jc w:val="both"/>
        <w:rPr>
          <w:highlight w:val="white"/>
        </w:rPr>
      </w:pPr>
      <w:r w:rsidDel="00000000" w:rsidR="00000000" w:rsidRPr="00000000">
        <w:rPr>
          <w:highlight w:val="white"/>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highlight w:val="white"/>
          <w:rtl w:val="0"/>
        </w:rPr>
        <w:t xml:space="preserve">offshore</w:t>
      </w:r>
      <w:r w:rsidDel="00000000" w:rsidR="00000000" w:rsidRPr="00000000">
        <w:rPr>
          <w:highlight w:val="white"/>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8">
      <w:pPr>
        <w:spacing w:after="0" w:before="0" w:line="360" w:lineRule="auto"/>
        <w:ind w:firstLine="709"/>
        <w:jc w:val="both"/>
        <w:rPr>
          <w:highlight w:val="white"/>
        </w:rPr>
      </w:pPr>
      <w:r w:rsidDel="00000000" w:rsidR="00000000" w:rsidRPr="00000000">
        <w:rPr>
          <w:highlight w:val="white"/>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principalmente, o número de eventos envolvidos (Clare </w:t>
      </w:r>
      <w:r w:rsidDel="00000000" w:rsidR="00000000" w:rsidRPr="00000000">
        <w:rPr>
          <w:i w:val="1"/>
          <w:iCs w:val="1"/>
          <w:highlight w:val="white"/>
          <w:rtl w:val="0"/>
        </w:rPr>
        <w:t xml:space="preserve">et al</w:t>
      </w:r>
      <w:r w:rsidDel="00000000" w:rsidR="00000000" w:rsidRPr="00000000">
        <w:rPr>
          <w:highlight w:val="white"/>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white"/>
          <w:rtl w:val="0"/>
        </w:rPr>
        <w:t xml:space="preserve">Horizontal-to-Vertical Spectral Ratio</w:t>
      </w:r>
      <w:r w:rsidDel="00000000" w:rsidR="00000000" w:rsidRPr="00000000">
        <w:rPr>
          <w:highlight w:val="white"/>
          <w:rtl w:val="0"/>
        </w:rPr>
        <w:t xml:space="preserve"> (HVSR) (Nakamura, 1989), utilizando dados obtidos por sismógrafos de fundo oceânico (</w:t>
      </w:r>
      <w:r w:rsidDel="00000000" w:rsidR="00000000" w:rsidRPr="00000000">
        <w:rPr>
          <w:i w:val="1"/>
          <w:iCs w:val="1"/>
          <w:highlight w:val="white"/>
          <w:rtl w:val="0"/>
        </w:rPr>
        <w:t xml:space="preserve">Ocean Bottom Seismometers</w:t>
      </w:r>
      <w:r w:rsidDel="00000000" w:rsidR="00000000" w:rsidRPr="00000000">
        <w:rPr>
          <w:highlight w:val="white"/>
          <w:rtl w:val="0"/>
        </w:rPr>
        <w:t xml:space="preserve"> — OBS). </w:t>
      </w:r>
    </w:p>
    <w:p w:rsidR="00000000" w:rsidDel="00000000" w:rsidP="00000000" w:rsidRDefault="00000000" w:rsidRPr="00000000" w14:paraId="00000059">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1.1 Objetivos</w:t>
      </w:r>
      <w:r w:rsidDel="00000000" w:rsidR="00000000" w:rsidRPr="00000000">
        <w:rPr>
          <w:rtl w:val="0"/>
        </w:rPr>
      </w:r>
    </w:p>
    <w:p w:rsidR="00000000" w:rsidDel="00000000" w:rsidP="00000000" w:rsidRDefault="00000000" w:rsidRPr="00000000" w14:paraId="0000005A">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1.1.1 Objetivo geral</w:t>
      </w:r>
      <w:r w:rsidDel="00000000" w:rsidR="00000000" w:rsidRPr="00000000">
        <w:rPr>
          <w:rtl w:val="0"/>
        </w:rPr>
      </w:r>
    </w:p>
    <w:p w:rsidR="00000000" w:rsidDel="00000000" w:rsidP="00000000" w:rsidRDefault="00000000" w:rsidRPr="00000000" w14:paraId="0000005B">
      <w:pPr>
        <w:spacing w:after="0" w:line="240" w:lineRule="auto"/>
        <w:jc w:val="both"/>
        <w:rPr>
          <w:highlight w:val="white"/>
        </w:rPr>
      </w:pPr>
      <w:r w:rsidDel="00000000" w:rsidR="00000000" w:rsidRPr="00000000">
        <w:rPr>
          <w:highlight w:val="white"/>
          <w:rtl w:val="0"/>
        </w:rPr>
        <w:t xml:space="preserve">Caracterizar os depósitos de movimento de massa no talude continental na porção norte da Bacia de Santos</w:t>
      </w:r>
    </w:p>
    <w:p w:rsidR="00000000" w:rsidDel="00000000" w:rsidP="00000000" w:rsidRDefault="00000000" w:rsidRPr="00000000" w14:paraId="0000005C">
      <w:pPr>
        <w:spacing w:after="0" w:line="240" w:lineRule="auto"/>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5D">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1.1.2 Objetivos específicos</w:t>
      </w:r>
      <w:r w:rsidDel="00000000" w:rsidR="00000000" w:rsidRPr="00000000">
        <w:rPr>
          <w:rtl w:val="0"/>
        </w:rPr>
      </w:r>
    </w:p>
    <w:p w:rsidR="00000000" w:rsidDel="00000000" w:rsidP="00000000" w:rsidRDefault="00000000" w:rsidRPr="00000000" w14:paraId="0000005E">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F">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60">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1">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Classificar os depósitos/complexos de movimentos de massa.</w:t>
      </w:r>
    </w:p>
    <w:p w:rsidR="00000000" w:rsidDel="00000000" w:rsidP="00000000" w:rsidRDefault="00000000" w:rsidRPr="00000000" w14:paraId="00000062">
      <w:pPr>
        <w:numPr>
          <w:ilvl w:val="0"/>
          <w:numId w:val="3"/>
        </w:numPr>
        <w:spacing w:after="0" w:line="240" w:lineRule="auto"/>
        <w:ind w:left="720" w:hanging="360"/>
        <w:jc w:val="both"/>
        <w:rPr>
          <w:highlight w:val="white"/>
        </w:rPr>
      </w:pPr>
      <w:r w:rsidDel="00000000" w:rsidR="00000000" w:rsidRPr="00000000">
        <w:rPr>
          <w:highlight w:val="white"/>
          <w:rtl w:val="0"/>
        </w:rPr>
        <w:t xml:space="preserve">Correlacionar os depósitos/complexos com idade de sedimentos datados na área de estudo </w:t>
      </w:r>
    </w:p>
    <w:p w:rsidR="00000000" w:rsidDel="00000000" w:rsidP="00000000" w:rsidRDefault="00000000" w:rsidRPr="00000000" w14:paraId="00000063">
      <w:pPr>
        <w:numPr>
          <w:ilvl w:val="0"/>
          <w:numId w:val="3"/>
        </w:numPr>
        <w:spacing w:after="0" w:line="240" w:lineRule="auto"/>
        <w:ind w:left="720" w:hanging="360"/>
        <w:jc w:val="both"/>
        <w:rPr>
          <w:highlight w:val="white"/>
        </w:rPr>
      </w:pPr>
      <w:r w:rsidDel="00000000" w:rsidR="00000000" w:rsidRPr="00000000">
        <w:rPr>
          <w:highlight w:val="white"/>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4">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1.2 Justificativa</w:t>
      </w:r>
      <w:r w:rsidDel="00000000" w:rsidR="00000000" w:rsidRPr="00000000">
        <w:rPr>
          <w:rtl w:val="0"/>
        </w:rPr>
      </w:r>
    </w:p>
    <w:p w:rsidR="00000000" w:rsidDel="00000000" w:rsidP="00000000" w:rsidRDefault="00000000" w:rsidRPr="00000000" w14:paraId="00000065">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highlight w:val="white"/>
          <w:rtl w:val="0"/>
        </w:rPr>
        <w:t xml:space="preserve">et al</w:t>
      </w:r>
      <w:r w:rsidDel="00000000" w:rsidR="00000000" w:rsidRPr="00000000">
        <w:rPr>
          <w:highlight w:val="white"/>
          <w:rtl w:val="0"/>
        </w:rPr>
        <w:t xml:space="preserve">., 2018), uma vez que são fontes potenciais a gerar danos (Vanneste </w:t>
      </w:r>
      <w:r w:rsidDel="00000000" w:rsidR="00000000" w:rsidRPr="00000000">
        <w:rPr>
          <w:i w:val="1"/>
          <w:iCs w:val="1"/>
          <w:highlight w:val="white"/>
          <w:rtl w:val="0"/>
        </w:rPr>
        <w:t xml:space="preserve">et al</w:t>
      </w:r>
      <w:r w:rsidDel="00000000" w:rsidR="00000000" w:rsidRPr="00000000">
        <w:rPr>
          <w:highlight w:val="white"/>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highlight w:val="white"/>
          <w:rtl w:val="0"/>
        </w:rPr>
        <w:t xml:space="preserve">et al</w:t>
      </w:r>
      <w:r w:rsidDel="00000000" w:rsidR="00000000" w:rsidRPr="00000000">
        <w:rPr>
          <w:highlight w:val="white"/>
          <w:rtl w:val="0"/>
        </w:rPr>
        <w:t xml:space="preserve">., 2016), os quais estão presentes na região norte da Bacia de Santos. </w:t>
      </w:r>
    </w:p>
    <w:p w:rsidR="00000000" w:rsidDel="00000000" w:rsidP="00000000" w:rsidRDefault="00000000" w:rsidRPr="00000000" w14:paraId="00000066">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highlight w:val="white"/>
          <w:rtl w:val="0"/>
        </w:rPr>
        <w:t xml:space="preserve">et al</w:t>
      </w:r>
      <w:r w:rsidDel="00000000" w:rsidR="00000000" w:rsidRPr="00000000">
        <w:rPr>
          <w:highlight w:val="white"/>
          <w:rtl w:val="0"/>
        </w:rPr>
        <w:t xml:space="preserve">., 2016), podem atuar como selos (Cardona </w:t>
      </w:r>
      <w:r w:rsidDel="00000000" w:rsidR="00000000" w:rsidRPr="00000000">
        <w:rPr>
          <w:i w:val="1"/>
          <w:iCs w:val="1"/>
          <w:highlight w:val="white"/>
          <w:rtl w:val="0"/>
        </w:rPr>
        <w:t xml:space="preserve">et al</w:t>
      </w:r>
      <w:r w:rsidDel="00000000" w:rsidR="00000000" w:rsidRPr="00000000">
        <w:rPr>
          <w:highlight w:val="white"/>
          <w:rtl w:val="0"/>
        </w:rPr>
        <w:t xml:space="preserve">., 2016) e também como potenciais reservatórios (Meckel, 2011).</w:t>
      </w:r>
    </w:p>
    <w:p w:rsidR="00000000" w:rsidDel="00000000" w:rsidP="00000000" w:rsidRDefault="00000000" w:rsidRPr="00000000" w14:paraId="00000067">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highlight w:val="white"/>
          <w:rtl w:val="0"/>
        </w:rPr>
        <w:t xml:space="preserve">et al</w:t>
      </w:r>
      <w:r w:rsidDel="00000000" w:rsidR="00000000" w:rsidRPr="00000000">
        <w:rPr>
          <w:highlight w:val="white"/>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p>
    <w:p w:rsidR="00000000" w:rsidDel="00000000" w:rsidP="00000000" w:rsidRDefault="00000000" w:rsidRPr="00000000" w14:paraId="00000068">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2 </w:t>
      </w:r>
      <w:r w:rsidDel="00000000" w:rsidR="00000000" w:rsidRPr="00000000">
        <w:rPr>
          <w:highlight w:val="white"/>
          <w:rtl w:val="0"/>
        </w:rPr>
        <w:t xml:space="preserve">FUNDAMENTAÇÃO TEÓRICA</w:t>
      </w:r>
    </w:p>
    <w:p w:rsidR="00000000" w:rsidDel="00000000" w:rsidP="00000000" w:rsidRDefault="00000000" w:rsidRPr="00000000" w14:paraId="00000069">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2.1 </w:t>
      </w:r>
      <w:r w:rsidDel="00000000" w:rsidR="00000000" w:rsidRPr="00000000">
        <w:rPr>
          <w:highlight w:val="white"/>
          <w:rtl w:val="0"/>
        </w:rPr>
        <w:t xml:space="preserve">Sísmica de reflexão</w:t>
      </w:r>
    </w:p>
    <w:p w:rsidR="00000000" w:rsidDel="00000000" w:rsidP="00000000" w:rsidRDefault="00000000" w:rsidRPr="00000000" w14:paraId="0000006A">
      <w:pPr>
        <w:spacing w:after="0" w:before="0" w:line="360" w:lineRule="auto"/>
        <w:ind w:firstLine="709"/>
        <w:jc w:val="both"/>
        <w:rPr>
          <w:highlight w:val="white"/>
        </w:rPr>
      </w:pPr>
      <w:r w:rsidDel="00000000" w:rsidR="00000000" w:rsidRPr="00000000">
        <w:rPr>
          <w:highlight w:val="white"/>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B">
      <w:pPr>
        <w:spacing w:after="0" w:before="0" w:line="360" w:lineRule="auto"/>
        <w:ind w:firstLine="709"/>
        <w:jc w:val="both"/>
        <w:rPr>
          <w:highlight w:val="white"/>
        </w:rPr>
      </w:pPr>
      <w:r w:rsidDel="00000000" w:rsidR="00000000" w:rsidRPr="00000000">
        <w:rPr>
          <w:highlight w:val="white"/>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C">
      <w:pPr>
        <w:spacing w:after="0" w:before="0" w:line="360" w:lineRule="auto"/>
        <w:ind w:firstLine="709"/>
        <w:jc w:val="both"/>
        <w:rPr>
          <w:highlight w:val="white"/>
        </w:rPr>
      </w:pPr>
      <w:r w:rsidDel="00000000" w:rsidR="00000000" w:rsidRPr="00000000">
        <w:rPr>
          <w:highlight w:val="white"/>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highlight w:val="white"/>
          <w:rtl w:val="0"/>
        </w:rPr>
        <w:t xml:space="preserve">two-way travel time</w:t>
      </w:r>
      <w:r w:rsidDel="00000000" w:rsidR="00000000" w:rsidRPr="00000000">
        <w:rPr>
          <w:highlight w:val="white"/>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D">
      <w:pPr>
        <w:spacing w:after="0" w:before="0" w:line="360" w:lineRule="auto"/>
        <w:ind w:firstLine="709"/>
        <w:jc w:val="both"/>
        <w:rPr>
          <w:highlight w:val="white"/>
        </w:rPr>
      </w:pPr>
      <w:r w:rsidDel="00000000" w:rsidR="00000000" w:rsidRPr="00000000">
        <w:rPr>
          <w:highlight w:val="white"/>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E">
      <w:pPr>
        <w:pStyle w:val="Heading3"/>
        <w:keepNext w:val="1"/>
        <w:spacing w:after="240" w:before="240" w:line="360" w:lineRule="auto"/>
        <w:ind w:firstLine="0"/>
        <w:jc w:val="left"/>
        <w:rPr>
          <w:highlight w:val="white"/>
        </w:rPr>
      </w:pPr>
      <w:bookmarkStart w:colFirst="0" w:colLast="0" w:name="_1rbldzm8syoo" w:id="0"/>
      <w:bookmarkEnd w:id="0"/>
      <w:r w:rsidDel="00000000" w:rsidR="00000000" w:rsidRPr="00000000">
        <w:rPr>
          <w:highlight w:val="white"/>
          <w:rtl w:val="0"/>
        </w:rPr>
        <w:t xml:space="preserve">2.1.1 Cosseno de fase instantânea</w:t>
      </w:r>
    </w:p>
    <w:p w:rsidR="00000000" w:rsidDel="00000000" w:rsidP="00000000" w:rsidRDefault="00000000" w:rsidRPr="00000000" w14:paraId="0000006F">
      <w:pPr>
        <w:spacing w:after="0" w:before="0" w:line="360" w:lineRule="auto"/>
        <w:ind w:firstLine="709"/>
        <w:jc w:val="both"/>
        <w:rPr>
          <w:highlight w:val="white"/>
        </w:rPr>
      </w:pPr>
      <w:r w:rsidDel="00000000" w:rsidR="00000000" w:rsidRPr="00000000">
        <w:rPr>
          <w:highlight w:val="white"/>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70">
      <w:pPr>
        <w:spacing w:after="0" w:before="0" w:line="360" w:lineRule="auto"/>
        <w:ind w:firstLine="0"/>
        <w:jc w:val="center"/>
        <w:rPr>
          <w:highlight w:val="white"/>
        </w:rPr>
      </w:pPr>
      <w:r w:rsidDel="00000000" w:rsidR="00000000" w:rsidRPr="00000000">
        <w:rPr>
          <w:highlight w:val="white"/>
          <w:rtl w:val="0"/>
        </w:rPr>
        <w:t xml:space="preserve">C(t) = cos(φ(t))    (1)</w:t>
      </w:r>
    </w:p>
    <w:p w:rsidR="00000000" w:rsidDel="00000000" w:rsidP="00000000" w:rsidRDefault="00000000" w:rsidRPr="00000000" w14:paraId="00000071">
      <w:pPr>
        <w:spacing w:after="0" w:before="0" w:line="360" w:lineRule="auto"/>
        <w:ind w:firstLine="709"/>
        <w:jc w:val="both"/>
        <w:rPr>
          <w:highlight w:val="white"/>
        </w:rPr>
      </w:pPr>
      <w:r w:rsidDel="00000000" w:rsidR="00000000" w:rsidRPr="00000000">
        <w:rPr>
          <w:highlight w:val="white"/>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2">
      <w:pPr>
        <w:spacing w:after="0" w:before="0" w:line="360" w:lineRule="auto"/>
        <w:ind w:firstLine="709"/>
        <w:jc w:val="both"/>
        <w:rPr>
          <w:highlight w:val="white"/>
        </w:rPr>
      </w:pPr>
      <w:r w:rsidDel="00000000" w:rsidR="00000000" w:rsidRPr="00000000">
        <w:rPr>
          <w:highlight w:val="white"/>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3">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2.2 </w:t>
      </w:r>
      <w:r w:rsidDel="00000000" w:rsidR="00000000" w:rsidRPr="00000000">
        <w:rPr>
          <w:highlight w:val="white"/>
          <w:rtl w:val="0"/>
        </w:rPr>
        <w:t xml:space="preserve">Sismoestratigrafia</w:t>
      </w:r>
    </w:p>
    <w:p w:rsidR="00000000" w:rsidDel="00000000" w:rsidP="00000000" w:rsidRDefault="00000000" w:rsidRPr="00000000" w14:paraId="00000074">
      <w:pPr>
        <w:spacing w:after="240" w:before="240" w:lineRule="auto"/>
        <w:ind w:firstLine="720"/>
        <w:jc w:val="both"/>
        <w:rPr>
          <w:highlight w:val="white"/>
        </w:rPr>
      </w:pPr>
      <w:r w:rsidDel="00000000" w:rsidR="00000000" w:rsidRPr="00000000">
        <w:rPr>
          <w:highlight w:val="white"/>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5">
      <w:pPr>
        <w:spacing w:after="240" w:before="240" w:lineRule="auto"/>
        <w:ind w:firstLine="720"/>
        <w:jc w:val="both"/>
        <w:rPr>
          <w:highlight w:val="white"/>
        </w:rPr>
      </w:pPr>
      <w:r w:rsidDel="00000000" w:rsidR="00000000" w:rsidRPr="00000000">
        <w:rPr>
          <w:highlight w:val="white"/>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6">
      <w:pPr>
        <w:spacing w:after="240" w:before="240" w:lineRule="auto"/>
        <w:ind w:firstLine="720"/>
        <w:jc w:val="both"/>
        <w:rPr>
          <w:highlight w:val="white"/>
        </w:rPr>
      </w:pPr>
      <w:r w:rsidDel="00000000" w:rsidR="00000000" w:rsidRPr="00000000">
        <w:rPr>
          <w:highlight w:val="white"/>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7">
      <w:pPr>
        <w:spacing w:after="240" w:before="240" w:lineRule="auto"/>
        <w:ind w:firstLine="720"/>
        <w:jc w:val="both"/>
        <w:rPr>
          <w:highlight w:val="white"/>
        </w:rPr>
      </w:pPr>
      <w:r w:rsidDel="00000000" w:rsidR="00000000" w:rsidRPr="00000000">
        <w:rPr>
          <w:highlight w:val="white"/>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8">
      <w:pPr>
        <w:pStyle w:val="Heading3"/>
        <w:rPr>
          <w:highlight w:val="white"/>
        </w:rPr>
      </w:pPr>
      <w:bookmarkStart w:colFirst="0" w:colLast="0" w:name="_o1eeu2ym2b2q" w:id="1"/>
      <w:bookmarkEnd w:id="1"/>
      <w:r w:rsidDel="00000000" w:rsidR="00000000" w:rsidRPr="00000000">
        <w:rPr>
          <w:highlight w:val="white"/>
          <w:rtl w:val="0"/>
        </w:rPr>
        <w:t xml:space="preserve">2.2.1 Fácies sísmicas </w:t>
      </w:r>
    </w:p>
    <w:p w:rsidR="00000000" w:rsidDel="00000000" w:rsidP="00000000" w:rsidRDefault="00000000" w:rsidRPr="00000000" w14:paraId="00000079">
      <w:pPr>
        <w:spacing w:after="0" w:before="0" w:line="360" w:lineRule="auto"/>
        <w:ind w:firstLine="709"/>
        <w:jc w:val="both"/>
        <w:rPr>
          <w:highlight w:val="white"/>
        </w:rPr>
      </w:pPr>
      <w:r w:rsidDel="00000000" w:rsidR="00000000" w:rsidRPr="00000000">
        <w:rPr>
          <w:highlight w:val="white"/>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A">
      <w:pPr>
        <w:spacing w:after="0" w:before="0" w:line="360" w:lineRule="auto"/>
        <w:ind w:firstLine="709"/>
        <w:jc w:val="both"/>
        <w:rPr>
          <w:highlight w:val="white"/>
        </w:rPr>
      </w:pPr>
      <w:r w:rsidDel="00000000" w:rsidR="00000000" w:rsidRPr="00000000">
        <w:rPr>
          <w:highlight w:val="white"/>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B">
      <w:pPr>
        <w:spacing w:after="0" w:before="0" w:line="360" w:lineRule="auto"/>
        <w:ind w:firstLine="709"/>
        <w:jc w:val="both"/>
        <w:rPr>
          <w:highlight w:val="white"/>
        </w:rPr>
      </w:pPr>
      <w:r w:rsidDel="00000000" w:rsidR="00000000" w:rsidRPr="00000000">
        <w:rPr>
          <w:highlight w:val="white"/>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C">
      <w:pPr>
        <w:spacing w:after="0" w:before="0" w:line="360" w:lineRule="auto"/>
        <w:ind w:firstLine="709"/>
        <w:jc w:val="both"/>
        <w:rPr>
          <w:highlight w:val="white"/>
        </w:rPr>
      </w:pPr>
      <w:r w:rsidDel="00000000" w:rsidR="00000000" w:rsidRPr="00000000">
        <w:rPr>
          <w:highlight w:val="white"/>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D">
      <w:pPr>
        <w:spacing w:after="0" w:before="0" w:line="360" w:lineRule="auto"/>
        <w:ind w:firstLine="709"/>
        <w:jc w:val="both"/>
        <w:rPr>
          <w:highlight w:val="white"/>
        </w:rPr>
      </w:pPr>
      <w:r w:rsidDel="00000000" w:rsidR="00000000" w:rsidRPr="00000000">
        <w:rPr>
          <w:highlight w:val="white"/>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E">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4690796" cy="4706302"/>
            <wp:effectExtent b="0" l="0" r="0" t="0"/>
            <wp:docPr id="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1 — Esquemas de padrões de configuração dos refletores</w:t>
      </w:r>
    </w:p>
    <w:p w:rsidR="00000000" w:rsidDel="00000000" w:rsidP="00000000" w:rsidRDefault="00000000" w:rsidRPr="00000000" w14:paraId="00000080">
      <w:pPr>
        <w:spacing w:after="0" w:before="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81">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2">
      <w:pPr>
        <w:pStyle w:val="Heading3"/>
        <w:keepNext w:val="1"/>
        <w:spacing w:after="120" w:before="240" w:lineRule="auto"/>
        <w:ind w:firstLine="0"/>
        <w:jc w:val="left"/>
        <w:rPr>
          <w:highlight w:val="white"/>
        </w:rPr>
      </w:pPr>
      <w:bookmarkStart w:colFirst="0" w:colLast="0" w:name="_meybu3i0zoza" w:id="2"/>
      <w:bookmarkEnd w:id="2"/>
      <w:r w:rsidDel="00000000" w:rsidR="00000000" w:rsidRPr="00000000">
        <w:rPr>
          <w:highlight w:val="white"/>
          <w:rtl w:val="0"/>
        </w:rPr>
        <w:t xml:space="preserve">2.2.2 Formas externas das fácies sísmicas</w:t>
      </w:r>
    </w:p>
    <w:p w:rsidR="00000000" w:rsidDel="00000000" w:rsidP="00000000" w:rsidRDefault="00000000" w:rsidRPr="00000000" w14:paraId="00000083">
      <w:pPr>
        <w:spacing w:after="0" w:before="0" w:line="360" w:lineRule="auto"/>
        <w:ind w:firstLine="709"/>
        <w:jc w:val="both"/>
        <w:rPr>
          <w:highlight w:val="white"/>
        </w:rPr>
      </w:pPr>
      <w:r w:rsidDel="00000000" w:rsidR="00000000" w:rsidRPr="00000000">
        <w:rPr>
          <w:highlight w:val="white"/>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4">
      <w:pPr>
        <w:spacing w:after="0" w:before="0" w:line="360" w:lineRule="auto"/>
        <w:ind w:firstLine="709"/>
        <w:jc w:val="both"/>
        <w:rPr>
          <w:highlight w:val="white"/>
        </w:rPr>
      </w:pPr>
      <w:r w:rsidDel="00000000" w:rsidR="00000000" w:rsidRPr="00000000">
        <w:rPr>
          <w:highlight w:val="white"/>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5">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759775" cy="12954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2 — Formas externas das fácies sísmicas: (A) lençóis ondulados ou drapes; (B) montiformas; (C) geometria de preenchimento</w:t>
      </w:r>
    </w:p>
    <w:p w:rsidR="00000000" w:rsidDel="00000000" w:rsidP="00000000" w:rsidRDefault="00000000" w:rsidRPr="00000000" w14:paraId="00000087">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8">
      <w:pPr>
        <w:spacing w:after="0" w:before="0" w:line="360" w:lineRule="auto"/>
        <w:ind w:firstLine="709"/>
        <w:jc w:val="both"/>
        <w:rPr>
          <w:highlight w:val="white"/>
        </w:rPr>
      </w:pPr>
      <w:r w:rsidDel="00000000" w:rsidR="00000000" w:rsidRPr="00000000">
        <w:rPr>
          <w:highlight w:val="white"/>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9">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444561" cy="2798774"/>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B">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C">
      <w:pPr>
        <w:pStyle w:val="Heading2"/>
        <w:jc w:val="left"/>
        <w:rPr>
          <w:highlight w:val="white"/>
        </w:rPr>
      </w:pPr>
      <w:bookmarkStart w:colFirst="0" w:colLast="0" w:name="_pfgfl1mim8bb" w:id="3"/>
      <w:bookmarkEnd w:id="3"/>
      <w:r w:rsidDel="00000000" w:rsidR="00000000" w:rsidRPr="00000000">
        <w:rPr>
          <w:highlight w:val="white"/>
          <w:rtl w:val="0"/>
        </w:rPr>
        <w:t xml:space="preserve">2.3 Movimentos de massa submarinos</w:t>
      </w:r>
    </w:p>
    <w:p w:rsidR="00000000" w:rsidDel="00000000" w:rsidP="00000000" w:rsidRDefault="00000000" w:rsidRPr="00000000" w14:paraId="0000008D">
      <w:pPr>
        <w:spacing w:after="120" w:line="360" w:lineRule="auto"/>
        <w:ind w:left="0" w:firstLine="709"/>
        <w:jc w:val="both"/>
        <w:rPr>
          <w:highlight w:val="white"/>
        </w:rPr>
      </w:pPr>
      <w:r w:rsidDel="00000000" w:rsidR="00000000" w:rsidRPr="00000000">
        <w:rPr>
          <w:highlight w:val="white"/>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8E">
      <w:pPr>
        <w:spacing w:after="120" w:line="360" w:lineRule="auto"/>
        <w:ind w:left="0" w:firstLine="709"/>
        <w:jc w:val="both"/>
        <w:rPr>
          <w:highlight w:val="white"/>
        </w:rPr>
      </w:pPr>
      <w:r w:rsidDel="00000000" w:rsidR="00000000" w:rsidRPr="00000000">
        <w:rPr>
          <w:highlight w:val="white"/>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highlight w:val="white"/>
          <w:rtl w:val="0"/>
        </w:rPr>
        <w:t xml:space="preserve">sediment bypassing</w:t>
      </w:r>
      <w:r w:rsidDel="00000000" w:rsidR="00000000" w:rsidRPr="00000000">
        <w:rPr>
          <w:highlight w:val="white"/>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i w:val="1"/>
          <w:iCs w:val="1"/>
          <w:highlight w:val="white"/>
          <w:rtl w:val="0"/>
        </w:rPr>
        <w:t xml:space="preserve">et al</w:t>
      </w:r>
      <w:r w:rsidDel="00000000" w:rsidR="00000000" w:rsidRPr="00000000">
        <w:rPr>
          <w:highlight w:val="white"/>
          <w:rtl w:val="0"/>
        </w:rPr>
        <w:t xml:space="preserve">., 1996; Talling </w:t>
      </w:r>
      <w:r w:rsidDel="00000000" w:rsidR="00000000" w:rsidRPr="00000000">
        <w:rPr>
          <w:i w:val="1"/>
          <w:iCs w:val="1"/>
          <w:highlight w:val="white"/>
          <w:rtl w:val="0"/>
        </w:rPr>
        <w:t xml:space="preserve">et al</w:t>
      </w:r>
      <w:r w:rsidDel="00000000" w:rsidR="00000000" w:rsidRPr="00000000">
        <w:rPr>
          <w:highlight w:val="white"/>
          <w:rtl w:val="0"/>
        </w:rPr>
        <w:t xml:space="preserve">., 2014). </w:t>
      </w:r>
    </w:p>
    <w:p w:rsidR="00000000" w:rsidDel="00000000" w:rsidP="00000000" w:rsidRDefault="00000000" w:rsidRPr="00000000" w14:paraId="0000008F">
      <w:pPr>
        <w:spacing w:after="120" w:line="360" w:lineRule="auto"/>
        <w:ind w:left="0" w:firstLine="709"/>
        <w:jc w:val="both"/>
        <w:rPr>
          <w:highlight w:val="white"/>
        </w:rPr>
      </w:pPr>
      <w:r w:rsidDel="00000000" w:rsidR="00000000" w:rsidRPr="00000000">
        <w:rPr>
          <w:highlight w:val="white"/>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90">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344478" cy="4946954"/>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2">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traduzido e adaptado de Posamentier &amp; Martinsen (2011).</w:t>
      </w:r>
    </w:p>
    <w:p w:rsidR="00000000" w:rsidDel="00000000" w:rsidP="00000000" w:rsidRDefault="00000000" w:rsidRPr="00000000" w14:paraId="00000093">
      <w:pPr>
        <w:spacing w:after="120" w:line="360" w:lineRule="auto"/>
        <w:ind w:left="0" w:firstLine="709"/>
        <w:jc w:val="both"/>
        <w:rPr>
          <w:highlight w:val="white"/>
        </w:rPr>
      </w:pPr>
      <w:r w:rsidDel="00000000" w:rsidR="00000000" w:rsidRPr="00000000">
        <w:rPr>
          <w:highlight w:val="white"/>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4">
      <w:pPr>
        <w:spacing w:after="120" w:line="360" w:lineRule="auto"/>
        <w:ind w:left="0" w:firstLine="709"/>
        <w:jc w:val="both"/>
        <w:rPr>
          <w:highlight w:val="white"/>
        </w:rPr>
      </w:pPr>
      <w:r w:rsidDel="00000000" w:rsidR="00000000" w:rsidRPr="00000000">
        <w:rPr>
          <w:highlight w:val="white"/>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5">
      <w:pPr>
        <w:spacing w:after="120" w:line="360" w:lineRule="auto"/>
        <w:ind w:left="0" w:firstLine="709"/>
        <w:jc w:val="both"/>
        <w:rPr>
          <w:highlight w:val="white"/>
        </w:rPr>
      </w:pPr>
      <w:r w:rsidDel="00000000" w:rsidR="00000000" w:rsidRPr="00000000">
        <w:rPr>
          <w:highlight w:val="white"/>
          <w:rtl w:val="0"/>
        </w:rPr>
        <w:t xml:space="preserve">Nesse contexto, é necessário diferenciar o movimento de massa do produto sedimentar resultante. O termo depósito de transporte de massa, ou </w:t>
      </w:r>
      <w:r w:rsidDel="00000000" w:rsidR="00000000" w:rsidRPr="00000000">
        <w:rPr>
          <w:i w:val="1"/>
          <w:iCs w:val="1"/>
          <w:highlight w:val="white"/>
          <w:rtl w:val="0"/>
        </w:rPr>
        <w:t xml:space="preserve">mass-transport deposit</w:t>
      </w:r>
      <w:r w:rsidDel="00000000" w:rsidR="00000000" w:rsidRPr="00000000">
        <w:rPr>
          <w:highlight w:val="white"/>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highlight w:val="white"/>
          <w:rtl w:val="0"/>
        </w:rPr>
        <w:t xml:space="preserve">en masse</w:t>
      </w:r>
      <w:r w:rsidDel="00000000" w:rsidR="00000000" w:rsidRPr="00000000">
        <w:rPr>
          <w:highlight w:val="white"/>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6">
      <w:pPr>
        <w:spacing w:after="120" w:line="360" w:lineRule="auto"/>
        <w:ind w:left="0" w:firstLine="709"/>
        <w:jc w:val="both"/>
        <w:rPr>
          <w:highlight w:val="white"/>
        </w:rPr>
      </w:pPr>
      <w:r w:rsidDel="00000000" w:rsidR="00000000" w:rsidRPr="00000000">
        <w:rPr>
          <w:highlight w:val="white"/>
          <w:rtl w:val="0"/>
        </w:rPr>
        <w:t xml:space="preserve">A distinção entre os termos MTD e complexo de transporte de massa, ou </w:t>
      </w:r>
      <w:r w:rsidDel="00000000" w:rsidR="00000000" w:rsidRPr="00000000">
        <w:rPr>
          <w:i w:val="1"/>
          <w:iCs w:val="1"/>
          <w:highlight w:val="white"/>
          <w:rtl w:val="0"/>
        </w:rPr>
        <w:t xml:space="preserve">mass-transport complex</w:t>
      </w:r>
      <w:r w:rsidDel="00000000" w:rsidR="00000000" w:rsidRPr="00000000">
        <w:rPr>
          <w:highlight w:val="white"/>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7">
      <w:pPr>
        <w:spacing w:after="120" w:line="360" w:lineRule="auto"/>
        <w:ind w:left="0" w:firstLine="709"/>
        <w:jc w:val="both"/>
        <w:rPr>
          <w:highlight w:val="white"/>
        </w:rPr>
      </w:pPr>
      <w:r w:rsidDel="00000000" w:rsidR="00000000" w:rsidRPr="00000000">
        <w:rPr>
          <w:highlight w:val="white"/>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8">
      <w:pPr>
        <w:pStyle w:val="Heading3"/>
        <w:jc w:val="left"/>
        <w:rPr>
          <w:highlight w:val="white"/>
        </w:rPr>
      </w:pPr>
      <w:bookmarkStart w:colFirst="0" w:colLast="0" w:name="_a2mvyzh9o22m" w:id="4"/>
      <w:bookmarkEnd w:id="4"/>
      <w:r w:rsidDel="00000000" w:rsidR="00000000" w:rsidRPr="00000000">
        <w:rPr>
          <w:highlight w:val="white"/>
          <w:rtl w:val="0"/>
        </w:rPr>
        <w:t xml:space="preserve">2.3.1 Mecanismos de ruptura</w:t>
      </w:r>
    </w:p>
    <w:p w:rsidR="00000000" w:rsidDel="00000000" w:rsidP="00000000" w:rsidRDefault="00000000" w:rsidRPr="00000000" w14:paraId="00000099">
      <w:pPr>
        <w:spacing w:after="120" w:line="360" w:lineRule="auto"/>
        <w:ind w:left="0" w:firstLine="709"/>
        <w:jc w:val="both"/>
        <w:rPr>
          <w:highlight w:val="white"/>
        </w:rPr>
      </w:pPr>
      <w:r w:rsidDel="00000000" w:rsidR="00000000" w:rsidRPr="00000000">
        <w:rPr>
          <w:highlight w:val="white"/>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9A">
      <w:pPr>
        <w:pStyle w:val="Heading4"/>
        <w:jc w:val="left"/>
        <w:rPr>
          <w:rFonts w:ascii="Times New Roman" w:cs="Times New Roman" w:eastAsia="Times New Roman" w:hAnsi="Times New Roman"/>
          <w:i w:val="0"/>
          <w:iCs w:val="0"/>
          <w:color w:val="000000"/>
          <w:highlight w:val="white"/>
        </w:rPr>
      </w:pPr>
      <w:bookmarkStart w:colFirst="0" w:colLast="0" w:name="_s033fpnlnvlq" w:id="5"/>
      <w:bookmarkEnd w:id="5"/>
      <w:r w:rsidDel="00000000" w:rsidR="00000000" w:rsidRPr="00000000">
        <w:rPr>
          <w:rFonts w:ascii="Times New Roman" w:cs="Times New Roman" w:eastAsia="Times New Roman" w:hAnsi="Times New Roman"/>
          <w:i w:val="0"/>
          <w:iCs w:val="0"/>
          <w:color w:val="000000"/>
          <w:highlight w:val="white"/>
          <w:rtl w:val="0"/>
        </w:rPr>
        <w:t xml:space="preserve">Fator de segurança</w:t>
      </w:r>
    </w:p>
    <w:p w:rsidR="00000000" w:rsidDel="00000000" w:rsidP="00000000" w:rsidRDefault="00000000" w:rsidRPr="00000000" w14:paraId="0000009B">
      <w:pPr>
        <w:spacing w:after="120" w:line="360" w:lineRule="auto"/>
        <w:ind w:left="0" w:firstLine="709"/>
        <w:jc w:val="both"/>
        <w:rPr>
          <w:highlight w:val="white"/>
        </w:rPr>
      </w:pPr>
      <w:r w:rsidDel="00000000" w:rsidR="00000000" w:rsidRPr="00000000">
        <w:rPr>
          <w:highlight w:val="white"/>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9C">
      <w:pPr>
        <w:spacing w:after="120" w:before="120" w:line="360" w:lineRule="auto"/>
        <w:ind w:left="0" w:firstLine="0"/>
        <w:jc w:val="center"/>
        <w:rPr>
          <w:highlight w:val="white"/>
        </w:rPr>
      </w:pPr>
      <w:r w:rsidDel="00000000" w:rsidR="00000000" w:rsidRPr="00000000">
        <w:rPr>
          <w:highlight w:val="white"/>
          <w:rtl w:val="0"/>
        </w:rPr>
        <w:t xml:space="preserve">FS = τ</w:t>
      </w:r>
      <w:r w:rsidDel="00000000" w:rsidR="00000000" w:rsidRPr="00000000">
        <w:rPr>
          <w:highlight w:val="white"/>
          <w:vertAlign w:val="subscript"/>
          <w:rtl w:val="0"/>
        </w:rPr>
        <w:t xml:space="preserve">f</w:t>
      </w:r>
      <w:r w:rsidDel="00000000" w:rsidR="00000000" w:rsidRPr="00000000">
        <w:rPr>
          <w:highlight w:val="white"/>
          <w:rtl w:val="0"/>
        </w:rPr>
        <w:t xml:space="preserve"> / τ</w:t>
      </w:r>
      <w:r w:rsidDel="00000000" w:rsidR="00000000" w:rsidRPr="00000000">
        <w:rPr>
          <w:highlight w:val="white"/>
          <w:vertAlign w:val="subscript"/>
          <w:rtl w:val="0"/>
        </w:rPr>
        <w:t xml:space="preserve">m</w:t>
      </w:r>
      <w:r w:rsidDel="00000000" w:rsidR="00000000" w:rsidRPr="00000000">
        <w:rPr>
          <w:highlight w:val="white"/>
          <w:rtl w:val="0"/>
        </w:rPr>
        <w:t xml:space="preserve">    (1)</w:t>
      </w:r>
    </w:p>
    <w:p w:rsidR="00000000" w:rsidDel="00000000" w:rsidP="00000000" w:rsidRDefault="00000000" w:rsidRPr="00000000" w14:paraId="0000009D">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9E">
      <w:pPr>
        <w:numPr>
          <w:ilvl w:val="0"/>
          <w:numId w:val="4"/>
        </w:numPr>
        <w:spacing w:after="120" w:line="360" w:lineRule="auto"/>
        <w:ind w:left="0" w:firstLine="709"/>
        <w:jc w:val="both"/>
        <w:rPr>
          <w:highlight w:val="white"/>
        </w:rPr>
      </w:pPr>
      <w:r w:rsidDel="00000000" w:rsidR="00000000" w:rsidRPr="00000000">
        <w:rPr>
          <w:highlight w:val="white"/>
          <w:rtl w:val="0"/>
        </w:rPr>
        <w:t xml:space="preserve">FS é o fator de segurança;</w:t>
      </w:r>
    </w:p>
    <w:p w:rsidR="00000000" w:rsidDel="00000000" w:rsidP="00000000" w:rsidRDefault="00000000" w:rsidRPr="00000000" w14:paraId="0000009F">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 do material;</w:t>
      </w:r>
    </w:p>
    <w:p w:rsidR="00000000" w:rsidDel="00000000" w:rsidP="00000000" w:rsidRDefault="00000000" w:rsidRPr="00000000" w14:paraId="000000A0">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m</w:t>
      </w:r>
      <w:r w:rsidDel="00000000" w:rsidR="00000000" w:rsidRPr="00000000">
        <w:rPr>
          <w:highlight w:val="white"/>
          <w:rtl w:val="0"/>
        </w:rPr>
        <w:t xml:space="preserve"> é a tensão cisalhante mobilizada ao longo da superfície potencial de ruptura.</w:t>
      </w:r>
    </w:p>
    <w:p w:rsidR="00000000" w:rsidDel="00000000" w:rsidP="00000000" w:rsidRDefault="00000000" w:rsidRPr="00000000" w14:paraId="000000A1">
      <w:pPr>
        <w:spacing w:after="120" w:line="360" w:lineRule="auto"/>
        <w:ind w:left="0" w:firstLine="709"/>
        <w:jc w:val="both"/>
        <w:rPr>
          <w:highlight w:val="white"/>
        </w:rPr>
      </w:pPr>
      <w:r w:rsidDel="00000000" w:rsidR="00000000" w:rsidRPr="00000000">
        <w:rPr>
          <w:highlight w:val="white"/>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2">
      <w:pPr>
        <w:pStyle w:val="Heading4"/>
        <w:jc w:val="left"/>
        <w:rPr>
          <w:rFonts w:ascii="Times New Roman" w:cs="Times New Roman" w:eastAsia="Times New Roman" w:hAnsi="Times New Roman"/>
          <w:i w:val="0"/>
          <w:iCs w:val="0"/>
          <w:color w:val="000000"/>
          <w:highlight w:val="white"/>
        </w:rPr>
      </w:pPr>
      <w:bookmarkStart w:colFirst="0" w:colLast="0" w:name="_m5qkttbybalp" w:id="6"/>
      <w:bookmarkEnd w:id="6"/>
      <w:r w:rsidDel="00000000" w:rsidR="00000000" w:rsidRPr="00000000">
        <w:rPr>
          <w:rFonts w:ascii="Times New Roman" w:cs="Times New Roman" w:eastAsia="Times New Roman" w:hAnsi="Times New Roman"/>
          <w:i w:val="0"/>
          <w:iCs w:val="0"/>
          <w:color w:val="000000"/>
          <w:highlight w:val="white"/>
          <w:rtl w:val="0"/>
        </w:rPr>
        <w:t xml:space="preserve">Critério de ruptura de Mohr-Coulomb</w:t>
      </w:r>
    </w:p>
    <w:p w:rsidR="00000000" w:rsidDel="00000000" w:rsidP="00000000" w:rsidRDefault="00000000" w:rsidRPr="00000000" w14:paraId="000000A3">
      <w:pPr>
        <w:spacing w:after="120" w:line="360" w:lineRule="auto"/>
        <w:ind w:left="0" w:firstLine="709"/>
        <w:jc w:val="both"/>
        <w:rPr>
          <w:highlight w:val="white"/>
        </w:rPr>
      </w:pPr>
      <w:r w:rsidDel="00000000" w:rsidR="00000000" w:rsidRPr="00000000">
        <w:rPr>
          <w:highlight w:val="white"/>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4">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highlight w:val="white"/>
          <w:rtl w:val="0"/>
        </w:rPr>
        <w:t xml:space="preserve"> tan φ′    (2)</w:t>
      </w:r>
    </w:p>
    <w:p w:rsidR="00000000" w:rsidDel="00000000" w:rsidP="00000000" w:rsidRDefault="00000000" w:rsidRPr="00000000" w14:paraId="000000A5">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6">
      <w:pPr>
        <w:numPr>
          <w:ilvl w:val="0"/>
          <w:numId w:val="1"/>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w:t>
      </w:r>
    </w:p>
    <w:p w:rsidR="00000000" w:rsidDel="00000000" w:rsidP="00000000" w:rsidRDefault="00000000" w:rsidRPr="00000000" w14:paraId="000000A7">
      <w:pPr>
        <w:numPr>
          <w:ilvl w:val="0"/>
          <w:numId w:val="1"/>
        </w:numPr>
        <w:spacing w:after="120" w:line="360" w:lineRule="auto"/>
        <w:ind w:left="0" w:firstLine="709"/>
        <w:jc w:val="both"/>
        <w:rPr>
          <w:highlight w:val="white"/>
        </w:rPr>
      </w:pPr>
      <w:r w:rsidDel="00000000" w:rsidR="00000000" w:rsidRPr="00000000">
        <w:rPr>
          <w:highlight w:val="white"/>
          <w:rtl w:val="0"/>
        </w:rPr>
        <w:t xml:space="preserve">c′ é a coesão efetiva do material;</w:t>
      </w:r>
    </w:p>
    <w:p w:rsidR="00000000" w:rsidDel="00000000" w:rsidP="00000000" w:rsidRDefault="00000000" w:rsidRPr="00000000" w14:paraId="000000A8">
      <w:pPr>
        <w:numPr>
          <w:ilvl w:val="0"/>
          <w:numId w:val="1"/>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 atuante sobre a superfície de ruptura;</w:t>
      </w:r>
    </w:p>
    <w:p w:rsidR="00000000" w:rsidDel="00000000" w:rsidP="00000000" w:rsidRDefault="00000000" w:rsidRPr="00000000" w14:paraId="000000A9">
      <w:pPr>
        <w:numPr>
          <w:ilvl w:val="0"/>
          <w:numId w:val="1"/>
        </w:numPr>
        <w:spacing w:after="120" w:line="360" w:lineRule="auto"/>
        <w:ind w:left="0" w:firstLine="709"/>
        <w:jc w:val="both"/>
        <w:rPr>
          <w:highlight w:val="white"/>
        </w:rPr>
      </w:pPr>
      <w:r w:rsidDel="00000000" w:rsidR="00000000" w:rsidRPr="00000000">
        <w:rPr>
          <w:highlight w:val="white"/>
          <w:rtl w:val="0"/>
        </w:rPr>
        <w:t xml:space="preserve">φ′ é o ângulo de atrito interno efetivo;</w:t>
      </w:r>
    </w:p>
    <w:p w:rsidR="00000000" w:rsidDel="00000000" w:rsidP="00000000" w:rsidRDefault="00000000" w:rsidRPr="00000000" w14:paraId="000000AA">
      <w:pPr>
        <w:numPr>
          <w:ilvl w:val="0"/>
          <w:numId w:val="1"/>
        </w:numPr>
        <w:spacing w:after="120" w:line="360" w:lineRule="auto"/>
        <w:ind w:left="0" w:firstLine="709"/>
        <w:jc w:val="both"/>
        <w:rPr>
          <w:highlight w:val="white"/>
        </w:rPr>
      </w:pPr>
      <w:r w:rsidDel="00000000" w:rsidR="00000000" w:rsidRPr="00000000">
        <w:rPr>
          <w:highlight w:val="white"/>
          <w:rtl w:val="0"/>
        </w:rPr>
        <w:t xml:space="preserve">tan φ′ representa o coeficiente de atrito interno.</w:t>
      </w:r>
    </w:p>
    <w:p w:rsidR="00000000" w:rsidDel="00000000" w:rsidP="00000000" w:rsidRDefault="00000000" w:rsidRPr="00000000" w14:paraId="000000AB">
      <w:pPr>
        <w:spacing w:after="120" w:line="360" w:lineRule="auto"/>
        <w:ind w:left="0" w:firstLine="709"/>
        <w:jc w:val="both"/>
        <w:rPr>
          <w:highlight w:val="white"/>
        </w:rPr>
      </w:pPr>
      <w:r w:rsidDel="00000000" w:rsidR="00000000" w:rsidRPr="00000000">
        <w:rPr>
          <w:highlight w:val="white"/>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AC">
      <w:pPr>
        <w:pStyle w:val="Heading4"/>
        <w:jc w:val="left"/>
        <w:rPr>
          <w:rFonts w:ascii="Times New Roman" w:cs="Times New Roman" w:eastAsia="Times New Roman" w:hAnsi="Times New Roman"/>
          <w:i w:val="0"/>
          <w:iCs w:val="0"/>
          <w:color w:val="000000"/>
          <w:highlight w:val="white"/>
        </w:rPr>
      </w:pPr>
      <w:bookmarkStart w:colFirst="0" w:colLast="0" w:name="_o97v7vltv7hk" w:id="7"/>
      <w:bookmarkEnd w:id="7"/>
      <w:r w:rsidDel="00000000" w:rsidR="00000000" w:rsidRPr="00000000">
        <w:rPr>
          <w:rFonts w:ascii="Times New Roman" w:cs="Times New Roman" w:eastAsia="Times New Roman" w:hAnsi="Times New Roman"/>
          <w:i w:val="0"/>
          <w:iCs w:val="0"/>
          <w:color w:val="000000"/>
          <w:highlight w:val="white"/>
          <w:rtl w:val="0"/>
        </w:rPr>
        <w:t xml:space="preserve">Tensão efetiva e poropressão</w:t>
      </w:r>
    </w:p>
    <w:p w:rsidR="00000000" w:rsidDel="00000000" w:rsidP="00000000" w:rsidRDefault="00000000" w:rsidRPr="00000000" w14:paraId="000000AD">
      <w:pPr>
        <w:spacing w:after="120" w:line="360" w:lineRule="auto"/>
        <w:ind w:left="0" w:firstLine="709"/>
        <w:jc w:val="both"/>
        <w:rPr>
          <w:highlight w:val="white"/>
        </w:rPr>
      </w:pPr>
      <w:r w:rsidDel="00000000" w:rsidR="00000000" w:rsidRPr="00000000">
        <w:rPr>
          <w:highlight w:val="white"/>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r w:rsidDel="00000000" w:rsidR="00000000" w:rsidRPr="00000000">
        <w:rPr>
          <w:rtl w:val="0"/>
        </w:rPr>
      </w:r>
    </w:p>
    <w:p w:rsidR="00000000" w:rsidDel="00000000" w:rsidP="00000000" w:rsidRDefault="00000000" w:rsidRPr="00000000" w14:paraId="000000AE">
      <w:pPr>
        <w:spacing w:after="120" w:before="120" w:line="360" w:lineRule="auto"/>
        <w:ind w:left="0" w:firstLine="0"/>
        <w:jc w:val="center"/>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(3)</w:t>
      </w:r>
    </w:p>
    <w:p w:rsidR="00000000" w:rsidDel="00000000" w:rsidP="00000000" w:rsidRDefault="00000000" w:rsidRPr="00000000" w14:paraId="000000AF">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B0">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w:t>
      </w:r>
    </w:p>
    <w:p w:rsidR="00000000" w:rsidDel="00000000" w:rsidP="00000000" w:rsidRDefault="00000000" w:rsidRPr="00000000" w14:paraId="000000B1">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total;</w:t>
      </w:r>
    </w:p>
    <w:p w:rsidR="00000000" w:rsidDel="00000000" w:rsidP="00000000" w:rsidRDefault="00000000" w:rsidRPr="00000000" w14:paraId="000000B2">
      <w:pPr>
        <w:numPr>
          <w:ilvl w:val="0"/>
          <w:numId w:val="2"/>
        </w:numPr>
        <w:spacing w:after="120" w:line="360" w:lineRule="auto"/>
        <w:ind w:left="0" w:firstLine="709"/>
        <w:jc w:val="both"/>
        <w:rPr>
          <w:highlight w:val="white"/>
        </w:rPr>
      </w:pPr>
      <w:r w:rsidDel="00000000" w:rsidR="00000000" w:rsidRPr="00000000">
        <w:rPr>
          <w:highlight w:val="white"/>
          <w:rtl w:val="0"/>
        </w:rPr>
        <w:t xml:space="preserve">u é a pressão do fluido nos poros, ou poropressão.</w:t>
      </w:r>
    </w:p>
    <w:p w:rsidR="00000000" w:rsidDel="00000000" w:rsidP="00000000" w:rsidRDefault="00000000" w:rsidRPr="00000000" w14:paraId="000000B3">
      <w:pPr>
        <w:spacing w:after="120" w:line="360" w:lineRule="auto"/>
        <w:ind w:left="0" w:firstLine="709"/>
        <w:jc w:val="both"/>
        <w:rPr>
          <w:highlight w:val="white"/>
        </w:rPr>
      </w:pPr>
      <w:r w:rsidDel="00000000" w:rsidR="00000000" w:rsidRPr="00000000">
        <w:rPr>
          <w:highlight w:val="white"/>
          <w:rtl w:val="0"/>
        </w:rPr>
        <w:t xml:space="preserve">Substituindo a Equação 3 no critério de Mohr-Coulomb, obtém-se:</w:t>
      </w:r>
    </w:p>
    <w:p w:rsidR="00000000" w:rsidDel="00000000" w:rsidP="00000000" w:rsidRDefault="00000000" w:rsidRPr="00000000" w14:paraId="000000B4">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(4)</w:t>
      </w:r>
    </w:p>
    <w:p w:rsidR="00000000" w:rsidDel="00000000" w:rsidP="00000000" w:rsidRDefault="00000000" w:rsidRPr="00000000" w14:paraId="000000B5">
      <w:pPr>
        <w:spacing w:after="120" w:line="360" w:lineRule="auto"/>
        <w:ind w:left="0" w:firstLine="709"/>
        <w:jc w:val="both"/>
        <w:rPr>
          <w:highlight w:val="white"/>
        </w:rPr>
      </w:pPr>
      <w:r w:rsidDel="00000000" w:rsidR="00000000" w:rsidRPr="00000000">
        <w:rPr>
          <w:highlight w:val="white"/>
          <w:rtl w:val="0"/>
        </w:rPr>
        <w:t xml:space="preserve">Com isso, o fator de segurança pode ser representado de forma simplificada por:</w:t>
      </w:r>
    </w:p>
    <w:p w:rsidR="00000000" w:rsidDel="00000000" w:rsidP="00000000" w:rsidRDefault="00000000" w:rsidRPr="00000000" w14:paraId="000000B6">
      <w:pPr>
        <w:spacing w:after="120" w:before="120" w:line="360" w:lineRule="auto"/>
        <w:ind w:left="0" w:firstLine="0"/>
        <w:jc w:val="center"/>
        <w:rPr>
          <w:highlight w:val="white"/>
        </w:rPr>
      </w:pPr>
      <w:r w:rsidDel="00000000" w:rsidR="00000000" w:rsidRPr="00000000">
        <w:rPr>
          <w:highlight w:val="white"/>
          <w:rtl w:val="0"/>
        </w:rPr>
        <w:t xml:space="preserve">FS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 τ</w:t>
      </w:r>
      <w:r w:rsidDel="00000000" w:rsidR="00000000" w:rsidRPr="00000000">
        <w:rPr>
          <w:highlight w:val="white"/>
          <w:vertAlign w:val="subscript"/>
          <w:rtl w:val="0"/>
        </w:rPr>
        <w:t xml:space="preserve">m</w:t>
      </w:r>
      <w:r w:rsidDel="00000000" w:rsidR="00000000" w:rsidRPr="00000000">
        <w:rPr>
          <w:highlight w:val="white"/>
          <w:rtl w:val="0"/>
        </w:rPr>
        <w:t xml:space="preserve">    (5)</w:t>
      </w:r>
    </w:p>
    <w:p w:rsidR="00000000" w:rsidDel="00000000" w:rsidP="00000000" w:rsidRDefault="00000000" w:rsidRPr="00000000" w14:paraId="000000B7">
      <w:pPr>
        <w:spacing w:after="120" w:line="360" w:lineRule="auto"/>
        <w:ind w:left="0" w:firstLine="709"/>
        <w:jc w:val="both"/>
        <w:rPr>
          <w:highlight w:val="white"/>
        </w:rPr>
      </w:pPr>
      <w:r w:rsidDel="00000000" w:rsidR="00000000" w:rsidRPr="00000000">
        <w:rPr>
          <w:highlight w:val="white"/>
          <w:rtl w:val="0"/>
        </w:rPr>
        <w:t xml:space="preserve">As equações mostram que o aumento da poropressão reduz a tensão efetiva e, consequentemente, a resistência ao cisalhamento. Quando a poropressão se aproxima da tensão normal total, a tensão efetiva tende a valores muito baixos e o sedimento perde grande parte de sua resistência. A relação entre tensão total, poropressão, tensão efetiva e resistência ao cisalhamento é sintetizada na Figura 5. Nessa figura, a poropressão é representada pelo símbolo μ; neste texto e nas equações, adota-se u. Nessas condições, mesmo um pequeno aumento da tensão cisalhante pode provocar a ruptura (Hampton et al., 1996; Talling et al., 2014).</w:t>
      </w:r>
    </w:p>
    <w:p w:rsidR="00000000" w:rsidDel="00000000" w:rsidP="00000000" w:rsidRDefault="00000000" w:rsidRPr="00000000" w14:paraId="000000B8">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3481083" cy="5218748"/>
            <wp:effectExtent b="0" l="0" r="0" t="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481083" cy="5218748"/>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120" w:before="0" w:line="240" w:lineRule="auto"/>
        <w:ind w:left="0" w:firstLine="0"/>
        <w:jc w:val="center"/>
        <w:rPr>
          <w:sz w:val="20"/>
          <w:szCs w:val="20"/>
        </w:rPr>
      </w:pPr>
      <w:r w:rsidDel="00000000" w:rsidR="00000000" w:rsidRPr="00000000">
        <w:rPr>
          <w:sz w:val="20"/>
          <w:szCs w:val="20"/>
          <w:rtl w:val="0"/>
        </w:rPr>
        <w:t xml:space="preserve">Figura 5 — Relações entre tensão total, poropressão, tensão efetiva e resistência ao cisalhamento em sedimentos marinhos saturados</w:t>
      </w:r>
    </w:p>
    <w:p w:rsidR="00000000" w:rsidDel="00000000" w:rsidP="00000000" w:rsidRDefault="00000000" w:rsidRPr="00000000" w14:paraId="000000BA">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BB">
      <w:pPr>
        <w:pStyle w:val="Heading4"/>
        <w:jc w:val="left"/>
        <w:rPr>
          <w:rFonts w:ascii="Times New Roman" w:cs="Times New Roman" w:eastAsia="Times New Roman" w:hAnsi="Times New Roman"/>
          <w:i w:val="0"/>
          <w:iCs w:val="0"/>
          <w:color w:val="000000"/>
          <w:highlight w:val="white"/>
        </w:rPr>
      </w:pPr>
      <w:bookmarkStart w:colFirst="0" w:colLast="0" w:name="_ighlknxj0qpm" w:id="8"/>
      <w:bookmarkEnd w:id="8"/>
      <w:r w:rsidDel="00000000" w:rsidR="00000000" w:rsidRPr="00000000">
        <w:rPr>
          <w:rFonts w:ascii="Times New Roman" w:cs="Times New Roman" w:eastAsia="Times New Roman" w:hAnsi="Times New Roman"/>
          <w:i w:val="0"/>
          <w:iCs w:val="0"/>
          <w:color w:val="000000"/>
          <w:highlight w:val="white"/>
          <w:rtl w:val="0"/>
        </w:rPr>
        <w:t xml:space="preserve">2.3.1.1 Fatores condicionantes e mecanismos de gatilho </w:t>
      </w:r>
    </w:p>
    <w:p w:rsidR="00000000" w:rsidDel="00000000" w:rsidP="00000000" w:rsidRDefault="00000000" w:rsidRPr="00000000" w14:paraId="000000BC">
      <w:pPr>
        <w:spacing w:after="120" w:line="360" w:lineRule="auto"/>
        <w:ind w:left="0" w:firstLine="709"/>
        <w:jc w:val="both"/>
        <w:rPr>
          <w:highlight w:val="white"/>
        </w:rPr>
      </w:pPr>
      <w:r w:rsidDel="00000000" w:rsidR="00000000" w:rsidRPr="00000000">
        <w:rPr>
          <w:highlight w:val="white"/>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BD">
      <w:pPr>
        <w:spacing w:after="120" w:line="360" w:lineRule="auto"/>
        <w:ind w:left="0" w:firstLine="709"/>
        <w:jc w:val="both"/>
        <w:rPr>
          <w:highlight w:val="white"/>
        </w:rPr>
      </w:pPr>
      <w:r w:rsidDel="00000000" w:rsidR="00000000" w:rsidRPr="00000000">
        <w:rPr>
          <w:highlight w:val="white"/>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BE">
      <w:pPr>
        <w:pStyle w:val="Heading4"/>
        <w:jc w:val="left"/>
        <w:rPr>
          <w:rFonts w:ascii="Times New Roman" w:cs="Times New Roman" w:eastAsia="Times New Roman" w:hAnsi="Times New Roman"/>
          <w:i w:val="0"/>
          <w:iCs w:val="0"/>
          <w:color w:val="000000"/>
          <w:highlight w:val="white"/>
        </w:rPr>
      </w:pPr>
      <w:bookmarkStart w:colFirst="0" w:colLast="0" w:name="_poexuqct3yzg" w:id="9"/>
      <w:bookmarkEnd w:id="9"/>
      <w:r w:rsidDel="00000000" w:rsidR="00000000" w:rsidRPr="00000000">
        <w:rPr>
          <w:rFonts w:ascii="Times New Roman" w:cs="Times New Roman" w:eastAsia="Times New Roman" w:hAnsi="Times New Roman"/>
          <w:i w:val="0"/>
          <w:iCs w:val="0"/>
          <w:color w:val="000000"/>
          <w:highlight w:val="white"/>
          <w:rtl w:val="0"/>
        </w:rPr>
        <w:t xml:space="preserve">Sedimentação rápida</w:t>
      </w:r>
    </w:p>
    <w:p w:rsidR="00000000" w:rsidDel="00000000" w:rsidP="00000000" w:rsidRDefault="00000000" w:rsidRPr="00000000" w14:paraId="000000BF">
      <w:pPr>
        <w:spacing w:after="120" w:line="360" w:lineRule="auto"/>
        <w:ind w:left="0" w:firstLine="709"/>
        <w:jc w:val="both"/>
        <w:rPr>
          <w:highlight w:val="white"/>
        </w:rPr>
      </w:pPr>
      <w:r w:rsidDel="00000000" w:rsidR="00000000" w:rsidRPr="00000000">
        <w:rPr>
          <w:highlight w:val="white"/>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C0">
      <w:pPr>
        <w:spacing w:after="120" w:line="360" w:lineRule="auto"/>
        <w:ind w:left="0" w:firstLine="709"/>
        <w:jc w:val="both"/>
        <w:rPr>
          <w:highlight w:val="white"/>
        </w:rPr>
      </w:pPr>
      <w:r w:rsidDel="00000000" w:rsidR="00000000" w:rsidRPr="00000000">
        <w:rPr>
          <w:highlight w:val="white"/>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w:t>
      </w:r>
    </w:p>
    <w:p w:rsidR="00000000" w:rsidDel="00000000" w:rsidP="00000000" w:rsidRDefault="00000000" w:rsidRPr="00000000" w14:paraId="000000C1">
      <w:pPr>
        <w:pStyle w:val="Heading4"/>
        <w:jc w:val="left"/>
        <w:rPr>
          <w:rFonts w:ascii="Times New Roman" w:cs="Times New Roman" w:eastAsia="Times New Roman" w:hAnsi="Times New Roman"/>
          <w:i w:val="0"/>
          <w:iCs w:val="0"/>
          <w:color w:val="000000"/>
          <w:highlight w:val="white"/>
        </w:rPr>
      </w:pPr>
      <w:bookmarkStart w:colFirst="0" w:colLast="0" w:name="_9n80vwatxpxv" w:id="10"/>
      <w:bookmarkEnd w:id="10"/>
      <w:r w:rsidDel="00000000" w:rsidR="00000000" w:rsidRPr="00000000">
        <w:rPr>
          <w:rFonts w:ascii="Times New Roman" w:cs="Times New Roman" w:eastAsia="Times New Roman" w:hAnsi="Times New Roman"/>
          <w:i w:val="0"/>
          <w:iCs w:val="0"/>
          <w:color w:val="000000"/>
          <w:highlight w:val="white"/>
          <w:rtl w:val="0"/>
        </w:rPr>
        <w:t xml:space="preserve">Abalos sísmicos</w:t>
      </w:r>
    </w:p>
    <w:p w:rsidR="00000000" w:rsidDel="00000000" w:rsidP="00000000" w:rsidRDefault="00000000" w:rsidRPr="00000000" w14:paraId="000000C2">
      <w:pPr>
        <w:spacing w:after="120" w:line="360" w:lineRule="auto"/>
        <w:ind w:left="0" w:firstLine="709"/>
        <w:jc w:val="both"/>
        <w:rPr>
          <w:highlight w:val="white"/>
        </w:rPr>
      </w:pPr>
      <w:r w:rsidDel="00000000" w:rsidR="00000000" w:rsidRPr="00000000">
        <w:rPr>
          <w:highlight w:val="white"/>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C3">
      <w:pPr>
        <w:spacing w:after="120" w:line="360" w:lineRule="auto"/>
        <w:ind w:left="0" w:firstLine="709"/>
        <w:jc w:val="both"/>
        <w:rPr>
          <w:highlight w:val="white"/>
        </w:rPr>
      </w:pPr>
      <w:r w:rsidDel="00000000" w:rsidR="00000000" w:rsidRPr="00000000">
        <w:rPr>
          <w:highlight w:val="white"/>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C4">
      <w:pPr>
        <w:pStyle w:val="Heading4"/>
        <w:jc w:val="left"/>
        <w:rPr>
          <w:rFonts w:ascii="Times New Roman" w:cs="Times New Roman" w:eastAsia="Times New Roman" w:hAnsi="Times New Roman"/>
          <w:i w:val="0"/>
          <w:iCs w:val="0"/>
          <w:color w:val="000000"/>
          <w:highlight w:val="white"/>
        </w:rPr>
      </w:pPr>
      <w:bookmarkStart w:colFirst="0" w:colLast="0" w:name="_31vrup95l38p" w:id="11"/>
      <w:bookmarkEnd w:id="11"/>
      <w:r w:rsidDel="00000000" w:rsidR="00000000" w:rsidRPr="00000000">
        <w:rPr>
          <w:rFonts w:ascii="Times New Roman" w:cs="Times New Roman" w:eastAsia="Times New Roman" w:hAnsi="Times New Roman"/>
          <w:i w:val="0"/>
          <w:iCs w:val="0"/>
          <w:color w:val="000000"/>
          <w:highlight w:val="white"/>
          <w:rtl w:val="0"/>
        </w:rPr>
        <w:t xml:space="preserve">Erosão e aumento da inclinação</w:t>
      </w:r>
    </w:p>
    <w:p w:rsidR="00000000" w:rsidDel="00000000" w:rsidP="00000000" w:rsidRDefault="00000000" w:rsidRPr="00000000" w14:paraId="000000C5">
      <w:pPr>
        <w:spacing w:after="120" w:line="360" w:lineRule="auto"/>
        <w:ind w:left="0" w:firstLine="709"/>
        <w:jc w:val="both"/>
        <w:rPr>
          <w:highlight w:val="white"/>
        </w:rPr>
      </w:pPr>
      <w:r w:rsidDel="00000000" w:rsidR="00000000" w:rsidRPr="00000000">
        <w:rPr>
          <w:highlight w:val="white"/>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C6">
      <w:pPr>
        <w:spacing w:after="120" w:line="360" w:lineRule="auto"/>
        <w:ind w:left="0" w:firstLine="709"/>
        <w:jc w:val="both"/>
        <w:rPr>
          <w:highlight w:val="white"/>
        </w:rPr>
      </w:pPr>
      <w:r w:rsidDel="00000000" w:rsidR="00000000" w:rsidRPr="00000000">
        <w:rPr>
          <w:highlight w:val="white"/>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C7">
      <w:pPr>
        <w:pStyle w:val="Heading4"/>
        <w:jc w:val="left"/>
        <w:rPr>
          <w:rFonts w:ascii="Times New Roman" w:cs="Times New Roman" w:eastAsia="Times New Roman" w:hAnsi="Times New Roman"/>
          <w:i w:val="0"/>
          <w:iCs w:val="0"/>
          <w:color w:val="000000"/>
          <w:highlight w:val="white"/>
        </w:rPr>
      </w:pPr>
      <w:bookmarkStart w:colFirst="0" w:colLast="0" w:name="_fqj3k2wvxmec" w:id="12"/>
      <w:bookmarkEnd w:id="12"/>
      <w:r w:rsidDel="00000000" w:rsidR="00000000" w:rsidRPr="00000000">
        <w:rPr>
          <w:rFonts w:ascii="Times New Roman" w:cs="Times New Roman" w:eastAsia="Times New Roman" w:hAnsi="Times New Roman"/>
          <w:i w:val="0"/>
          <w:iCs w:val="0"/>
          <w:color w:val="000000"/>
          <w:highlight w:val="white"/>
          <w:rtl w:val="0"/>
        </w:rPr>
        <w:t xml:space="preserve">Diapirismo e deformação tectônica</w:t>
      </w:r>
    </w:p>
    <w:p w:rsidR="00000000" w:rsidDel="00000000" w:rsidP="00000000" w:rsidRDefault="00000000" w:rsidRPr="00000000" w14:paraId="000000C8">
      <w:pPr>
        <w:spacing w:after="120" w:line="360" w:lineRule="auto"/>
        <w:ind w:left="0" w:firstLine="709"/>
        <w:jc w:val="both"/>
        <w:rPr>
          <w:highlight w:val="white"/>
        </w:rPr>
      </w:pPr>
      <w:r w:rsidDel="00000000" w:rsidR="00000000" w:rsidRPr="00000000">
        <w:rPr>
          <w:highlight w:val="white"/>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C9">
      <w:pPr>
        <w:spacing w:after="120" w:line="360" w:lineRule="auto"/>
        <w:ind w:left="0" w:firstLine="709"/>
        <w:jc w:val="both"/>
        <w:rPr>
          <w:highlight w:val="white"/>
        </w:rPr>
      </w:pPr>
      <w:r w:rsidDel="00000000" w:rsidR="00000000" w:rsidRPr="00000000">
        <w:rPr>
          <w:highlight w:val="white"/>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CA">
      <w:pPr>
        <w:pStyle w:val="Heading4"/>
        <w:jc w:val="left"/>
        <w:rPr>
          <w:rFonts w:ascii="Times New Roman" w:cs="Times New Roman" w:eastAsia="Times New Roman" w:hAnsi="Times New Roman"/>
          <w:i w:val="0"/>
          <w:iCs w:val="0"/>
          <w:color w:val="000000"/>
          <w:highlight w:val="white"/>
        </w:rPr>
      </w:pPr>
      <w:bookmarkStart w:colFirst="0" w:colLast="0" w:name="_6t4xwbhkdwji" w:id="13"/>
      <w:bookmarkEnd w:id="13"/>
      <w:r w:rsidDel="00000000" w:rsidR="00000000" w:rsidRPr="00000000">
        <w:rPr>
          <w:rFonts w:ascii="Times New Roman" w:cs="Times New Roman" w:eastAsia="Times New Roman" w:hAnsi="Times New Roman"/>
          <w:i w:val="0"/>
          <w:iCs w:val="0"/>
          <w:color w:val="000000"/>
          <w:highlight w:val="white"/>
          <w:rtl w:val="0"/>
        </w:rPr>
        <w:t xml:space="preserve">Migração de fluidos e gases</w:t>
      </w:r>
    </w:p>
    <w:p w:rsidR="00000000" w:rsidDel="00000000" w:rsidP="00000000" w:rsidRDefault="00000000" w:rsidRPr="00000000" w14:paraId="000000CB">
      <w:pPr>
        <w:spacing w:after="120" w:line="360" w:lineRule="auto"/>
        <w:ind w:left="0" w:firstLine="709"/>
        <w:jc w:val="both"/>
        <w:rPr>
          <w:highlight w:val="white"/>
        </w:rPr>
      </w:pPr>
      <w:r w:rsidDel="00000000" w:rsidR="00000000" w:rsidRPr="00000000">
        <w:rPr>
          <w:highlight w:val="white"/>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CC">
      <w:pPr>
        <w:spacing w:after="120" w:line="360" w:lineRule="auto"/>
        <w:ind w:left="0" w:firstLine="709"/>
        <w:jc w:val="both"/>
        <w:rPr>
          <w:highlight w:val="white"/>
        </w:rPr>
      </w:pPr>
      <w:r w:rsidDel="00000000" w:rsidR="00000000" w:rsidRPr="00000000">
        <w:rPr>
          <w:highlight w:val="white"/>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CD">
      <w:pPr>
        <w:pStyle w:val="Heading4"/>
        <w:jc w:val="left"/>
        <w:rPr>
          <w:rFonts w:ascii="Times New Roman" w:cs="Times New Roman" w:eastAsia="Times New Roman" w:hAnsi="Times New Roman"/>
          <w:i w:val="0"/>
          <w:iCs w:val="0"/>
          <w:color w:val="000000"/>
          <w:highlight w:val="white"/>
        </w:rPr>
      </w:pPr>
      <w:bookmarkStart w:colFirst="0" w:colLast="0" w:name="_3nk1e2ooya3z" w:id="14"/>
      <w:bookmarkEnd w:id="14"/>
      <w:r w:rsidDel="00000000" w:rsidR="00000000" w:rsidRPr="00000000">
        <w:rPr>
          <w:rFonts w:ascii="Times New Roman" w:cs="Times New Roman" w:eastAsia="Times New Roman" w:hAnsi="Times New Roman"/>
          <w:i w:val="0"/>
          <w:iCs w:val="0"/>
          <w:color w:val="000000"/>
          <w:highlight w:val="white"/>
          <w:rtl w:val="0"/>
        </w:rPr>
        <w:t xml:space="preserve">Dissociação de hidratos de gás</w:t>
      </w:r>
    </w:p>
    <w:p w:rsidR="00000000" w:rsidDel="00000000" w:rsidP="00000000" w:rsidRDefault="00000000" w:rsidRPr="00000000" w14:paraId="000000CE">
      <w:pPr>
        <w:spacing w:after="120" w:line="360" w:lineRule="auto"/>
        <w:ind w:left="0" w:firstLine="709"/>
        <w:jc w:val="both"/>
        <w:rPr>
          <w:highlight w:val="white"/>
        </w:rPr>
      </w:pPr>
      <w:r w:rsidDel="00000000" w:rsidR="00000000" w:rsidRPr="00000000">
        <w:rPr>
          <w:highlight w:val="white"/>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CF">
      <w:pPr>
        <w:spacing w:after="120" w:line="360" w:lineRule="auto"/>
        <w:ind w:left="0" w:firstLine="709"/>
        <w:jc w:val="both"/>
        <w:rPr>
          <w:highlight w:val="white"/>
        </w:rPr>
      </w:pPr>
      <w:r w:rsidDel="00000000" w:rsidR="00000000" w:rsidRPr="00000000">
        <w:rPr>
          <w:highlight w:val="white"/>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w:t>
      </w:r>
    </w:p>
    <w:p w:rsidR="00000000" w:rsidDel="00000000" w:rsidP="00000000" w:rsidRDefault="00000000" w:rsidRPr="00000000" w14:paraId="000000D0">
      <w:pPr>
        <w:spacing w:after="120" w:line="360" w:lineRule="auto"/>
        <w:ind w:left="0" w:firstLine="709"/>
        <w:jc w:val="both"/>
        <w:rPr>
          <w:highlight w:val="white"/>
        </w:rPr>
      </w:pPr>
      <w:r w:rsidDel="00000000" w:rsidR="00000000" w:rsidRPr="00000000">
        <w:rPr>
          <w:highlight w:val="white"/>
        </w:rPr>
        <w:drawing>
          <wp:inline distB="114300" distT="114300" distL="114300" distR="114300">
            <wp:extent cx="5759775" cy="4127500"/>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5977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pStyle w:val="Heading4"/>
        <w:jc w:val="left"/>
        <w:rPr>
          <w:rFonts w:ascii="Times New Roman" w:cs="Times New Roman" w:eastAsia="Times New Roman" w:hAnsi="Times New Roman"/>
          <w:i w:val="0"/>
          <w:iCs w:val="0"/>
          <w:color w:val="000000"/>
          <w:highlight w:val="white"/>
        </w:rPr>
      </w:pPr>
      <w:bookmarkStart w:colFirst="0" w:colLast="0" w:name="_2reljg3yjt3t" w:id="15"/>
      <w:bookmarkEnd w:id="15"/>
      <w:r w:rsidDel="00000000" w:rsidR="00000000" w:rsidRPr="00000000">
        <w:rPr>
          <w:rFonts w:ascii="Times New Roman" w:cs="Times New Roman" w:eastAsia="Times New Roman" w:hAnsi="Times New Roman"/>
          <w:i w:val="0"/>
          <w:iCs w:val="0"/>
          <w:color w:val="000000"/>
          <w:highlight w:val="white"/>
          <w:rtl w:val="0"/>
        </w:rPr>
        <w:t xml:space="preserve">Ondas e carregamento hidrodinâmico</w:t>
      </w:r>
    </w:p>
    <w:p w:rsidR="00000000" w:rsidDel="00000000" w:rsidP="00000000" w:rsidRDefault="00000000" w:rsidRPr="00000000" w14:paraId="000000D2">
      <w:pPr>
        <w:spacing w:after="120" w:line="360" w:lineRule="auto"/>
        <w:ind w:left="0" w:firstLine="709"/>
        <w:jc w:val="both"/>
        <w:rPr>
          <w:highlight w:val="white"/>
        </w:rPr>
      </w:pPr>
      <w:r w:rsidDel="00000000" w:rsidR="00000000" w:rsidRPr="00000000">
        <w:rPr>
          <w:highlight w:val="white"/>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D3">
      <w:pPr>
        <w:spacing w:after="120" w:line="360" w:lineRule="auto"/>
        <w:ind w:left="0" w:firstLine="709"/>
        <w:jc w:val="both"/>
        <w:rPr>
          <w:highlight w:val="white"/>
        </w:rPr>
      </w:pPr>
      <w:r w:rsidDel="00000000" w:rsidR="00000000" w:rsidRPr="00000000">
        <w:rPr>
          <w:highlight w:val="white"/>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D4">
      <w:pPr>
        <w:spacing w:after="120" w:line="360" w:lineRule="auto"/>
        <w:ind w:left="0" w:firstLine="709"/>
        <w:jc w:val="both"/>
        <w:rPr>
          <w:highlight w:val="white"/>
        </w:rPr>
      </w:pPr>
      <w:r w:rsidDel="00000000" w:rsidR="00000000" w:rsidRPr="00000000">
        <w:rPr>
          <w:highlight w:val="white"/>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D5">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6">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7">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0D8">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9">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0DA">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0DB">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0DC">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DD">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DE">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DF">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E0">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E1">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7">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8">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A">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B">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D">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E">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0">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F1">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F2">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F3">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6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F5">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7">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F8">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F9">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FA">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FB">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FF">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3">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100">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4">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01">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5">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102">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6">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103">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104">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7">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05">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06">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8">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07">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9">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08">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20">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09">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21">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0A">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2">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0B">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3">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0C">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4">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0D">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5">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0E">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6">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0F">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7">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10">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8">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11">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12">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9">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13">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30">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14">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31">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15">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2">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16">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3">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17">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4">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8">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5">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19">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6">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1A">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7">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1B">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8">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1C">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9">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D">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40">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1E">
      <w:pPr>
        <w:spacing w:after="240" w:before="0" w:line="240" w:lineRule="auto"/>
        <w:ind w:firstLine="0"/>
        <w:jc w:val="left"/>
        <w:rPr>
          <w:i w:val="1"/>
          <w:iCs w:val="1"/>
          <w:color w:val="595959"/>
        </w:rPr>
      </w:pPr>
      <w:r w:rsidDel="00000000" w:rsidR="00000000" w:rsidRPr="00000000">
        <w:rPr>
          <w:i w:val="1"/>
          <w:iCs w:val="1"/>
          <w:color w:val="595959"/>
          <w:rtl w:val="0"/>
        </w:rPr>
        <w:t xml:space="preserve">ORTIZ 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11F">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41">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20">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2">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21">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3">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22">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23">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4">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24">
      <w:pPr>
        <w:spacing w:after="240" w:before="0" w:line="240" w:lineRule="auto"/>
        <w:ind w:firstLine="0"/>
        <w:jc w:val="left"/>
        <w:rPr>
          <w:i w:val="1"/>
          <w:iCs w:val="1"/>
          <w:color w:val="595959"/>
        </w:rPr>
      </w:pPr>
      <w:r w:rsidDel="00000000" w:rsidR="00000000" w:rsidRPr="00000000">
        <w:rPr>
          <w:i w:val="1"/>
          <w:iCs w:val="1"/>
          <w:color w:val="595959"/>
          <w:rtl w:val="0"/>
        </w:rPr>
        <w:t xml:space="preserve">SCARSELLI, N. Submarine landslides: architecture, controlling factors and environments: a summary. In: SCARSELLI, N. et al. (org.). Regional geology and tectonics. 2. ed. [S. l.]: Elsevier, 2020. v. 1, p. 417–439. DOI: https://doi.org/10.1016/B978-0-444-64134-2.00015-8.</w:t>
      </w:r>
    </w:p>
    <w:p w:rsidR="00000000" w:rsidDel="00000000" w:rsidP="00000000" w:rsidRDefault="00000000" w:rsidRPr="00000000" w14:paraId="00000125">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26">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5">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27">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6">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28">
      <w:pPr>
        <w:spacing w:after="240" w:before="0" w:line="240" w:lineRule="auto"/>
        <w:ind w:firstLine="0"/>
        <w:jc w:val="left"/>
        <w:rPr>
          <w:i w:val="1"/>
          <w:iCs w:val="1"/>
          <w:color w:val="595959"/>
        </w:rPr>
      </w:pPr>
      <w:r w:rsidDel="00000000" w:rsidR="00000000" w:rsidRPr="00000000">
        <w:rPr>
          <w:i w:val="1"/>
          <w:iCs w:val="1"/>
          <w:color w:val="595959"/>
          <w:rtl w:val="0"/>
        </w:rPr>
        <w:t xml:space="preserve">SULTAN, N. et al.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129">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7">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2A">
      <w:pPr>
        <w:spacing w:after="240" w:before="0" w:line="240" w:lineRule="auto"/>
        <w:ind w:firstLine="0"/>
        <w:jc w:val="left"/>
        <w:rPr>
          <w:i w:val="1"/>
          <w:iCs w:val="1"/>
          <w:color w:val="595959"/>
        </w:rPr>
      </w:pPr>
      <w:r w:rsidDel="00000000" w:rsidR="00000000" w:rsidRPr="00000000">
        <w:rPr>
          <w:i w:val="1"/>
          <w:iCs w:val="1"/>
          <w:color w:val="595959"/>
          <w:rtl w:val="0"/>
        </w:rPr>
        <w:t xml:space="preserve">TERZAGHI, K. Erdbaumechanik auf bodenphysikalischer Grundlage. Leipzig; Wien: Franz Deuticke, 1925.</w:t>
      </w:r>
    </w:p>
    <w:p w:rsidR="00000000" w:rsidDel="00000000" w:rsidP="00000000" w:rsidRDefault="00000000" w:rsidRPr="00000000" w14:paraId="0000012B">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2C">
      <w:pPr>
        <w:spacing w:after="240" w:before="0" w:line="240" w:lineRule="auto"/>
        <w:ind w:firstLine="0"/>
        <w:jc w:val="left"/>
        <w:rPr>
          <w:i w:val="1"/>
          <w:iCs w:val="1"/>
          <w:color w:val="595959"/>
        </w:rPr>
      </w:pPr>
      <w:r w:rsidDel="00000000" w:rsidR="00000000" w:rsidRPr="00000000">
        <w:rPr>
          <w:i w:val="1"/>
          <w:iCs w:val="1"/>
          <w:color w:val="595959"/>
          <w:rtl w:val="0"/>
        </w:rPr>
        <w:t xml:space="preserve">URLAUB, M. et al.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12D">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2E">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8">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2F">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9">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30">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50">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31">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32">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33">
      <w:pPr>
        <w:rPr/>
      </w:pPr>
      <w:r w:rsidDel="00000000" w:rsidR="00000000" w:rsidRPr="00000000">
        <w:br w:type="page"/>
      </w:r>
      <w:r w:rsidDel="00000000" w:rsidR="00000000" w:rsidRPr="00000000">
        <w:rPr>
          <w:rtl w:val="0"/>
        </w:rPr>
      </w:r>
    </w:p>
    <w:p w:rsidR="00000000" w:rsidDel="00000000" w:rsidP="00000000" w:rsidRDefault="00000000" w:rsidRPr="00000000" w14:paraId="0000013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3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51"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Gungsuh"/>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90/1.9781560801740" TargetMode="External"/><Relationship Id="rId42" Type="http://schemas.openxmlformats.org/officeDocument/2006/relationships/hyperlink" Target="https://doi.org/10.1016/j.margeo.2016.01.009" TargetMode="External"/><Relationship Id="rId41" Type="http://schemas.openxmlformats.org/officeDocument/2006/relationships/hyperlink" Target="https://doi.org/10.1108/DTA-08-2023-0461" TargetMode="External"/><Relationship Id="rId44" Type="http://schemas.openxmlformats.org/officeDocument/2006/relationships/hyperlink" Target="http://www.repositorio.jesuita.org.br/handle/UNISINOS/10129" TargetMode="External"/><Relationship Id="rId43" Type="http://schemas.openxmlformats.org/officeDocument/2006/relationships/hyperlink" Target="https://doi.org/10.1306/111302730367" TargetMode="External"/><Relationship Id="rId46" Type="http://schemas.openxmlformats.org/officeDocument/2006/relationships/hyperlink" Target="https://doi.org/10.5530/jscires.10.3.45" TargetMode="External"/><Relationship Id="rId45" Type="http://schemas.openxmlformats.org/officeDocument/2006/relationships/hyperlink" Target="https://doi.org/10.1016/B978-85-352-6208-7.5001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48" Type="http://schemas.openxmlformats.org/officeDocument/2006/relationships/hyperlink" Target="https://doi.org/10.1016/j.margeo.2014.01.005" TargetMode="External"/><Relationship Id="rId47" Type="http://schemas.openxmlformats.org/officeDocument/2006/relationships/hyperlink" Target="https://doi.org/10.5670/oceanog.2014.38" TargetMode="External"/><Relationship Id="rId49" Type="http://schemas.openxmlformats.org/officeDocument/2006/relationships/hyperlink" Target="https://doi.org/10.48550/arXiv.2106.06050" TargetMode="Externa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4.png"/><Relationship Id="rId8" Type="http://schemas.openxmlformats.org/officeDocument/2006/relationships/image" Target="media/image3.png"/><Relationship Id="rId31" Type="http://schemas.openxmlformats.org/officeDocument/2006/relationships/hyperlink" Target="https://doi.org/10.3390/jmse8120968" TargetMode="External"/><Relationship Id="rId30" Type="http://schemas.openxmlformats.org/officeDocument/2006/relationships/hyperlink" Target="https://doi.org/10.1016/B978-85-352-6937-6.50012-4" TargetMode="External"/><Relationship Id="rId33" Type="http://schemas.openxmlformats.org/officeDocument/2006/relationships/hyperlink" Target="https://doi.org/10.2110/sepmsp.096.423" TargetMode="External"/><Relationship Id="rId32" Type="http://schemas.openxmlformats.org/officeDocument/2006/relationships/hyperlink" Target="https://doi.org/10.1002/9781444304398.ch5" TargetMode="External"/><Relationship Id="rId35" Type="http://schemas.openxmlformats.org/officeDocument/2006/relationships/hyperlink" Target="https://doi.org/10.1590/S0102-261X2005000300006" TargetMode="External"/><Relationship Id="rId34" Type="http://schemas.openxmlformats.org/officeDocument/2006/relationships/hyperlink" Target="http://www.cpgg.ufba.br/gr-geof/geo213/trabalhos-graducao/Adson-Meneses.pdf" TargetMode="External"/><Relationship Id="rId37" Type="http://schemas.openxmlformats.org/officeDocument/2006/relationships/hyperlink" Target="https://doi.org/10.1111/j.1365-2117.2007.00340.x" TargetMode="External"/><Relationship Id="rId36" Type="http://schemas.openxmlformats.org/officeDocument/2006/relationships/hyperlink" Target="https://doi.org/10.1306/M26490C8" TargetMode="External"/><Relationship Id="rId39"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38" Type="http://schemas.openxmlformats.org/officeDocument/2006/relationships/hyperlink" Target="https://doi.org/10.1130/B31221.1" TargetMode="External"/><Relationship Id="rId20" Type="http://schemas.openxmlformats.org/officeDocument/2006/relationships/hyperlink" Target="https://doi.org/10.1190/1.9781560801900" TargetMode="External"/><Relationship Id="rId22" Type="http://schemas.openxmlformats.org/officeDocument/2006/relationships/hyperlink" Target="https://www.elsevier.com/products/scopus" TargetMode="External"/><Relationship Id="rId21" Type="http://schemas.openxmlformats.org/officeDocument/2006/relationships/hyperlink" Target="https://doi.org/10.1144/SP477.15" TargetMode="External"/><Relationship Id="rId24" Type="http://schemas.openxmlformats.org/officeDocument/2006/relationships/hyperlink" Target="https://doi.org/10.1016/B978-85-352-6937-6.50009-4" TargetMode="External"/><Relationship Id="rId23" Type="http://schemas.openxmlformats.org/officeDocument/2006/relationships/hyperlink" Target="https://www.gov.br/anp/pt-br/rodadas-anp/rodadas-concluidas/concessao-de-blocos-exploratorios/15a-rodada-licitacoes-blocos/arquivos/areas-oferecidas/sumario_geologico_r15_santos.pdf" TargetMode="External"/><Relationship Id="rId26" Type="http://schemas.openxmlformats.org/officeDocument/2006/relationships/hyperlink" Target="https://www.guralp.com/" TargetMode="External"/><Relationship Id="rId25" Type="http://schemas.openxmlformats.org/officeDocument/2006/relationships/hyperlink" Target="https://doi.org/10.1016/j.margeo.2016.06.003" TargetMode="External"/><Relationship Id="rId28" Type="http://schemas.openxmlformats.org/officeDocument/2006/relationships/hyperlink" Target="https://sbgf.org.br/mysbgf/eventos/expanded_abstracts/17th_CISBGf/920211118142805III_SBGGM_DRA_CIZIA_MARIA_MARGEM_CONTINENTAL.pdf" TargetMode="External"/><Relationship Id="rId27" Type="http://schemas.openxmlformats.org/officeDocument/2006/relationships/hyperlink" Target="https://doi.org/10.1029/95RG03287" TargetMode="External"/><Relationship Id="rId29" Type="http://schemas.openxmlformats.org/officeDocument/2006/relationships/hyperlink" Target="https://doi.org/10.1306/09011514210" TargetMode="External"/><Relationship Id="rId51" Type="http://schemas.openxmlformats.org/officeDocument/2006/relationships/footer" Target="footer1.xml"/><Relationship Id="rId50" Type="http://schemas.openxmlformats.org/officeDocument/2006/relationships/hyperlink" Target="https://doi.org/10.1190/1.9781560801580" TargetMode="External"/><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hyperlink" Target="https://doi.org/10.22456/1807-9806.144416" TargetMode="External"/><Relationship Id="rId12" Type="http://schemas.openxmlformats.org/officeDocument/2006/relationships/image" Target="media/image7.png"/><Relationship Id="rId15" Type="http://schemas.openxmlformats.org/officeDocument/2006/relationships/hyperlink" Target="https://doi.org/10.1017/CBO9781139628921.004" TargetMode="External"/><Relationship Id="rId14" Type="http://schemas.openxmlformats.org/officeDocument/2006/relationships/hyperlink" Target="https://lume.ufrgs.br/handle/10183/139096" TargetMode="External"/><Relationship Id="rId17" Type="http://schemas.openxmlformats.org/officeDocument/2006/relationships/hyperlink" Target="https://doi.org/10.1190/sbgf2005-275" TargetMode="External"/><Relationship Id="rId16" Type="http://schemas.openxmlformats.org/officeDocument/2006/relationships/hyperlink" Target="https://doi.org/10.1016/B978-85-352-6937-6.50013-6" TargetMode="External"/><Relationship Id="rId19" Type="http://schemas.openxmlformats.org/officeDocument/2006/relationships/hyperlink" Target="https://doi.org/10.1190/1.2098670" TargetMode="External"/><Relationship Id="rId18" Type="http://schemas.openxmlformats.org/officeDocument/2006/relationships/hyperlink" Target="https://doi.org/10.1007/978-3-319-20979-1_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