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proofErr w:type="spellStart"/>
      <w:proofErr w:type="spellEnd"/>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proofErr w:type="spellStart"/>
      <w:proofErr w:type="spellEnd"/>
    </w:p>
    <w:p w14:paraId="405F58F6" w14:textId="337103B8" w:rsidR="004420BE" w:rsidRPr="002E546C" w:rsidRDefault="00477BCD" w:rsidP="002E546C">
      <w:pPr>
        <w:tabs>
          <w:tab w:val="left" w:pos="2850"/>
        </w:tabs>
        <w:rPr>
          <w:rFonts w:cs="Times New Roman"/>
          <w:sz w:val="22"/>
        </w:rPr>
      </w:pPr>
      <w:proofErr w:type="spellStart"/>
      <w:proofErr w:type="spellEnd"/>
      <w:r>
        <w:t>UTM X: 238427.0</w:t>
        <w:br/>
        <w:t>UTM Y: 4654990.0</w:t>
        <w:br/>
        <w:t>Huso: 30</w:t>
        <w:br/>
        <w:t>Datum: ETRS89</w:t>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proofErr w:type="spellStart"/>
      <w:proofErr w:type="spellEnd"/>
      <w:r>
        <w:t>La perforación se comenzará con un diámetro superior al definitivo de la entubación, que en este caso será de 222.0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5950CD">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proofErr w:type="spellStart"/>
      <w:proofErr w:type="spellEnd"/>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proofErr w:type="spellStart"/>
      <w:proofErr w:type="spellEnd"/>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proofErr w:type="spellStart"/>
      <w:proofErr w:type="spellEnd"/>
      <w:proofErr w:type="spellStart"/>
      <w:proofErr w:type="spellEnd"/>
      <w:r>
        <w:t xml:space="preserve">Durante la fase de funcionamiento el agua se extrae del sondeo mediante una bomba electrosumergible de Electrobomba Sumergible 2.94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proofErr w:type="spellStart"/>
      <w:proofErr w:type="spellEnd"/>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proofErr w:type="spellStart"/>
      <w:proofErr w:type="spellEnd"/>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proofErr w:type="spellStart"/>
      <w:proofErr w:type="spellEnd"/>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t>DOCUMENTO AMBIENTAL SIMPLIIFICADO SOBRE PROYECTO DE SONDEO PARA CAPTACIÓN DE AGUAS SUBTERRÁNEAS PARA ABASTECIMIENTO EN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