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r>
        <w:t xml:space="preserve"/>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r w:rsidRPr="00477BCD">
        <w:t xml:space="preserve"/>
      </w:r>
    </w:p>
    <w:p w14:paraId="405F58F6" w14:textId="337103B8" w:rsidR="004420BE" w:rsidRPr="002E546C" w:rsidRDefault="00477BCD" w:rsidP="002E546C">
      <w:pPr>
        <w:tabs>
          <w:tab w:val="left" w:pos="2850"/>
        </w:tabs>
        <w:rPr>
          <w:rFonts w:cs="Times New Roman"/>
          <w:sz w:val="22"/>
        </w:rPr>
      </w:pPr>
      <w:r w:rsidRPr="00477BCD">
        <w:rPr>
          <w:rFonts w:cs="Times New Roman"/>
          <w:sz w:val="22"/>
        </w:rPr>
        <w:t xml:space="preserve">UTM X: 238427.0</w:t>
        <w:br/>
        <w:t xml:space="preserve">UTM Y: 4654990.0</w:t>
        <w:br/>
        <w:t xml:space="preserve">Huso: 30</w:t>
        <w:br/>
        <w:t xml:space="preserve">Datum: ETRS89</w:t>
      </w:r>
      <w:r w:rsidR="00732D5F" w:rsidRPr="00732D5F">
        <w:rPr>
          <w:rFonts w:cs="Times New Roman"/>
          <w:sz w:val="22"/>
        </w:rPr>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rsidRPr="00A03DC8">
        <w:rPr>
          <w:rFonts w:cs="Times New Roman"/>
        </w:rPr>
        <w:t xml:space="preserve">La longitud para este sondeo es de </w:t>
      </w:r>
      <w:r w:rsidR="004E74AC" w:rsidRPr="004E74AC">
        <w:rPr>
          <w:rFonts w:cs="Times New Roman"/>
        </w:rPr>
        <w:t xml:space="preserve">160.0</w:t>
      </w:r>
      <w:r w:rsidR="004E74AC">
        <w:rPr>
          <w:rFonts w:cs="Times New Roman"/>
        </w:rPr>
        <w:t xml:space="preserve"> </w:t>
      </w:r>
      <w:r w:rsidRPr="00A03DC8">
        <w:rPr>
          <w:rFonts w:cs="Times New Roman"/>
        </w:rPr>
        <w:t>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rsidRPr="00A03DC8">
        <w:rPr>
          <w:rFonts w:cs="Times New Roman"/>
        </w:rPr>
        <w:t xml:space="preserve">La perforación se comenzará con un diámetro superior al definitivo de la entubación, que en este caso será de </w:t>
      </w:r>
      <w:r w:rsidR="0083162E" w:rsidRPr="0083162E">
        <w:rPr>
          <w:rFonts w:cs="Times New Roman"/>
        </w:rPr>
        <w:t xml:space="preserve">222.0</w:t>
      </w:r>
      <w:r w:rsidR="0083162E">
        <w:rPr>
          <w:rFonts w:cs="Times New Roman"/>
        </w:rPr>
        <w:t xml:space="preserve"> </w:t>
      </w:r>
      <w:r w:rsidRPr="00A03DC8">
        <w:rPr>
          <w:rFonts w:cs="Times New Roman"/>
        </w:rPr>
        <w:t xml:space="preserve">mm, con el fin de que posteriormente puedan ser introducidas la tubería y la grava, y para que en caso de ser necesario reducir el diámetro definitivo, la tubería no tenga que ser de diámetro inferior al proyectado, ya que de lo contrario limitaría las </w:t>
      </w:r>
      <w:r w:rsidRPr="00A03DC8">
        <w:rPr>
          <w:rFonts w:cs="Times New Roman"/>
        </w:rPr>
        <w:lastRenderedPageBreak/>
        <w:t>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 xml:space="preserve"/>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r w:rsidRPr="00BF4A7D">
        <w:rPr>
          <w:rFonts w:cs="Times New Roman"/>
        </w:rPr>
        <w:t xml:space="preserve"/>
      </w: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r w:rsidRPr="00AE0E3E">
        <w:rPr>
          <w:rFonts w:cs="Times New Roman"/>
          <w:bCs/>
        </w:rPr>
        <w:t xml:space="preserve"/>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Durante la fase de funcionamiento el agua se extrae del sondeo mediante</w:t>
      </w:r>
      <w:r w:rsidR="00FE5923" w:rsidRPr="00A03DC8">
        <w:rPr>
          <w:rFonts w:cs="Times New Roman"/>
        </w:rPr>
        <w:t xml:space="preserve"> una bomba </w:t>
      </w:r>
      <w:proofErr w:type="spellStart"/>
      <w:r w:rsidR="00FE5923" w:rsidRPr="00A03DC8">
        <w:rPr>
          <w:rFonts w:cs="Times New Roman"/>
        </w:rPr>
        <w:t>electrosumergible</w:t>
      </w:r>
      <w:proofErr w:type="spellEnd"/>
      <w:r w:rsidRPr="00A03DC8">
        <w:rPr>
          <w:rFonts w:cs="Times New Roman"/>
        </w:rPr>
        <w:t xml:space="preserve"> </w:t>
      </w:r>
      <w:r w:rsidR="00FE5923" w:rsidRPr="00A03DC8">
        <w:rPr>
          <w:rFonts w:cs="Times New Roman"/>
        </w:rPr>
        <w:t xml:space="preserve">de </w:t>
      </w:r>
      <w:r w:rsidR="00AF52EA" w:rsidRPr="00A03DC8">
        <w:rPr>
          <w:rFonts w:cs="Times New Roman"/>
        </w:rPr>
        <w:t xml:space="preserve">Electrobomba Sumergible </w:t>
      </w:r>
      <w:r w:rsidR="00114CC2">
        <w:rPr>
          <w:rFonts w:cs="Times New Roman"/>
        </w:rPr>
        <w:t xml:space="preserve">2.94</w:t>
      </w:r>
      <w:r w:rsidR="00AE588D" w:rsidRPr="00AE588D">
        <w:rPr>
          <w:rFonts w:cs="Times New Roman"/>
        </w:rPr>
        <w:t xml:space="preserve"> </w:t>
      </w:r>
      <w:r w:rsidR="00FE78C3">
        <w:rPr>
          <w:rFonts w:cs="Times New Roman"/>
        </w:rPr>
        <w:t>kW</w:t>
      </w:r>
      <w:r w:rsidR="00AE588D">
        <w:rPr>
          <w:rFonts w:cs="Times New Roman"/>
        </w:rPr>
        <w:t xml:space="preserve"> </w:t>
      </w:r>
      <w:r w:rsidR="00E87304" w:rsidRPr="00A03DC8">
        <w:rPr>
          <w:rFonts w:cs="Times New Roman"/>
        </w:rPr>
        <w:t>de potencia</w:t>
      </w:r>
      <w:r w:rsidRPr="00A03DC8">
        <w:rPr>
          <w:rFonts w:cs="Times New Roman"/>
        </w:rPr>
        <w:t>, accionad</w:t>
      </w:r>
      <w:r w:rsidR="0045483C" w:rsidRPr="00A03DC8">
        <w:rPr>
          <w:rFonts w:cs="Times New Roman"/>
        </w:rPr>
        <w:t xml:space="preserve">a </w:t>
      </w:r>
      <w:r w:rsidR="00FE5923" w:rsidRPr="00A03DC8">
        <w:rPr>
          <w:rFonts w:cs="Times New Roman"/>
        </w:rPr>
        <w:t>la corriente eléctrica disponible en la parcela</w:t>
      </w:r>
      <w:r w:rsidRPr="00A03DC8">
        <w:rPr>
          <w:rFonts w:cs="Times New Roman"/>
        </w:rPr>
        <w:t xml:space="preserve">.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t xml:space="preserve"/>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t xml:space="preserve"/>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r w:rsidRPr="007661E2">
        <w:t xml:space="preserve"/>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1001"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 xml:space="preserve"/>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002"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3"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1004"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 xml:space="preserve">CAPTACIÓN DE AGUAS SUBTERRÁNEAS PARA ABASTECIMIENTO EN Vega de Tera (Zamora)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dc:description/>
  <dc:identifier/>
  <dc:language/>
  <dc:subject/>
</cp:coreProperties>
</file>