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33D62" w14:textId="4867B93B" w:rsidR="008D2B31" w:rsidRDefault="008D2B31" w:rsidP="008D2B31">
      <w:pPr>
        <w:spacing w:after="0" w:line="240" w:lineRule="auto"/>
        <w:jc w:val="center"/>
        <w:rPr>
          <w:rFonts w:ascii="TradeGothicNextW01-Ligh 693250" w:hAnsi="TradeGothicNextW01-Ligh 693250"/>
          <w:b/>
          <w:bCs/>
          <w:sz w:val="27"/>
          <w:szCs w:val="27"/>
          <w:shd w:val="clear" w:color="auto" w:fill="FFFFFF"/>
        </w:rPr>
      </w:pPr>
      <w:r w:rsidRPr="008D2B31">
        <w:rPr>
          <w:rFonts w:ascii="TradeGothicNextW01-Ligh 693250" w:hAnsi="TradeGothicNextW01-Ligh 693250"/>
          <w:b/>
          <w:bCs/>
          <w:sz w:val="27"/>
          <w:szCs w:val="27"/>
          <w:shd w:val="clear" w:color="auto" w:fill="FFFFFF"/>
        </w:rPr>
        <w:t>Project Reflections</w:t>
      </w:r>
    </w:p>
    <w:p w14:paraId="0A794E60" w14:textId="77777777" w:rsidR="000A5A38" w:rsidRPr="008D2B31" w:rsidRDefault="000A5A38" w:rsidP="008D2B31">
      <w:pPr>
        <w:spacing w:after="0" w:line="240" w:lineRule="auto"/>
        <w:jc w:val="center"/>
        <w:rPr>
          <w:rFonts w:ascii="Bahnschrift Light Condensed" w:eastAsia="Times New Roman" w:hAnsi="Bahnschrift Light Condensed" w:cs="Arial"/>
          <w:b/>
          <w:bCs/>
        </w:rPr>
      </w:pPr>
    </w:p>
    <w:p w14:paraId="17AADE07" w14:textId="0CEF3224" w:rsidR="00A24266" w:rsidRPr="001E1FF5" w:rsidRDefault="00A24266" w:rsidP="00A24266">
      <w:pPr>
        <w:spacing w:after="0" w:line="240" w:lineRule="auto"/>
        <w:rPr>
          <w:rFonts w:asciiTheme="majorHAnsi" w:eastAsia="Times New Roman" w:hAnsiTheme="majorHAnsi" w:cstheme="majorHAnsi"/>
        </w:rPr>
      </w:pPr>
      <w:r w:rsidRPr="001E1FF5">
        <w:rPr>
          <w:rFonts w:asciiTheme="majorHAnsi" w:eastAsia="Times New Roman" w:hAnsiTheme="majorHAnsi" w:cstheme="majorHAnsi"/>
          <w:color w:val="000000"/>
        </w:rPr>
        <w:t>Looking back at all the tasks I completed, I now realized how each task lead to discovering and further understanding insights found throughout the data. At the beginning of the project, the data was missing values in a few columns and some values just did</w:t>
      </w:r>
      <w:r w:rsidR="00657D2E" w:rsidRPr="001E1FF5">
        <w:rPr>
          <w:rFonts w:asciiTheme="majorHAnsi" w:eastAsia="Times New Roman" w:hAnsiTheme="majorHAnsi" w:cstheme="majorHAnsi"/>
          <w:color w:val="000000"/>
        </w:rPr>
        <w:t>n’t</w:t>
      </w:r>
      <w:r w:rsidRPr="001E1FF5">
        <w:rPr>
          <w:rFonts w:asciiTheme="majorHAnsi" w:eastAsia="Times New Roman" w:hAnsiTheme="majorHAnsi" w:cstheme="majorHAnsi"/>
          <w:color w:val="000000"/>
        </w:rPr>
        <w:t xml:space="preserve"> make sense. Knowing this, the best strategy was to clean the data and arrange it for better visualization, and effectiveness. </w:t>
      </w:r>
    </w:p>
    <w:p w14:paraId="374FF79D" w14:textId="77777777" w:rsidR="008D2B31" w:rsidRPr="001E1FF5" w:rsidRDefault="008D2B31" w:rsidP="00A24266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111469D8" w14:textId="2B500156" w:rsidR="00A24266" w:rsidRPr="001E1FF5" w:rsidRDefault="00E57B5B" w:rsidP="00A24266">
      <w:pPr>
        <w:spacing w:after="0" w:line="240" w:lineRule="auto"/>
        <w:rPr>
          <w:rFonts w:asciiTheme="majorHAnsi" w:eastAsia="Times New Roman" w:hAnsiTheme="majorHAnsi" w:cstheme="majorHAnsi"/>
        </w:rPr>
      </w:pPr>
      <w:r w:rsidRPr="001E1FF5">
        <w:rPr>
          <w:rFonts w:asciiTheme="majorHAnsi" w:eastAsia="Times New Roman" w:hAnsiTheme="majorHAnsi" w:cstheme="majorHAnsi"/>
          <w:color w:val="000000"/>
        </w:rPr>
        <w:t>After</w:t>
      </w:r>
      <w:r w:rsidR="00A24266" w:rsidRPr="001E1FF5">
        <w:rPr>
          <w:rFonts w:asciiTheme="majorHAnsi" w:eastAsia="Times New Roman" w:hAnsiTheme="majorHAnsi" w:cstheme="majorHAnsi"/>
          <w:color w:val="000000"/>
        </w:rPr>
        <w:t xml:space="preserve"> the data was clean, I took it a step closer and arrange the data using pivot tables and filters </w:t>
      </w:r>
      <w:r w:rsidR="00606C17" w:rsidRPr="001E1FF5">
        <w:rPr>
          <w:rFonts w:asciiTheme="majorHAnsi" w:eastAsia="Times New Roman" w:hAnsiTheme="majorHAnsi" w:cstheme="majorHAnsi"/>
          <w:color w:val="000000"/>
        </w:rPr>
        <w:t>within</w:t>
      </w:r>
      <w:r w:rsidR="00A24266" w:rsidRPr="001E1FF5">
        <w:rPr>
          <w:rFonts w:asciiTheme="majorHAnsi" w:eastAsia="Times New Roman" w:hAnsiTheme="majorHAnsi" w:cstheme="majorHAnsi"/>
          <w:color w:val="000000"/>
        </w:rPr>
        <w:t xml:space="preserve"> the data </w:t>
      </w:r>
      <w:r w:rsidR="00606C17" w:rsidRPr="001E1FF5">
        <w:rPr>
          <w:rFonts w:asciiTheme="majorHAnsi" w:eastAsia="Times New Roman" w:hAnsiTheme="majorHAnsi" w:cstheme="majorHAnsi"/>
          <w:color w:val="000000"/>
        </w:rPr>
        <w:t>and</w:t>
      </w:r>
      <w:r w:rsidR="00A24266" w:rsidRPr="001E1FF5">
        <w:rPr>
          <w:rFonts w:asciiTheme="majorHAnsi" w:eastAsia="Times New Roman" w:hAnsiTheme="majorHAnsi" w:cstheme="majorHAnsi"/>
          <w:color w:val="000000"/>
        </w:rPr>
        <w:t xml:space="preserve"> even added some color to the boxes to make them stand out. </w:t>
      </w:r>
    </w:p>
    <w:p w14:paraId="572D38E4" w14:textId="77777777" w:rsidR="00A24266" w:rsidRPr="001E1FF5" w:rsidRDefault="00A24266" w:rsidP="00A24266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28C5D505" w14:textId="7DEE003D" w:rsidR="003673EA" w:rsidRPr="001E1FF5" w:rsidRDefault="00E57B5B" w:rsidP="00A24266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1E1FF5">
        <w:rPr>
          <w:rFonts w:asciiTheme="majorHAnsi" w:eastAsia="Times New Roman" w:hAnsiTheme="majorHAnsi" w:cstheme="majorHAnsi"/>
          <w:color w:val="000000"/>
        </w:rPr>
        <w:t>Once</w:t>
      </w:r>
      <w:r w:rsidR="00606C17" w:rsidRPr="001E1FF5">
        <w:rPr>
          <w:rFonts w:asciiTheme="majorHAnsi" w:eastAsia="Times New Roman" w:hAnsiTheme="majorHAnsi" w:cstheme="majorHAnsi"/>
          <w:color w:val="000000"/>
        </w:rPr>
        <w:t xml:space="preserve"> </w:t>
      </w:r>
      <w:r w:rsidRPr="001E1FF5">
        <w:rPr>
          <w:rFonts w:asciiTheme="majorHAnsi" w:eastAsia="Times New Roman" w:hAnsiTheme="majorHAnsi" w:cstheme="majorHAnsi"/>
          <w:color w:val="000000"/>
        </w:rPr>
        <w:t xml:space="preserve">all of this was completed, it was time to analyze the data. </w:t>
      </w:r>
      <w:r w:rsidR="00DB7106" w:rsidRPr="001E1FF5">
        <w:rPr>
          <w:rFonts w:asciiTheme="majorHAnsi" w:eastAsia="Times New Roman" w:hAnsiTheme="majorHAnsi" w:cstheme="majorHAnsi"/>
          <w:color w:val="000000"/>
        </w:rPr>
        <w:t xml:space="preserve">One of my initial insights was that during the recession </w:t>
      </w:r>
      <w:r w:rsidR="007552D1" w:rsidRPr="001E1FF5">
        <w:rPr>
          <w:rFonts w:asciiTheme="majorHAnsi" w:eastAsia="Times New Roman" w:hAnsiTheme="majorHAnsi" w:cstheme="majorHAnsi"/>
          <w:color w:val="000000"/>
        </w:rPr>
        <w:t>in</w:t>
      </w:r>
      <w:r w:rsidR="00DB7106" w:rsidRPr="001E1FF5">
        <w:rPr>
          <w:rFonts w:asciiTheme="majorHAnsi" w:eastAsia="Times New Roman" w:hAnsiTheme="majorHAnsi" w:cstheme="majorHAnsi"/>
          <w:color w:val="000000"/>
        </w:rPr>
        <w:t xml:space="preserve"> 2007 and 2008 </w:t>
      </w:r>
      <w:r w:rsidR="00986F88" w:rsidRPr="001E1FF5">
        <w:rPr>
          <w:rFonts w:asciiTheme="majorHAnsi" w:eastAsia="Times New Roman" w:hAnsiTheme="majorHAnsi" w:cstheme="majorHAnsi"/>
          <w:color w:val="000000"/>
        </w:rPr>
        <w:t xml:space="preserve">all </w:t>
      </w:r>
      <w:r w:rsidR="007552D1" w:rsidRPr="001E1FF5">
        <w:rPr>
          <w:rFonts w:asciiTheme="majorHAnsi" w:eastAsia="Times New Roman" w:hAnsiTheme="majorHAnsi" w:cstheme="majorHAnsi"/>
          <w:color w:val="000000"/>
        </w:rPr>
        <w:t>markets</w:t>
      </w:r>
      <w:r w:rsidR="00986F88" w:rsidRPr="001E1FF5">
        <w:rPr>
          <w:rFonts w:asciiTheme="majorHAnsi" w:eastAsia="Times New Roman" w:hAnsiTheme="majorHAnsi" w:cstheme="majorHAnsi"/>
          <w:color w:val="000000"/>
        </w:rPr>
        <w:t xml:space="preserve"> but especially the NA Market </w:t>
      </w:r>
      <w:r w:rsidR="007552D1" w:rsidRPr="001E1FF5">
        <w:rPr>
          <w:rFonts w:asciiTheme="majorHAnsi" w:eastAsia="Times New Roman" w:hAnsiTheme="majorHAnsi" w:cstheme="majorHAnsi"/>
          <w:color w:val="000000"/>
        </w:rPr>
        <w:t xml:space="preserve">sales went up. </w:t>
      </w:r>
      <w:r w:rsidR="002664CD" w:rsidRPr="001E1FF5">
        <w:rPr>
          <w:rFonts w:asciiTheme="majorHAnsi" w:eastAsia="Times New Roman" w:hAnsiTheme="majorHAnsi" w:cstheme="majorHAnsi"/>
          <w:color w:val="000000"/>
        </w:rPr>
        <w:t>As we know this was a recession that affected the housing ma</w:t>
      </w:r>
      <w:r w:rsidR="007406FE" w:rsidRPr="001E1FF5">
        <w:rPr>
          <w:rFonts w:asciiTheme="majorHAnsi" w:eastAsia="Times New Roman" w:hAnsiTheme="majorHAnsi" w:cstheme="majorHAnsi"/>
          <w:color w:val="000000"/>
        </w:rPr>
        <w:t xml:space="preserve">rket of the US, but it </w:t>
      </w:r>
      <w:r w:rsidR="003673EA" w:rsidRPr="001E1FF5">
        <w:rPr>
          <w:rFonts w:asciiTheme="majorHAnsi" w:eastAsia="Times New Roman" w:hAnsiTheme="majorHAnsi" w:cstheme="majorHAnsi"/>
          <w:color w:val="000000"/>
        </w:rPr>
        <w:t xml:space="preserve">is </w:t>
      </w:r>
      <w:r w:rsidR="00D145DF" w:rsidRPr="001E1FF5">
        <w:rPr>
          <w:rFonts w:asciiTheme="majorHAnsi" w:eastAsia="Times New Roman" w:hAnsiTheme="majorHAnsi" w:cstheme="majorHAnsi"/>
          <w:color w:val="000000"/>
        </w:rPr>
        <w:t>interesting</w:t>
      </w:r>
      <w:r w:rsidR="007406FE" w:rsidRPr="001E1FF5">
        <w:rPr>
          <w:rFonts w:asciiTheme="majorHAnsi" w:eastAsia="Times New Roman" w:hAnsiTheme="majorHAnsi" w:cstheme="majorHAnsi"/>
          <w:color w:val="000000"/>
        </w:rPr>
        <w:t xml:space="preserve"> to see that all </w:t>
      </w:r>
      <w:r w:rsidR="00940A7D" w:rsidRPr="001E1FF5">
        <w:rPr>
          <w:rFonts w:asciiTheme="majorHAnsi" w:eastAsia="Times New Roman" w:hAnsiTheme="majorHAnsi" w:cstheme="majorHAnsi"/>
          <w:color w:val="000000"/>
        </w:rPr>
        <w:t>markets</w:t>
      </w:r>
      <w:r w:rsidR="003673EA" w:rsidRPr="001E1FF5">
        <w:rPr>
          <w:rFonts w:asciiTheme="majorHAnsi" w:eastAsia="Times New Roman" w:hAnsiTheme="majorHAnsi" w:cstheme="majorHAnsi"/>
          <w:color w:val="000000"/>
        </w:rPr>
        <w:t>,</w:t>
      </w:r>
      <w:r w:rsidR="007406FE" w:rsidRPr="001E1FF5">
        <w:rPr>
          <w:rFonts w:asciiTheme="majorHAnsi" w:eastAsia="Times New Roman" w:hAnsiTheme="majorHAnsi" w:cstheme="majorHAnsi"/>
          <w:color w:val="000000"/>
        </w:rPr>
        <w:t xml:space="preserve"> not just the NA market </w:t>
      </w:r>
      <w:r w:rsidR="007B29FB" w:rsidRPr="001E1FF5">
        <w:rPr>
          <w:rFonts w:asciiTheme="majorHAnsi" w:eastAsia="Times New Roman" w:hAnsiTheme="majorHAnsi" w:cstheme="majorHAnsi"/>
          <w:color w:val="000000"/>
        </w:rPr>
        <w:t xml:space="preserve">were </w:t>
      </w:r>
      <w:r w:rsidR="007406FE" w:rsidRPr="001E1FF5">
        <w:rPr>
          <w:rFonts w:asciiTheme="majorHAnsi" w:eastAsia="Times New Roman" w:hAnsiTheme="majorHAnsi" w:cstheme="majorHAnsi"/>
          <w:color w:val="000000"/>
        </w:rPr>
        <w:t>affected</w:t>
      </w:r>
      <w:r w:rsidR="003673EA" w:rsidRPr="001E1FF5">
        <w:rPr>
          <w:rFonts w:asciiTheme="majorHAnsi" w:eastAsia="Times New Roman" w:hAnsiTheme="majorHAnsi" w:cstheme="majorHAnsi"/>
          <w:color w:val="000000"/>
        </w:rPr>
        <w:t xml:space="preserve"> as seen in the graph below. </w:t>
      </w:r>
    </w:p>
    <w:p w14:paraId="6695C02D" w14:textId="77777777" w:rsidR="005E506C" w:rsidRPr="001E1FF5" w:rsidRDefault="005E506C" w:rsidP="00A24266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35608C3D" w14:textId="011FAAFB" w:rsidR="005E506C" w:rsidRPr="001E1FF5" w:rsidRDefault="00D372A0" w:rsidP="001F6CD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</w:rPr>
      </w:pPr>
      <w:r w:rsidRPr="001E1FF5">
        <w:rPr>
          <w:rFonts w:asciiTheme="majorHAnsi" w:hAnsiTheme="majorHAnsi" w:cstheme="majorHAnsi"/>
          <w:noProof/>
        </w:rPr>
        <w:drawing>
          <wp:inline distT="0" distB="0" distL="0" distR="0" wp14:anchorId="36EF1D4D" wp14:editId="606A78BC">
            <wp:extent cx="5377429" cy="2226683"/>
            <wp:effectExtent l="0" t="0" r="1397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0DBDED-B63C-CD5A-5EC2-81EE91E7D2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6B637E1" w14:textId="77777777" w:rsidR="003673EA" w:rsidRPr="001E1FF5" w:rsidRDefault="003673EA" w:rsidP="00A24266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0A484F8B" w14:textId="000D0AC1" w:rsidR="003673EA" w:rsidRPr="001E1FF5" w:rsidRDefault="00EB5150" w:rsidP="00A24266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1E1FF5">
        <w:rPr>
          <w:rFonts w:asciiTheme="majorHAnsi" w:eastAsia="Times New Roman" w:hAnsiTheme="majorHAnsi" w:cstheme="majorHAnsi"/>
          <w:color w:val="000000"/>
        </w:rPr>
        <w:t xml:space="preserve">With this information, given, I </w:t>
      </w:r>
      <w:r w:rsidR="006C0D1F" w:rsidRPr="001E1FF5">
        <w:rPr>
          <w:rFonts w:asciiTheme="majorHAnsi" w:eastAsia="Times New Roman" w:hAnsiTheme="majorHAnsi" w:cstheme="majorHAnsi"/>
          <w:color w:val="000000"/>
        </w:rPr>
        <w:t>switched</w:t>
      </w:r>
      <w:r w:rsidR="00FE1213" w:rsidRPr="001E1FF5">
        <w:rPr>
          <w:rFonts w:asciiTheme="majorHAnsi" w:eastAsia="Times New Roman" w:hAnsiTheme="majorHAnsi" w:cstheme="majorHAnsi"/>
          <w:color w:val="000000"/>
        </w:rPr>
        <w:t xml:space="preserve"> my focus to </w:t>
      </w:r>
      <w:r w:rsidR="0013725A" w:rsidRPr="001E1FF5">
        <w:rPr>
          <w:rFonts w:asciiTheme="majorHAnsi" w:eastAsia="Times New Roman" w:hAnsiTheme="majorHAnsi" w:cstheme="majorHAnsi"/>
          <w:color w:val="000000"/>
        </w:rPr>
        <w:t xml:space="preserve">data after </w:t>
      </w:r>
      <w:r w:rsidR="006C0D1F" w:rsidRPr="001E1FF5">
        <w:rPr>
          <w:rFonts w:asciiTheme="majorHAnsi" w:eastAsia="Times New Roman" w:hAnsiTheme="majorHAnsi" w:cstheme="majorHAnsi"/>
          <w:color w:val="000000"/>
        </w:rPr>
        <w:t xml:space="preserve">the </w:t>
      </w:r>
      <w:r w:rsidR="0013725A" w:rsidRPr="001E1FF5">
        <w:rPr>
          <w:rFonts w:asciiTheme="majorHAnsi" w:eastAsia="Times New Roman" w:hAnsiTheme="majorHAnsi" w:cstheme="majorHAnsi"/>
          <w:color w:val="000000"/>
        </w:rPr>
        <w:t xml:space="preserve">year 2010 as this will show a better representation of how the market </w:t>
      </w:r>
      <w:r w:rsidR="00687002" w:rsidRPr="001E1FF5">
        <w:rPr>
          <w:rFonts w:asciiTheme="majorHAnsi" w:eastAsia="Times New Roman" w:hAnsiTheme="majorHAnsi" w:cstheme="majorHAnsi"/>
          <w:color w:val="000000"/>
        </w:rPr>
        <w:t xml:space="preserve">will be </w:t>
      </w:r>
      <w:r w:rsidR="00940A7D" w:rsidRPr="001E1FF5">
        <w:rPr>
          <w:rFonts w:asciiTheme="majorHAnsi" w:eastAsia="Times New Roman" w:hAnsiTheme="majorHAnsi" w:cstheme="majorHAnsi"/>
          <w:color w:val="000000"/>
        </w:rPr>
        <w:t>in</w:t>
      </w:r>
      <w:r w:rsidR="00687002" w:rsidRPr="001E1FF5">
        <w:rPr>
          <w:rFonts w:asciiTheme="majorHAnsi" w:eastAsia="Times New Roman" w:hAnsiTheme="majorHAnsi" w:cstheme="majorHAnsi"/>
          <w:color w:val="000000"/>
        </w:rPr>
        <w:t xml:space="preserve"> 2017</w:t>
      </w:r>
      <w:r w:rsidR="007B29FB" w:rsidRPr="001E1FF5">
        <w:rPr>
          <w:rFonts w:asciiTheme="majorHAnsi" w:eastAsia="Times New Roman" w:hAnsiTheme="majorHAnsi" w:cstheme="majorHAnsi"/>
          <w:color w:val="000000"/>
        </w:rPr>
        <w:t xml:space="preserve">. </w:t>
      </w:r>
    </w:p>
    <w:p w14:paraId="5690F1C0" w14:textId="77777777" w:rsidR="00D372A0" w:rsidRPr="001E1FF5" w:rsidRDefault="00D372A0" w:rsidP="00A24266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634EDECA" w14:textId="0B306E9B" w:rsidR="00D372A0" w:rsidRPr="001E1FF5" w:rsidRDefault="006764BD" w:rsidP="001F6CDB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</w:rPr>
      </w:pPr>
      <w:r w:rsidRPr="001E1FF5">
        <w:rPr>
          <w:rFonts w:asciiTheme="majorHAnsi" w:hAnsiTheme="majorHAnsi" w:cstheme="majorHAnsi"/>
          <w:noProof/>
        </w:rPr>
        <w:drawing>
          <wp:inline distT="0" distB="0" distL="0" distR="0" wp14:anchorId="5C0FF085" wp14:editId="6955EE57">
            <wp:extent cx="5330127" cy="2396472"/>
            <wp:effectExtent l="0" t="0" r="4445" b="44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E82585-6042-5922-60A2-EBA9360619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4C5415" w14:textId="77777777" w:rsidR="00ED3A86" w:rsidRPr="001E1FF5" w:rsidRDefault="00ED3A86" w:rsidP="00A24266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561CCDE8" w14:textId="2DE24B10" w:rsidR="00ED3A86" w:rsidRDefault="00E45698" w:rsidP="00A24266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1E1FF5">
        <w:rPr>
          <w:rFonts w:asciiTheme="majorHAnsi" w:eastAsia="Times New Roman" w:hAnsiTheme="majorHAnsi" w:cstheme="majorHAnsi"/>
          <w:color w:val="000000"/>
        </w:rPr>
        <w:lastRenderedPageBreak/>
        <w:t xml:space="preserve">The graph </w:t>
      </w:r>
      <w:r w:rsidR="00560A0D" w:rsidRPr="001E1FF5">
        <w:rPr>
          <w:rFonts w:asciiTheme="majorHAnsi" w:eastAsia="Times New Roman" w:hAnsiTheme="majorHAnsi" w:cstheme="majorHAnsi"/>
          <w:color w:val="000000"/>
        </w:rPr>
        <w:t>above</w:t>
      </w:r>
      <w:r w:rsidRPr="001E1FF5">
        <w:rPr>
          <w:rFonts w:asciiTheme="majorHAnsi" w:eastAsia="Times New Roman" w:hAnsiTheme="majorHAnsi" w:cstheme="majorHAnsi"/>
          <w:color w:val="000000"/>
        </w:rPr>
        <w:t xml:space="preserve"> shows how </w:t>
      </w:r>
      <w:r w:rsidR="00D00863" w:rsidRPr="001E1FF5">
        <w:rPr>
          <w:rFonts w:asciiTheme="majorHAnsi" w:eastAsia="Times New Roman" w:hAnsiTheme="majorHAnsi" w:cstheme="majorHAnsi"/>
          <w:color w:val="000000"/>
        </w:rPr>
        <w:t xml:space="preserve">even after the recession we see an </w:t>
      </w:r>
      <w:r w:rsidR="00E51868" w:rsidRPr="001E1FF5">
        <w:rPr>
          <w:rFonts w:asciiTheme="majorHAnsi" w:eastAsia="Times New Roman" w:hAnsiTheme="majorHAnsi" w:cstheme="majorHAnsi"/>
          <w:color w:val="000000"/>
        </w:rPr>
        <w:t>incline</w:t>
      </w:r>
      <w:r w:rsidR="00D00863" w:rsidRPr="001E1FF5">
        <w:rPr>
          <w:rFonts w:asciiTheme="majorHAnsi" w:eastAsia="Times New Roman" w:hAnsiTheme="majorHAnsi" w:cstheme="majorHAnsi"/>
          <w:color w:val="000000"/>
        </w:rPr>
        <w:t xml:space="preserve"> in sales</w:t>
      </w:r>
      <w:r w:rsidR="00560A0D" w:rsidRPr="001E1FF5">
        <w:rPr>
          <w:rFonts w:asciiTheme="majorHAnsi" w:eastAsia="Times New Roman" w:hAnsiTheme="majorHAnsi" w:cstheme="majorHAnsi"/>
          <w:color w:val="000000"/>
        </w:rPr>
        <w:t>. This should raise some concerns, especially, as GameCo’s executive assumes</w:t>
      </w:r>
      <w:r w:rsidR="00E51868" w:rsidRPr="001E1FF5">
        <w:rPr>
          <w:rFonts w:asciiTheme="majorHAnsi" w:eastAsia="Times New Roman" w:hAnsiTheme="majorHAnsi" w:cstheme="majorHAnsi"/>
          <w:color w:val="000000"/>
        </w:rPr>
        <w:t xml:space="preserve"> that sales for the various geographic regions have stayed the same over time</w:t>
      </w:r>
      <w:r w:rsidR="00D71274" w:rsidRPr="001E1FF5">
        <w:rPr>
          <w:rFonts w:asciiTheme="majorHAnsi" w:eastAsia="Times New Roman" w:hAnsiTheme="majorHAnsi" w:cstheme="majorHAnsi"/>
          <w:color w:val="000000"/>
        </w:rPr>
        <w:t xml:space="preserve">. </w:t>
      </w:r>
      <w:r w:rsidR="001A1977" w:rsidRPr="001E1FF5">
        <w:rPr>
          <w:rFonts w:asciiTheme="majorHAnsi" w:eastAsia="Times New Roman" w:hAnsiTheme="majorHAnsi" w:cstheme="majorHAnsi"/>
          <w:color w:val="000000"/>
        </w:rPr>
        <w:t xml:space="preserve">I also looked at Market share and notices that </w:t>
      </w:r>
      <w:r w:rsidR="00825FE8" w:rsidRPr="001E1FF5">
        <w:rPr>
          <w:rFonts w:asciiTheme="majorHAnsi" w:eastAsia="Times New Roman" w:hAnsiTheme="majorHAnsi" w:cstheme="majorHAnsi"/>
          <w:color w:val="000000"/>
        </w:rPr>
        <w:t xml:space="preserve">all </w:t>
      </w:r>
      <w:r w:rsidR="009B3100" w:rsidRPr="001E1FF5">
        <w:rPr>
          <w:rFonts w:asciiTheme="majorHAnsi" w:eastAsia="Times New Roman" w:hAnsiTheme="majorHAnsi" w:cstheme="majorHAnsi"/>
          <w:color w:val="000000"/>
        </w:rPr>
        <w:t>m</w:t>
      </w:r>
      <w:r w:rsidR="00825FE8" w:rsidRPr="001E1FF5">
        <w:rPr>
          <w:rFonts w:asciiTheme="majorHAnsi" w:eastAsia="Times New Roman" w:hAnsiTheme="majorHAnsi" w:cstheme="majorHAnsi"/>
          <w:color w:val="000000"/>
        </w:rPr>
        <w:t>arket</w:t>
      </w:r>
      <w:r w:rsidR="009B3100" w:rsidRPr="001E1FF5">
        <w:rPr>
          <w:rFonts w:asciiTheme="majorHAnsi" w:eastAsia="Times New Roman" w:hAnsiTheme="majorHAnsi" w:cstheme="majorHAnsi"/>
          <w:color w:val="000000"/>
        </w:rPr>
        <w:t xml:space="preserve">s </w:t>
      </w:r>
      <w:r w:rsidR="008813A9" w:rsidRPr="001E1FF5">
        <w:rPr>
          <w:rFonts w:asciiTheme="majorHAnsi" w:eastAsia="Times New Roman" w:hAnsiTheme="majorHAnsi" w:cstheme="majorHAnsi"/>
          <w:color w:val="000000"/>
        </w:rPr>
        <w:t>except for</w:t>
      </w:r>
      <w:r w:rsidR="00825FE8" w:rsidRPr="001E1FF5">
        <w:rPr>
          <w:rFonts w:asciiTheme="majorHAnsi" w:eastAsia="Times New Roman" w:hAnsiTheme="majorHAnsi" w:cstheme="majorHAnsi"/>
          <w:color w:val="000000"/>
        </w:rPr>
        <w:t xml:space="preserve"> the </w:t>
      </w:r>
      <w:r w:rsidR="009B3100" w:rsidRPr="001E1FF5">
        <w:rPr>
          <w:rFonts w:asciiTheme="majorHAnsi" w:eastAsia="Times New Roman" w:hAnsiTheme="majorHAnsi" w:cstheme="majorHAnsi"/>
          <w:color w:val="000000"/>
        </w:rPr>
        <w:t xml:space="preserve">North American market have </w:t>
      </w:r>
      <w:r w:rsidR="009941CA" w:rsidRPr="001E1FF5">
        <w:rPr>
          <w:rFonts w:asciiTheme="majorHAnsi" w:eastAsia="Times New Roman" w:hAnsiTheme="majorHAnsi" w:cstheme="majorHAnsi"/>
          <w:color w:val="000000"/>
        </w:rPr>
        <w:t>increased</w:t>
      </w:r>
      <w:r w:rsidR="009B3100" w:rsidRPr="001E1FF5">
        <w:rPr>
          <w:rFonts w:asciiTheme="majorHAnsi" w:eastAsia="Times New Roman" w:hAnsiTheme="majorHAnsi" w:cstheme="majorHAnsi"/>
          <w:color w:val="000000"/>
        </w:rPr>
        <w:t xml:space="preserve"> over time. </w:t>
      </w:r>
    </w:p>
    <w:p w14:paraId="5D667848" w14:textId="77777777" w:rsidR="00272D52" w:rsidRPr="001E1FF5" w:rsidRDefault="00272D52" w:rsidP="00A24266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4D46E7F5" w14:textId="15A2938A" w:rsidR="00D71274" w:rsidRPr="001E1FF5" w:rsidRDefault="00B861D0" w:rsidP="00A24266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1E1FF5">
        <w:rPr>
          <w:rFonts w:asciiTheme="majorHAnsi" w:eastAsia="Times New Roman" w:hAnsiTheme="majorHAnsi" w:cstheme="majorHAnsi"/>
          <w:noProof/>
          <w:color w:val="000000"/>
        </w:rPr>
        <w:drawing>
          <wp:inline distT="0" distB="0" distL="0" distR="0" wp14:anchorId="1902CF81" wp14:editId="33206156">
            <wp:extent cx="6464300" cy="2204085"/>
            <wp:effectExtent l="0" t="0" r="0" b="57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3DF0161-ECBC-791D-DD84-DFBD47D376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CAAA1C0" w14:textId="77777777" w:rsidR="009B3100" w:rsidRPr="001E1FF5" w:rsidRDefault="009B3100" w:rsidP="00A24266">
      <w:pPr>
        <w:spacing w:after="0" w:line="240" w:lineRule="auto"/>
        <w:rPr>
          <w:rFonts w:asciiTheme="majorHAnsi" w:hAnsiTheme="majorHAnsi" w:cstheme="majorHAnsi"/>
        </w:rPr>
      </w:pPr>
    </w:p>
    <w:p w14:paraId="0E3DB10E" w14:textId="09289D17" w:rsidR="00803380" w:rsidRPr="001E1FF5" w:rsidRDefault="00D71274" w:rsidP="00A24266">
      <w:pPr>
        <w:spacing w:after="0" w:line="240" w:lineRule="auto"/>
        <w:rPr>
          <w:rFonts w:asciiTheme="majorHAnsi" w:hAnsiTheme="majorHAnsi" w:cstheme="majorHAnsi"/>
        </w:rPr>
      </w:pPr>
      <w:r w:rsidRPr="001E1FF5">
        <w:rPr>
          <w:rFonts w:asciiTheme="majorHAnsi" w:hAnsiTheme="majorHAnsi" w:cstheme="majorHAnsi"/>
        </w:rPr>
        <w:t xml:space="preserve">Once, I </w:t>
      </w:r>
      <w:r w:rsidR="00F65DCF" w:rsidRPr="001E1FF5">
        <w:rPr>
          <w:rFonts w:asciiTheme="majorHAnsi" w:hAnsiTheme="majorHAnsi" w:cstheme="majorHAnsi"/>
        </w:rPr>
        <w:t>understood</w:t>
      </w:r>
      <w:r w:rsidRPr="001E1FF5">
        <w:rPr>
          <w:rFonts w:asciiTheme="majorHAnsi" w:hAnsiTheme="majorHAnsi" w:cstheme="majorHAnsi"/>
        </w:rPr>
        <w:t xml:space="preserve"> w</w:t>
      </w:r>
      <w:r w:rsidR="00FE06A8" w:rsidRPr="001E1FF5">
        <w:rPr>
          <w:rFonts w:asciiTheme="majorHAnsi" w:hAnsiTheme="majorHAnsi" w:cstheme="majorHAnsi"/>
        </w:rPr>
        <w:t>h</w:t>
      </w:r>
      <w:r w:rsidRPr="001E1FF5">
        <w:rPr>
          <w:rFonts w:asciiTheme="majorHAnsi" w:hAnsiTheme="majorHAnsi" w:cstheme="majorHAnsi"/>
        </w:rPr>
        <w:t>ere the sales moved</w:t>
      </w:r>
      <w:r w:rsidR="00931274" w:rsidRPr="001E1FF5">
        <w:rPr>
          <w:rFonts w:asciiTheme="majorHAnsi" w:hAnsiTheme="majorHAnsi" w:cstheme="majorHAnsi"/>
        </w:rPr>
        <w:t xml:space="preserve">, I dived deeper into the data and reorganized </w:t>
      </w:r>
      <w:r w:rsidR="00650AF0" w:rsidRPr="001E1FF5">
        <w:rPr>
          <w:rFonts w:asciiTheme="majorHAnsi" w:hAnsiTheme="majorHAnsi" w:cstheme="majorHAnsi"/>
        </w:rPr>
        <w:t xml:space="preserve">different groups to find </w:t>
      </w:r>
      <w:r w:rsidR="003C6C24" w:rsidRPr="001E1FF5">
        <w:rPr>
          <w:rFonts w:asciiTheme="majorHAnsi" w:hAnsiTheme="majorHAnsi" w:cstheme="majorHAnsi"/>
        </w:rPr>
        <w:t xml:space="preserve">where </w:t>
      </w:r>
      <w:r w:rsidR="00461265" w:rsidRPr="001E1FF5">
        <w:rPr>
          <w:rFonts w:asciiTheme="majorHAnsi" w:hAnsiTheme="majorHAnsi" w:cstheme="majorHAnsi"/>
        </w:rPr>
        <w:t>the</w:t>
      </w:r>
      <w:r w:rsidR="003C6C24" w:rsidRPr="001E1FF5">
        <w:rPr>
          <w:rFonts w:asciiTheme="majorHAnsi" w:hAnsiTheme="majorHAnsi" w:cstheme="majorHAnsi"/>
        </w:rPr>
        <w:t xml:space="preserve"> </w:t>
      </w:r>
      <w:r w:rsidR="00461265" w:rsidRPr="001E1FF5">
        <w:rPr>
          <w:rFonts w:asciiTheme="majorHAnsi" w:hAnsiTheme="majorHAnsi" w:cstheme="majorHAnsi"/>
        </w:rPr>
        <w:t xml:space="preserve">most </w:t>
      </w:r>
      <w:r w:rsidR="00A8029A" w:rsidRPr="001E1FF5">
        <w:rPr>
          <w:rFonts w:asciiTheme="majorHAnsi" w:hAnsiTheme="majorHAnsi" w:cstheme="majorHAnsi"/>
        </w:rPr>
        <w:t>effort</w:t>
      </w:r>
      <w:r w:rsidR="00461265" w:rsidRPr="001E1FF5">
        <w:rPr>
          <w:rFonts w:asciiTheme="majorHAnsi" w:hAnsiTheme="majorHAnsi" w:cstheme="majorHAnsi"/>
        </w:rPr>
        <w:t xml:space="preserve"> </w:t>
      </w:r>
      <w:r w:rsidR="00D3502F" w:rsidRPr="001E1FF5">
        <w:rPr>
          <w:rFonts w:asciiTheme="majorHAnsi" w:hAnsiTheme="majorHAnsi" w:cstheme="majorHAnsi"/>
        </w:rPr>
        <w:t xml:space="preserve">and </w:t>
      </w:r>
      <w:r w:rsidR="001A1977" w:rsidRPr="001E1FF5">
        <w:rPr>
          <w:rFonts w:asciiTheme="majorHAnsi" w:hAnsiTheme="majorHAnsi" w:cstheme="majorHAnsi"/>
        </w:rPr>
        <w:t>resources</w:t>
      </w:r>
      <w:r w:rsidR="00D3502F" w:rsidRPr="001E1FF5">
        <w:rPr>
          <w:rFonts w:asciiTheme="majorHAnsi" w:hAnsiTheme="majorHAnsi" w:cstheme="majorHAnsi"/>
        </w:rPr>
        <w:t xml:space="preserve"> </w:t>
      </w:r>
      <w:r w:rsidR="00461265" w:rsidRPr="001E1FF5">
        <w:rPr>
          <w:rFonts w:asciiTheme="majorHAnsi" w:hAnsiTheme="majorHAnsi" w:cstheme="majorHAnsi"/>
        </w:rPr>
        <w:t xml:space="preserve">should be </w:t>
      </w:r>
      <w:r w:rsidR="00D3502F" w:rsidRPr="001E1FF5">
        <w:rPr>
          <w:rFonts w:asciiTheme="majorHAnsi" w:hAnsiTheme="majorHAnsi" w:cstheme="majorHAnsi"/>
        </w:rPr>
        <w:t xml:space="preserve">allocated. </w:t>
      </w:r>
      <w:r w:rsidR="00620095" w:rsidRPr="001E1FF5">
        <w:rPr>
          <w:rFonts w:asciiTheme="majorHAnsi" w:hAnsiTheme="majorHAnsi" w:cstheme="majorHAnsi"/>
        </w:rPr>
        <w:t>I started by finding</w:t>
      </w:r>
      <w:r w:rsidR="007430E5" w:rsidRPr="001E1FF5">
        <w:rPr>
          <w:rFonts w:asciiTheme="majorHAnsi" w:hAnsiTheme="majorHAnsi" w:cstheme="majorHAnsi"/>
        </w:rPr>
        <w:t xml:space="preserve"> the ranking of sales by </w:t>
      </w:r>
      <w:r w:rsidR="00A75DB8" w:rsidRPr="001E1FF5">
        <w:rPr>
          <w:rFonts w:asciiTheme="majorHAnsi" w:hAnsiTheme="majorHAnsi" w:cstheme="majorHAnsi"/>
        </w:rPr>
        <w:t>genre</w:t>
      </w:r>
      <w:r w:rsidR="007430E5" w:rsidRPr="001E1FF5">
        <w:rPr>
          <w:rFonts w:asciiTheme="majorHAnsi" w:hAnsiTheme="majorHAnsi" w:cstheme="majorHAnsi"/>
        </w:rPr>
        <w:t xml:space="preserve">. </w:t>
      </w:r>
      <w:r w:rsidR="007C6BC0" w:rsidRPr="001E1FF5">
        <w:rPr>
          <w:rFonts w:asciiTheme="majorHAnsi" w:hAnsiTheme="majorHAnsi" w:cstheme="majorHAnsi"/>
        </w:rPr>
        <w:t>If</w:t>
      </w:r>
      <w:r w:rsidR="00A9794A" w:rsidRPr="001E1FF5">
        <w:rPr>
          <w:rFonts w:asciiTheme="majorHAnsi" w:hAnsiTheme="majorHAnsi" w:cstheme="majorHAnsi"/>
        </w:rPr>
        <w:t xml:space="preserve"> </w:t>
      </w:r>
      <w:r w:rsidR="005C1DBD" w:rsidRPr="001E1FF5">
        <w:rPr>
          <w:rFonts w:asciiTheme="majorHAnsi" w:hAnsiTheme="majorHAnsi" w:cstheme="majorHAnsi"/>
        </w:rPr>
        <w:t>executives</w:t>
      </w:r>
      <w:r w:rsidR="007C6BC0" w:rsidRPr="001E1FF5">
        <w:rPr>
          <w:rFonts w:asciiTheme="majorHAnsi" w:hAnsiTheme="majorHAnsi" w:cstheme="majorHAnsi"/>
        </w:rPr>
        <w:t xml:space="preserve"> w</w:t>
      </w:r>
      <w:r w:rsidR="00A1717B" w:rsidRPr="001E1FF5">
        <w:rPr>
          <w:rFonts w:asciiTheme="majorHAnsi" w:hAnsiTheme="majorHAnsi" w:cstheme="majorHAnsi"/>
        </w:rPr>
        <w:t xml:space="preserve">ant </w:t>
      </w:r>
      <w:r w:rsidR="007C6BC0" w:rsidRPr="001E1FF5">
        <w:rPr>
          <w:rFonts w:asciiTheme="majorHAnsi" w:hAnsiTheme="majorHAnsi" w:cstheme="majorHAnsi"/>
        </w:rPr>
        <w:t xml:space="preserve">to </w:t>
      </w:r>
      <w:r w:rsidR="00B45423" w:rsidRPr="001E1FF5">
        <w:rPr>
          <w:rFonts w:asciiTheme="majorHAnsi" w:hAnsiTheme="majorHAnsi" w:cstheme="majorHAnsi"/>
        </w:rPr>
        <w:t>act</w:t>
      </w:r>
      <w:r w:rsidR="007C6BC0" w:rsidRPr="001E1FF5">
        <w:rPr>
          <w:rFonts w:asciiTheme="majorHAnsi" w:hAnsiTheme="majorHAnsi" w:cstheme="majorHAnsi"/>
        </w:rPr>
        <w:t xml:space="preserve"> it is important to understand </w:t>
      </w:r>
      <w:r w:rsidR="0077340F" w:rsidRPr="001E1FF5">
        <w:rPr>
          <w:rFonts w:asciiTheme="majorHAnsi" w:hAnsiTheme="majorHAnsi" w:cstheme="majorHAnsi"/>
        </w:rPr>
        <w:t xml:space="preserve">where there is potential. By looking at genres, </w:t>
      </w:r>
      <w:r w:rsidR="005C1DBD" w:rsidRPr="001E1FF5">
        <w:rPr>
          <w:rFonts w:asciiTheme="majorHAnsi" w:hAnsiTheme="majorHAnsi" w:cstheme="majorHAnsi"/>
        </w:rPr>
        <w:t>executives</w:t>
      </w:r>
      <w:r w:rsidR="0077340F" w:rsidRPr="001E1FF5">
        <w:rPr>
          <w:rFonts w:asciiTheme="majorHAnsi" w:hAnsiTheme="majorHAnsi" w:cstheme="majorHAnsi"/>
        </w:rPr>
        <w:t xml:space="preserve"> can either </w:t>
      </w:r>
      <w:r w:rsidR="00ED1F75" w:rsidRPr="001E1FF5">
        <w:rPr>
          <w:rFonts w:asciiTheme="majorHAnsi" w:hAnsiTheme="majorHAnsi" w:cstheme="majorHAnsi"/>
        </w:rPr>
        <w:t xml:space="preserve">allocate resources to those genres with </w:t>
      </w:r>
      <w:r w:rsidR="004F253A" w:rsidRPr="001E1FF5">
        <w:rPr>
          <w:rFonts w:asciiTheme="majorHAnsi" w:hAnsiTheme="majorHAnsi" w:cstheme="majorHAnsi"/>
        </w:rPr>
        <w:t xml:space="preserve">the </w:t>
      </w:r>
      <w:r w:rsidR="00ED1F75" w:rsidRPr="001E1FF5">
        <w:rPr>
          <w:rFonts w:asciiTheme="majorHAnsi" w:hAnsiTheme="majorHAnsi" w:cstheme="majorHAnsi"/>
        </w:rPr>
        <w:t xml:space="preserve">most sales or focus on </w:t>
      </w:r>
      <w:r w:rsidR="00AB1E8B" w:rsidRPr="001E1FF5">
        <w:rPr>
          <w:rFonts w:asciiTheme="majorHAnsi" w:hAnsiTheme="majorHAnsi" w:cstheme="majorHAnsi"/>
        </w:rPr>
        <w:t>increasing sales in genres</w:t>
      </w:r>
      <w:r w:rsidR="00811802" w:rsidRPr="001E1FF5">
        <w:rPr>
          <w:rFonts w:asciiTheme="majorHAnsi" w:hAnsiTheme="majorHAnsi" w:cstheme="majorHAnsi"/>
        </w:rPr>
        <w:t xml:space="preserve"> with the lowest sales. </w:t>
      </w:r>
      <w:r w:rsidR="00CE69A4" w:rsidRPr="001E1FF5">
        <w:rPr>
          <w:rFonts w:asciiTheme="majorHAnsi" w:hAnsiTheme="majorHAnsi" w:cstheme="majorHAnsi"/>
        </w:rPr>
        <w:t>Now that we know</w:t>
      </w:r>
      <w:r w:rsidR="002B1BE0" w:rsidRPr="001E1FF5">
        <w:rPr>
          <w:rFonts w:asciiTheme="majorHAnsi" w:hAnsiTheme="majorHAnsi" w:cstheme="majorHAnsi"/>
        </w:rPr>
        <w:t xml:space="preserve"> where there is </w:t>
      </w:r>
      <w:r w:rsidR="002D73F9" w:rsidRPr="001E1FF5">
        <w:rPr>
          <w:rFonts w:asciiTheme="majorHAnsi" w:hAnsiTheme="majorHAnsi" w:cstheme="majorHAnsi"/>
        </w:rPr>
        <w:t xml:space="preserve">an </w:t>
      </w:r>
      <w:r w:rsidR="002B1BE0" w:rsidRPr="001E1FF5">
        <w:rPr>
          <w:rFonts w:asciiTheme="majorHAnsi" w:hAnsiTheme="majorHAnsi" w:cstheme="majorHAnsi"/>
        </w:rPr>
        <w:t>opportunity,</w:t>
      </w:r>
      <w:r w:rsidR="00072614" w:rsidRPr="001E1FF5">
        <w:rPr>
          <w:rFonts w:asciiTheme="majorHAnsi" w:hAnsiTheme="majorHAnsi" w:cstheme="majorHAnsi"/>
        </w:rPr>
        <w:t xml:space="preserve"> we need to know w</w:t>
      </w:r>
      <w:r w:rsidR="001838B7" w:rsidRPr="001E1FF5">
        <w:rPr>
          <w:rFonts w:asciiTheme="majorHAnsi" w:hAnsiTheme="majorHAnsi" w:cstheme="majorHAnsi"/>
        </w:rPr>
        <w:t xml:space="preserve">ho </w:t>
      </w:r>
      <w:r w:rsidR="002D73F9" w:rsidRPr="001E1FF5">
        <w:rPr>
          <w:rFonts w:asciiTheme="majorHAnsi" w:hAnsiTheme="majorHAnsi" w:cstheme="majorHAnsi"/>
        </w:rPr>
        <w:t>the top producers of each market are</w:t>
      </w:r>
      <w:r w:rsidR="001222A3" w:rsidRPr="001E1FF5">
        <w:rPr>
          <w:rFonts w:asciiTheme="majorHAnsi" w:hAnsiTheme="majorHAnsi" w:cstheme="majorHAnsi"/>
        </w:rPr>
        <w:t xml:space="preserve">. If </w:t>
      </w:r>
      <w:r w:rsidR="005C1DBD" w:rsidRPr="001E1FF5">
        <w:rPr>
          <w:rFonts w:asciiTheme="majorHAnsi" w:hAnsiTheme="majorHAnsi" w:cstheme="majorHAnsi"/>
        </w:rPr>
        <w:t>executives</w:t>
      </w:r>
      <w:r w:rsidR="001222A3" w:rsidRPr="001E1FF5">
        <w:rPr>
          <w:rFonts w:asciiTheme="majorHAnsi" w:hAnsiTheme="majorHAnsi" w:cstheme="majorHAnsi"/>
        </w:rPr>
        <w:t xml:space="preserve"> want to continue to grow</w:t>
      </w:r>
      <w:r w:rsidR="002F5CE3" w:rsidRPr="001E1FF5">
        <w:rPr>
          <w:rFonts w:asciiTheme="majorHAnsi" w:hAnsiTheme="majorHAnsi" w:cstheme="majorHAnsi"/>
        </w:rPr>
        <w:t xml:space="preserve"> </w:t>
      </w:r>
      <w:r w:rsidR="00286A23" w:rsidRPr="001E1FF5">
        <w:rPr>
          <w:rFonts w:asciiTheme="majorHAnsi" w:hAnsiTheme="majorHAnsi" w:cstheme="majorHAnsi"/>
        </w:rPr>
        <w:t>sales in certain genres</w:t>
      </w:r>
      <w:r w:rsidR="002F5CE3" w:rsidRPr="001E1FF5">
        <w:rPr>
          <w:rFonts w:asciiTheme="majorHAnsi" w:hAnsiTheme="majorHAnsi" w:cstheme="majorHAnsi"/>
        </w:rPr>
        <w:t xml:space="preserve">, it is important to understand who can help </w:t>
      </w:r>
      <w:r w:rsidR="00286A23" w:rsidRPr="001E1FF5">
        <w:rPr>
          <w:rFonts w:asciiTheme="majorHAnsi" w:hAnsiTheme="majorHAnsi" w:cstheme="majorHAnsi"/>
        </w:rPr>
        <w:t xml:space="preserve">them produce </w:t>
      </w:r>
      <w:r w:rsidR="002D73F9" w:rsidRPr="001E1FF5">
        <w:rPr>
          <w:rFonts w:asciiTheme="majorHAnsi" w:hAnsiTheme="majorHAnsi" w:cstheme="majorHAnsi"/>
        </w:rPr>
        <w:t>games</w:t>
      </w:r>
      <w:r w:rsidR="004400B2" w:rsidRPr="001E1FF5">
        <w:rPr>
          <w:rFonts w:asciiTheme="majorHAnsi" w:hAnsiTheme="majorHAnsi" w:cstheme="majorHAnsi"/>
        </w:rPr>
        <w:t xml:space="preserve">. </w:t>
      </w:r>
    </w:p>
    <w:p w14:paraId="41771D1F" w14:textId="77777777" w:rsidR="00280F7C" w:rsidRPr="001E1FF5" w:rsidRDefault="00280F7C" w:rsidP="00A24266">
      <w:pPr>
        <w:spacing w:after="0" w:line="240" w:lineRule="auto"/>
        <w:rPr>
          <w:rFonts w:asciiTheme="majorHAnsi" w:hAnsiTheme="majorHAnsi" w:cstheme="majorHAnsi"/>
        </w:rPr>
      </w:pPr>
    </w:p>
    <w:p w14:paraId="05064A2C" w14:textId="4EDBAB84" w:rsidR="00280F7C" w:rsidRPr="001E1FF5" w:rsidRDefault="007D3037" w:rsidP="00A24266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1E1FF5">
        <w:rPr>
          <w:rFonts w:asciiTheme="majorHAnsi" w:hAnsiTheme="majorHAnsi" w:cstheme="majorHAnsi"/>
        </w:rPr>
        <w:t>Now that we have</w:t>
      </w:r>
      <w:r w:rsidR="00A54FA5" w:rsidRPr="001E1FF5">
        <w:rPr>
          <w:rFonts w:asciiTheme="majorHAnsi" w:hAnsiTheme="majorHAnsi" w:cstheme="majorHAnsi"/>
        </w:rPr>
        <w:t xml:space="preserve"> the what,</w:t>
      </w:r>
      <w:r w:rsidR="00F0513D" w:rsidRPr="001E1FF5">
        <w:rPr>
          <w:rFonts w:asciiTheme="majorHAnsi" w:hAnsiTheme="majorHAnsi" w:cstheme="majorHAnsi"/>
        </w:rPr>
        <w:t xml:space="preserve"> when,</w:t>
      </w:r>
      <w:r w:rsidR="00A54FA5" w:rsidRPr="001E1FF5">
        <w:rPr>
          <w:rFonts w:asciiTheme="majorHAnsi" w:hAnsiTheme="majorHAnsi" w:cstheme="majorHAnsi"/>
        </w:rPr>
        <w:t xml:space="preserve"> </w:t>
      </w:r>
      <w:r w:rsidR="00B21237" w:rsidRPr="001E1FF5">
        <w:rPr>
          <w:rFonts w:asciiTheme="majorHAnsi" w:hAnsiTheme="majorHAnsi" w:cstheme="majorHAnsi"/>
        </w:rPr>
        <w:t xml:space="preserve">where, </w:t>
      </w:r>
      <w:r w:rsidR="00A90859" w:rsidRPr="001E1FF5">
        <w:rPr>
          <w:rFonts w:asciiTheme="majorHAnsi" w:hAnsiTheme="majorHAnsi" w:cstheme="majorHAnsi"/>
        </w:rPr>
        <w:t xml:space="preserve">and </w:t>
      </w:r>
      <w:r w:rsidR="00B21237" w:rsidRPr="001E1FF5">
        <w:rPr>
          <w:rFonts w:asciiTheme="majorHAnsi" w:hAnsiTheme="majorHAnsi" w:cstheme="majorHAnsi"/>
        </w:rPr>
        <w:t xml:space="preserve">who, it was time to answer the </w:t>
      </w:r>
      <w:r w:rsidR="00A90859" w:rsidRPr="001E1FF5">
        <w:rPr>
          <w:rFonts w:asciiTheme="majorHAnsi" w:hAnsiTheme="majorHAnsi" w:cstheme="majorHAnsi"/>
        </w:rPr>
        <w:t>ho</w:t>
      </w:r>
      <w:r w:rsidR="00F0513D" w:rsidRPr="001E1FF5">
        <w:rPr>
          <w:rFonts w:asciiTheme="majorHAnsi" w:hAnsiTheme="majorHAnsi" w:cstheme="majorHAnsi"/>
        </w:rPr>
        <w:t>w</w:t>
      </w:r>
      <w:r w:rsidR="00A90859" w:rsidRPr="001E1FF5">
        <w:rPr>
          <w:rFonts w:asciiTheme="majorHAnsi" w:hAnsiTheme="majorHAnsi" w:cstheme="majorHAnsi"/>
        </w:rPr>
        <w:t xml:space="preserve">. </w:t>
      </w:r>
      <w:r w:rsidR="00AF100D" w:rsidRPr="001E1FF5">
        <w:rPr>
          <w:rFonts w:asciiTheme="majorHAnsi" w:hAnsiTheme="majorHAnsi" w:cstheme="majorHAnsi"/>
        </w:rPr>
        <w:t>This section</w:t>
      </w:r>
      <w:r w:rsidR="00A90859" w:rsidRPr="001E1FF5">
        <w:rPr>
          <w:rFonts w:asciiTheme="majorHAnsi" w:hAnsiTheme="majorHAnsi" w:cstheme="majorHAnsi"/>
        </w:rPr>
        <w:t xml:space="preserve"> will be </w:t>
      </w:r>
      <w:r w:rsidR="008C2B70" w:rsidRPr="001E1FF5">
        <w:rPr>
          <w:rFonts w:asciiTheme="majorHAnsi" w:hAnsiTheme="majorHAnsi" w:cstheme="majorHAnsi"/>
        </w:rPr>
        <w:t>covered</w:t>
      </w:r>
      <w:r w:rsidR="00A90859" w:rsidRPr="001E1FF5">
        <w:rPr>
          <w:rFonts w:asciiTheme="majorHAnsi" w:hAnsiTheme="majorHAnsi" w:cstheme="majorHAnsi"/>
        </w:rPr>
        <w:t xml:space="preserve"> in the presentation </w:t>
      </w:r>
      <w:r w:rsidR="00097757" w:rsidRPr="001E1FF5">
        <w:rPr>
          <w:rFonts w:asciiTheme="majorHAnsi" w:hAnsiTheme="majorHAnsi" w:cstheme="majorHAnsi"/>
        </w:rPr>
        <w:t>with the suggestions I made.</w:t>
      </w:r>
      <w:r w:rsidR="00F0513D" w:rsidRPr="001E1FF5">
        <w:rPr>
          <w:rFonts w:asciiTheme="majorHAnsi" w:hAnsiTheme="majorHAnsi" w:cstheme="majorHAnsi"/>
        </w:rPr>
        <w:t xml:space="preserve"> </w:t>
      </w:r>
      <w:r w:rsidR="0018051F" w:rsidRPr="001E1FF5">
        <w:rPr>
          <w:rFonts w:asciiTheme="majorHAnsi" w:hAnsiTheme="majorHAnsi" w:cstheme="majorHAnsi"/>
        </w:rPr>
        <w:t xml:space="preserve">Executives can </w:t>
      </w:r>
      <w:r w:rsidR="00AF100D" w:rsidRPr="001E1FF5">
        <w:rPr>
          <w:rFonts w:asciiTheme="majorHAnsi" w:hAnsiTheme="majorHAnsi" w:cstheme="majorHAnsi"/>
        </w:rPr>
        <w:t xml:space="preserve">use my suggestions to </w:t>
      </w:r>
      <w:r w:rsidR="0028124F" w:rsidRPr="001E1FF5">
        <w:rPr>
          <w:rFonts w:asciiTheme="majorHAnsi" w:hAnsiTheme="majorHAnsi" w:cstheme="majorHAnsi"/>
        </w:rPr>
        <w:t>know how to increase sales or market share based on each market’s needs.</w:t>
      </w:r>
      <w:r w:rsidR="00097757" w:rsidRPr="001E1FF5">
        <w:rPr>
          <w:rFonts w:asciiTheme="majorHAnsi" w:hAnsiTheme="majorHAnsi" w:cstheme="majorHAnsi"/>
        </w:rPr>
        <w:t xml:space="preserve"> </w:t>
      </w:r>
      <w:r w:rsidR="003F5256" w:rsidRPr="001E1FF5">
        <w:rPr>
          <w:rFonts w:asciiTheme="majorHAnsi" w:hAnsiTheme="majorHAnsi" w:cstheme="majorHAnsi"/>
        </w:rPr>
        <w:t>These</w:t>
      </w:r>
      <w:r w:rsidR="00097757" w:rsidRPr="001E1FF5">
        <w:rPr>
          <w:rFonts w:asciiTheme="majorHAnsi" w:hAnsiTheme="majorHAnsi" w:cstheme="majorHAnsi"/>
        </w:rPr>
        <w:t xml:space="preserve"> </w:t>
      </w:r>
      <w:r w:rsidR="003F5256" w:rsidRPr="001E1FF5">
        <w:rPr>
          <w:rFonts w:asciiTheme="majorHAnsi" w:hAnsiTheme="majorHAnsi" w:cstheme="majorHAnsi"/>
        </w:rPr>
        <w:t>suggestions</w:t>
      </w:r>
      <w:r w:rsidR="00097757" w:rsidRPr="001E1FF5">
        <w:rPr>
          <w:rFonts w:asciiTheme="majorHAnsi" w:hAnsiTheme="majorHAnsi" w:cstheme="majorHAnsi"/>
        </w:rPr>
        <w:t xml:space="preserve"> range from </w:t>
      </w:r>
      <w:r w:rsidR="003F5256" w:rsidRPr="001E1FF5">
        <w:rPr>
          <w:rFonts w:asciiTheme="majorHAnsi" w:hAnsiTheme="majorHAnsi" w:cstheme="majorHAnsi"/>
        </w:rPr>
        <w:t>digitalizing</w:t>
      </w:r>
      <w:r w:rsidR="00097757" w:rsidRPr="001E1FF5">
        <w:rPr>
          <w:rFonts w:asciiTheme="majorHAnsi" w:hAnsiTheme="majorHAnsi" w:cstheme="majorHAnsi"/>
        </w:rPr>
        <w:t xml:space="preserve"> games to </w:t>
      </w:r>
      <w:r w:rsidR="003F046B" w:rsidRPr="001E1FF5">
        <w:rPr>
          <w:rFonts w:asciiTheme="majorHAnsi" w:hAnsiTheme="majorHAnsi" w:cstheme="majorHAnsi"/>
        </w:rPr>
        <w:t>allocating</w:t>
      </w:r>
      <w:r w:rsidR="001E1B59" w:rsidRPr="001E1FF5">
        <w:rPr>
          <w:rFonts w:asciiTheme="majorHAnsi" w:hAnsiTheme="majorHAnsi" w:cstheme="majorHAnsi"/>
        </w:rPr>
        <w:t xml:space="preserve"> resources</w:t>
      </w:r>
      <w:r w:rsidR="003F046B" w:rsidRPr="001E1FF5">
        <w:rPr>
          <w:rFonts w:asciiTheme="majorHAnsi" w:hAnsiTheme="majorHAnsi" w:cstheme="majorHAnsi"/>
        </w:rPr>
        <w:t xml:space="preserve"> to increase sales. </w:t>
      </w:r>
      <w:r w:rsidR="001E1B59" w:rsidRPr="001E1FF5">
        <w:rPr>
          <w:rFonts w:asciiTheme="majorHAnsi" w:hAnsiTheme="majorHAnsi" w:cstheme="majorHAnsi"/>
        </w:rPr>
        <w:t xml:space="preserve"> </w:t>
      </w:r>
    </w:p>
    <w:p w14:paraId="0C91C6FA" w14:textId="77777777" w:rsidR="004D39F9" w:rsidRPr="00A1717B" w:rsidRDefault="004D39F9">
      <w:pPr>
        <w:rPr>
          <w:rFonts w:ascii="Bahnschrift Light Condensed" w:eastAsia="Times New Roman" w:hAnsi="Bahnschrift Light Condensed" w:cs="Arial"/>
          <w:color w:val="000000"/>
        </w:rPr>
      </w:pPr>
    </w:p>
    <w:p w14:paraId="7EE65BA1" w14:textId="77777777" w:rsidR="000A5A38" w:rsidRDefault="000A5A38" w:rsidP="008D2B31">
      <w:pPr>
        <w:spacing w:after="0" w:line="240" w:lineRule="auto"/>
        <w:jc w:val="center"/>
        <w:rPr>
          <w:rFonts w:ascii="TradeGothicNextW01-Ligh 693250" w:hAnsi="TradeGothicNextW01-Ligh 693250"/>
          <w:b/>
          <w:bCs/>
          <w:sz w:val="27"/>
          <w:szCs w:val="27"/>
          <w:shd w:val="clear" w:color="auto" w:fill="FFFFFF"/>
        </w:rPr>
      </w:pPr>
    </w:p>
    <w:p w14:paraId="1405E453" w14:textId="77777777" w:rsidR="000A5A38" w:rsidRDefault="000A5A38" w:rsidP="008D2B31">
      <w:pPr>
        <w:spacing w:after="0" w:line="240" w:lineRule="auto"/>
        <w:jc w:val="center"/>
        <w:rPr>
          <w:rFonts w:ascii="TradeGothicNextW01-Ligh 693250" w:hAnsi="TradeGothicNextW01-Ligh 693250"/>
          <w:b/>
          <w:bCs/>
          <w:sz w:val="27"/>
          <w:szCs w:val="27"/>
          <w:shd w:val="clear" w:color="auto" w:fill="FFFFFF"/>
        </w:rPr>
      </w:pPr>
    </w:p>
    <w:p w14:paraId="5FC8267D" w14:textId="77777777" w:rsidR="000A5A38" w:rsidRDefault="000A5A38" w:rsidP="008D2B31">
      <w:pPr>
        <w:spacing w:after="0" w:line="240" w:lineRule="auto"/>
        <w:jc w:val="center"/>
        <w:rPr>
          <w:rFonts w:ascii="TradeGothicNextW01-Ligh 693250" w:hAnsi="TradeGothicNextW01-Ligh 693250"/>
          <w:b/>
          <w:bCs/>
          <w:sz w:val="27"/>
          <w:szCs w:val="27"/>
          <w:shd w:val="clear" w:color="auto" w:fill="FFFFFF"/>
        </w:rPr>
      </w:pPr>
    </w:p>
    <w:p w14:paraId="7CE0865E" w14:textId="77777777" w:rsidR="000A5A38" w:rsidRDefault="000A5A38" w:rsidP="008D2B31">
      <w:pPr>
        <w:spacing w:after="0" w:line="240" w:lineRule="auto"/>
        <w:jc w:val="center"/>
        <w:rPr>
          <w:rFonts w:ascii="TradeGothicNextW01-Ligh 693250" w:hAnsi="TradeGothicNextW01-Ligh 693250"/>
          <w:b/>
          <w:bCs/>
          <w:sz w:val="27"/>
          <w:szCs w:val="27"/>
          <w:shd w:val="clear" w:color="auto" w:fill="FFFFFF"/>
        </w:rPr>
      </w:pPr>
    </w:p>
    <w:p w14:paraId="437D963B" w14:textId="77777777" w:rsidR="000A5A38" w:rsidRDefault="000A5A38" w:rsidP="008D2B31">
      <w:pPr>
        <w:spacing w:after="0" w:line="240" w:lineRule="auto"/>
        <w:jc w:val="center"/>
        <w:rPr>
          <w:rFonts w:ascii="TradeGothicNextW01-Ligh 693250" w:hAnsi="TradeGothicNextW01-Ligh 693250"/>
          <w:b/>
          <w:bCs/>
          <w:sz w:val="27"/>
          <w:szCs w:val="27"/>
          <w:shd w:val="clear" w:color="auto" w:fill="FFFFFF"/>
        </w:rPr>
      </w:pPr>
    </w:p>
    <w:p w14:paraId="4A6EF867" w14:textId="77777777" w:rsidR="000A5A38" w:rsidRDefault="000A5A38" w:rsidP="008D2B31">
      <w:pPr>
        <w:spacing w:after="0" w:line="240" w:lineRule="auto"/>
        <w:jc w:val="center"/>
        <w:rPr>
          <w:rFonts w:ascii="TradeGothicNextW01-Ligh 693250" w:hAnsi="TradeGothicNextW01-Ligh 693250"/>
          <w:b/>
          <w:bCs/>
          <w:sz w:val="27"/>
          <w:szCs w:val="27"/>
          <w:shd w:val="clear" w:color="auto" w:fill="FFFFFF"/>
        </w:rPr>
      </w:pPr>
    </w:p>
    <w:p w14:paraId="0D07572E" w14:textId="77777777" w:rsidR="000A5A38" w:rsidRDefault="000A5A38" w:rsidP="008D2B31">
      <w:pPr>
        <w:spacing w:after="0" w:line="240" w:lineRule="auto"/>
        <w:jc w:val="center"/>
        <w:rPr>
          <w:rFonts w:ascii="TradeGothicNextW01-Ligh 693250" w:hAnsi="TradeGothicNextW01-Ligh 693250"/>
          <w:b/>
          <w:bCs/>
          <w:sz w:val="27"/>
          <w:szCs w:val="27"/>
          <w:shd w:val="clear" w:color="auto" w:fill="FFFFFF"/>
        </w:rPr>
      </w:pPr>
    </w:p>
    <w:p w14:paraId="674DBACA" w14:textId="77777777" w:rsidR="000A5A38" w:rsidRDefault="000A5A38" w:rsidP="008D2B31">
      <w:pPr>
        <w:spacing w:after="0" w:line="240" w:lineRule="auto"/>
        <w:jc w:val="center"/>
        <w:rPr>
          <w:rFonts w:ascii="TradeGothicNextW01-Ligh 693250" w:hAnsi="TradeGothicNextW01-Ligh 693250"/>
          <w:b/>
          <w:bCs/>
          <w:sz w:val="27"/>
          <w:szCs w:val="27"/>
          <w:shd w:val="clear" w:color="auto" w:fill="FFFFFF"/>
        </w:rPr>
      </w:pPr>
    </w:p>
    <w:p w14:paraId="29923141" w14:textId="77777777" w:rsidR="000A5A38" w:rsidRDefault="000A5A38" w:rsidP="008D2B31">
      <w:pPr>
        <w:spacing w:after="0" w:line="240" w:lineRule="auto"/>
        <w:jc w:val="center"/>
        <w:rPr>
          <w:rFonts w:ascii="TradeGothicNextW01-Ligh 693250" w:hAnsi="TradeGothicNextW01-Ligh 693250"/>
          <w:b/>
          <w:bCs/>
          <w:sz w:val="27"/>
          <w:szCs w:val="27"/>
          <w:shd w:val="clear" w:color="auto" w:fill="FFFFFF"/>
        </w:rPr>
      </w:pPr>
    </w:p>
    <w:p w14:paraId="6A0F31B6" w14:textId="77777777" w:rsidR="000A5A38" w:rsidRDefault="000A5A38" w:rsidP="008D2B31">
      <w:pPr>
        <w:spacing w:after="0" w:line="240" w:lineRule="auto"/>
        <w:jc w:val="center"/>
        <w:rPr>
          <w:rFonts w:ascii="TradeGothicNextW01-Ligh 693250" w:hAnsi="TradeGothicNextW01-Ligh 693250"/>
          <w:b/>
          <w:bCs/>
          <w:sz w:val="27"/>
          <w:szCs w:val="27"/>
          <w:shd w:val="clear" w:color="auto" w:fill="FFFFFF"/>
        </w:rPr>
      </w:pPr>
    </w:p>
    <w:p w14:paraId="7E08502A" w14:textId="77777777" w:rsidR="000A5A38" w:rsidRDefault="000A5A38" w:rsidP="008D2B31">
      <w:pPr>
        <w:spacing w:after="0" w:line="240" w:lineRule="auto"/>
        <w:jc w:val="center"/>
        <w:rPr>
          <w:rFonts w:ascii="TradeGothicNextW01-Ligh 693250" w:hAnsi="TradeGothicNextW01-Ligh 693250"/>
          <w:b/>
          <w:bCs/>
          <w:sz w:val="27"/>
          <w:szCs w:val="27"/>
          <w:shd w:val="clear" w:color="auto" w:fill="FFFFFF"/>
        </w:rPr>
      </w:pPr>
    </w:p>
    <w:p w14:paraId="180176C9" w14:textId="77777777" w:rsidR="000A5A38" w:rsidRDefault="000A5A38" w:rsidP="008D2B31">
      <w:pPr>
        <w:spacing w:after="0" w:line="240" w:lineRule="auto"/>
        <w:jc w:val="center"/>
        <w:rPr>
          <w:rFonts w:ascii="TradeGothicNextW01-Ligh 693250" w:hAnsi="TradeGothicNextW01-Ligh 693250"/>
          <w:b/>
          <w:bCs/>
          <w:sz w:val="27"/>
          <w:szCs w:val="27"/>
          <w:shd w:val="clear" w:color="auto" w:fill="FFFFFF"/>
        </w:rPr>
      </w:pPr>
    </w:p>
    <w:p w14:paraId="4F3FC5BA" w14:textId="77777777" w:rsidR="000A5A38" w:rsidRDefault="000A5A38" w:rsidP="008D2B31">
      <w:pPr>
        <w:spacing w:after="0" w:line="240" w:lineRule="auto"/>
        <w:jc w:val="center"/>
        <w:rPr>
          <w:rFonts w:ascii="TradeGothicNextW01-Ligh 693250" w:hAnsi="TradeGothicNextW01-Ligh 693250"/>
          <w:b/>
          <w:bCs/>
          <w:sz w:val="27"/>
          <w:szCs w:val="27"/>
          <w:shd w:val="clear" w:color="auto" w:fill="FFFFFF"/>
        </w:rPr>
      </w:pPr>
    </w:p>
    <w:p w14:paraId="6745D4BF" w14:textId="2CF83CA4" w:rsidR="00CB0C56" w:rsidRDefault="005B09A7" w:rsidP="008D2B31">
      <w:pPr>
        <w:spacing w:after="0" w:line="240" w:lineRule="auto"/>
        <w:jc w:val="center"/>
        <w:rPr>
          <w:rFonts w:ascii="TradeGothicNextW01-Ligh 693250" w:hAnsi="TradeGothicNextW01-Ligh 693250"/>
          <w:b/>
          <w:bCs/>
          <w:sz w:val="27"/>
          <w:szCs w:val="27"/>
          <w:shd w:val="clear" w:color="auto" w:fill="FFFFFF"/>
        </w:rPr>
      </w:pPr>
      <w:r w:rsidRPr="008D2B31">
        <w:rPr>
          <w:rFonts w:ascii="TradeGothicNextW01-Ligh 693250" w:hAnsi="TradeGothicNextW01-Ligh 693250"/>
          <w:b/>
          <w:bCs/>
          <w:sz w:val="27"/>
          <w:szCs w:val="27"/>
          <w:shd w:val="clear" w:color="auto" w:fill="FFFFFF"/>
        </w:rPr>
        <w:lastRenderedPageBreak/>
        <w:t xml:space="preserve">Step </w:t>
      </w:r>
      <w:r w:rsidR="00D10CEF" w:rsidRPr="008D2B31">
        <w:rPr>
          <w:rFonts w:ascii="TradeGothicNextW01-Ligh 693250" w:hAnsi="TradeGothicNextW01-Ligh 693250"/>
          <w:b/>
          <w:bCs/>
          <w:sz w:val="27"/>
          <w:szCs w:val="27"/>
          <w:shd w:val="clear" w:color="auto" w:fill="FFFFFF"/>
        </w:rPr>
        <w:t>4: Visualizations</w:t>
      </w:r>
    </w:p>
    <w:p w14:paraId="055F897B" w14:textId="77777777" w:rsidR="000A5A38" w:rsidRPr="008D2B31" w:rsidRDefault="000A5A38" w:rsidP="008D2B31">
      <w:pPr>
        <w:spacing w:after="0" w:line="240" w:lineRule="auto"/>
        <w:jc w:val="center"/>
        <w:rPr>
          <w:rFonts w:ascii="TradeGothicNextW01-Ligh 693250" w:hAnsi="TradeGothicNextW01-Ligh 693250"/>
          <w:b/>
          <w:bCs/>
          <w:sz w:val="27"/>
          <w:szCs w:val="27"/>
          <w:shd w:val="clear" w:color="auto" w:fill="FFFFFF"/>
        </w:rPr>
      </w:pPr>
    </w:p>
    <w:p w14:paraId="14D122F1" w14:textId="56134099" w:rsidR="002C35F5" w:rsidRPr="000A5A38" w:rsidRDefault="002C35F5" w:rsidP="005B09A7">
      <w:pPr>
        <w:rPr>
          <w:rFonts w:asciiTheme="majorHAnsi" w:eastAsia="Times New Roman" w:hAnsiTheme="majorHAnsi" w:cstheme="majorHAnsi"/>
          <w:color w:val="000000"/>
        </w:rPr>
      </w:pPr>
      <w:r w:rsidRPr="000A5A38">
        <w:rPr>
          <w:rFonts w:asciiTheme="majorHAnsi" w:eastAsia="Times New Roman" w:hAnsiTheme="majorHAnsi" w:cstheme="majorHAnsi"/>
          <w:color w:val="000000"/>
        </w:rPr>
        <w:t xml:space="preserve">I started </w:t>
      </w:r>
      <w:r w:rsidR="00354CDD" w:rsidRPr="000A5A38">
        <w:rPr>
          <w:rFonts w:asciiTheme="majorHAnsi" w:eastAsia="Times New Roman" w:hAnsiTheme="majorHAnsi" w:cstheme="majorHAnsi"/>
          <w:color w:val="000000"/>
        </w:rPr>
        <w:t>my presentation</w:t>
      </w:r>
      <w:r w:rsidRPr="000A5A38">
        <w:rPr>
          <w:rFonts w:asciiTheme="majorHAnsi" w:eastAsia="Times New Roman" w:hAnsiTheme="majorHAnsi" w:cstheme="majorHAnsi"/>
          <w:color w:val="000000"/>
        </w:rPr>
        <w:t xml:space="preserve"> by using </w:t>
      </w:r>
      <w:r w:rsidR="0011211F" w:rsidRPr="000A5A38">
        <w:rPr>
          <w:rFonts w:asciiTheme="majorHAnsi" w:eastAsia="Times New Roman" w:hAnsiTheme="majorHAnsi" w:cstheme="majorHAnsi"/>
          <w:color w:val="000000"/>
        </w:rPr>
        <w:t>3-line</w:t>
      </w:r>
      <w:r w:rsidRPr="000A5A38">
        <w:rPr>
          <w:rFonts w:asciiTheme="majorHAnsi" w:eastAsia="Times New Roman" w:hAnsiTheme="majorHAnsi" w:cstheme="majorHAnsi"/>
          <w:color w:val="000000"/>
        </w:rPr>
        <w:t xml:space="preserve"> graphs one for sales by year </w:t>
      </w:r>
      <w:r w:rsidR="00910E8F" w:rsidRPr="000A5A38">
        <w:rPr>
          <w:rFonts w:asciiTheme="majorHAnsi" w:eastAsia="Times New Roman" w:hAnsiTheme="majorHAnsi" w:cstheme="majorHAnsi"/>
          <w:color w:val="000000"/>
        </w:rPr>
        <w:t>showing each market from year</w:t>
      </w:r>
      <w:r w:rsidR="0019003D" w:rsidRPr="000A5A38">
        <w:rPr>
          <w:rFonts w:asciiTheme="majorHAnsi" w:eastAsia="Times New Roman" w:hAnsiTheme="majorHAnsi" w:cstheme="majorHAnsi"/>
          <w:color w:val="000000"/>
        </w:rPr>
        <w:t>s</w:t>
      </w:r>
      <w:r w:rsidR="00910E8F" w:rsidRPr="000A5A38">
        <w:rPr>
          <w:rFonts w:asciiTheme="majorHAnsi" w:eastAsia="Times New Roman" w:hAnsiTheme="majorHAnsi" w:cstheme="majorHAnsi"/>
          <w:color w:val="000000"/>
        </w:rPr>
        <w:t xml:space="preserve"> 1980 to 2016</w:t>
      </w:r>
      <w:r w:rsidR="00366AE6" w:rsidRPr="000A5A38">
        <w:rPr>
          <w:rFonts w:asciiTheme="majorHAnsi" w:eastAsia="Times New Roman" w:hAnsiTheme="majorHAnsi" w:cstheme="majorHAnsi"/>
          <w:color w:val="000000"/>
        </w:rPr>
        <w:t>,</w:t>
      </w:r>
      <w:r w:rsidR="00A865AA" w:rsidRPr="000A5A38">
        <w:rPr>
          <w:rFonts w:asciiTheme="majorHAnsi" w:eastAsia="Times New Roman" w:hAnsiTheme="majorHAnsi" w:cstheme="majorHAnsi"/>
          <w:color w:val="000000"/>
        </w:rPr>
        <w:t xml:space="preserve"> </w:t>
      </w:r>
      <w:r w:rsidR="0019003D" w:rsidRPr="000A5A38">
        <w:rPr>
          <w:rFonts w:asciiTheme="majorHAnsi" w:eastAsia="Times New Roman" w:hAnsiTheme="majorHAnsi" w:cstheme="majorHAnsi"/>
          <w:color w:val="000000"/>
        </w:rPr>
        <w:t>a second graph</w:t>
      </w:r>
      <w:r w:rsidR="00A865AA" w:rsidRPr="000A5A38">
        <w:rPr>
          <w:rFonts w:asciiTheme="majorHAnsi" w:eastAsia="Times New Roman" w:hAnsiTheme="majorHAnsi" w:cstheme="majorHAnsi"/>
          <w:color w:val="000000"/>
        </w:rPr>
        <w:t xml:space="preserve"> only showing sales from 2010 to 2016</w:t>
      </w:r>
      <w:r w:rsidR="00366AE6" w:rsidRPr="000A5A38">
        <w:rPr>
          <w:rFonts w:asciiTheme="majorHAnsi" w:eastAsia="Times New Roman" w:hAnsiTheme="majorHAnsi" w:cstheme="majorHAnsi"/>
          <w:color w:val="000000"/>
        </w:rPr>
        <w:t xml:space="preserve"> and the third </w:t>
      </w:r>
      <w:r w:rsidR="006048B2" w:rsidRPr="000A5A38">
        <w:rPr>
          <w:rFonts w:asciiTheme="majorHAnsi" w:eastAsia="Times New Roman" w:hAnsiTheme="majorHAnsi" w:cstheme="majorHAnsi"/>
          <w:color w:val="000000"/>
        </w:rPr>
        <w:t>showing</w:t>
      </w:r>
      <w:r w:rsidR="00366AE6" w:rsidRPr="000A5A38">
        <w:rPr>
          <w:rFonts w:asciiTheme="majorHAnsi" w:eastAsia="Times New Roman" w:hAnsiTheme="majorHAnsi" w:cstheme="majorHAnsi"/>
          <w:color w:val="000000"/>
        </w:rPr>
        <w:t xml:space="preserve"> market shares </w:t>
      </w:r>
      <w:r w:rsidR="006048B2" w:rsidRPr="000A5A38">
        <w:rPr>
          <w:rFonts w:asciiTheme="majorHAnsi" w:eastAsia="Times New Roman" w:hAnsiTheme="majorHAnsi" w:cstheme="majorHAnsi"/>
          <w:color w:val="000000"/>
        </w:rPr>
        <w:t xml:space="preserve">from 2010 to 2016. </w:t>
      </w:r>
      <w:r w:rsidR="00A865AA" w:rsidRPr="000A5A38">
        <w:rPr>
          <w:rFonts w:asciiTheme="majorHAnsi" w:eastAsia="Times New Roman" w:hAnsiTheme="majorHAnsi" w:cstheme="majorHAnsi"/>
          <w:color w:val="000000"/>
        </w:rPr>
        <w:t>The first gra</w:t>
      </w:r>
      <w:r w:rsidR="00805B0E" w:rsidRPr="000A5A38">
        <w:rPr>
          <w:rFonts w:asciiTheme="majorHAnsi" w:eastAsia="Times New Roman" w:hAnsiTheme="majorHAnsi" w:cstheme="majorHAnsi"/>
          <w:color w:val="000000"/>
        </w:rPr>
        <w:t>ph capture</w:t>
      </w:r>
      <w:r w:rsidR="0019003D" w:rsidRPr="000A5A38">
        <w:rPr>
          <w:rFonts w:asciiTheme="majorHAnsi" w:eastAsia="Times New Roman" w:hAnsiTheme="majorHAnsi" w:cstheme="majorHAnsi"/>
          <w:color w:val="000000"/>
        </w:rPr>
        <w:t>s</w:t>
      </w:r>
      <w:r w:rsidR="00805B0E" w:rsidRPr="000A5A38">
        <w:rPr>
          <w:rFonts w:asciiTheme="majorHAnsi" w:eastAsia="Times New Roman" w:hAnsiTheme="majorHAnsi" w:cstheme="majorHAnsi"/>
          <w:color w:val="000000"/>
        </w:rPr>
        <w:t xml:space="preserve"> the visual of all the data we are given and provides an overview of such sales. </w:t>
      </w:r>
      <w:r w:rsidR="002178D1" w:rsidRPr="000A5A38">
        <w:rPr>
          <w:rFonts w:asciiTheme="majorHAnsi" w:eastAsia="Times New Roman" w:hAnsiTheme="majorHAnsi" w:cstheme="majorHAnsi"/>
          <w:color w:val="000000"/>
        </w:rPr>
        <w:t xml:space="preserve">This </w:t>
      </w:r>
      <w:r w:rsidR="0066154B" w:rsidRPr="000A5A38">
        <w:rPr>
          <w:rFonts w:asciiTheme="majorHAnsi" w:eastAsia="Times New Roman" w:hAnsiTheme="majorHAnsi" w:cstheme="majorHAnsi"/>
          <w:color w:val="000000"/>
        </w:rPr>
        <w:t xml:space="preserve">graph was necessary to show </w:t>
      </w:r>
      <w:r w:rsidR="005C1DBD" w:rsidRPr="000A5A38">
        <w:rPr>
          <w:rFonts w:asciiTheme="majorHAnsi" w:eastAsia="Times New Roman" w:hAnsiTheme="majorHAnsi" w:cstheme="majorHAnsi"/>
          <w:color w:val="000000"/>
        </w:rPr>
        <w:t>executives</w:t>
      </w:r>
      <w:r w:rsidR="00384135" w:rsidRPr="000A5A38">
        <w:rPr>
          <w:rFonts w:asciiTheme="majorHAnsi" w:eastAsia="Times New Roman" w:hAnsiTheme="majorHAnsi" w:cstheme="majorHAnsi"/>
          <w:color w:val="000000"/>
        </w:rPr>
        <w:t xml:space="preserve"> that sales have changed over time in each region. </w:t>
      </w:r>
      <w:r w:rsidR="00805B0E" w:rsidRPr="000A5A38">
        <w:rPr>
          <w:rFonts w:asciiTheme="majorHAnsi" w:eastAsia="Times New Roman" w:hAnsiTheme="majorHAnsi" w:cstheme="majorHAnsi"/>
          <w:color w:val="000000"/>
        </w:rPr>
        <w:t xml:space="preserve">The second </w:t>
      </w:r>
      <w:r w:rsidR="005A1C2E" w:rsidRPr="000A5A38">
        <w:rPr>
          <w:rFonts w:asciiTheme="majorHAnsi" w:eastAsia="Times New Roman" w:hAnsiTheme="majorHAnsi" w:cstheme="majorHAnsi"/>
          <w:color w:val="000000"/>
        </w:rPr>
        <w:t>graph</w:t>
      </w:r>
      <w:r w:rsidR="0019003D" w:rsidRPr="000A5A38">
        <w:rPr>
          <w:rFonts w:asciiTheme="majorHAnsi" w:eastAsia="Times New Roman" w:hAnsiTheme="majorHAnsi" w:cstheme="majorHAnsi"/>
          <w:color w:val="000000"/>
        </w:rPr>
        <w:t xml:space="preserve"> goes more </w:t>
      </w:r>
      <w:r w:rsidR="005A1C2E" w:rsidRPr="000A5A38">
        <w:rPr>
          <w:rFonts w:asciiTheme="majorHAnsi" w:eastAsia="Times New Roman" w:hAnsiTheme="majorHAnsi" w:cstheme="majorHAnsi"/>
          <w:color w:val="000000"/>
        </w:rPr>
        <w:t>in-depth</w:t>
      </w:r>
      <w:r w:rsidR="0019003D" w:rsidRPr="000A5A38">
        <w:rPr>
          <w:rFonts w:asciiTheme="majorHAnsi" w:eastAsia="Times New Roman" w:hAnsiTheme="majorHAnsi" w:cstheme="majorHAnsi"/>
          <w:color w:val="000000"/>
        </w:rPr>
        <w:t xml:space="preserve"> in a specific period of ti</w:t>
      </w:r>
      <w:r w:rsidR="002178D1" w:rsidRPr="000A5A38">
        <w:rPr>
          <w:rFonts w:asciiTheme="majorHAnsi" w:eastAsia="Times New Roman" w:hAnsiTheme="majorHAnsi" w:cstheme="majorHAnsi"/>
          <w:color w:val="000000"/>
        </w:rPr>
        <w:t xml:space="preserve">me to let </w:t>
      </w:r>
      <w:r w:rsidR="005C1DBD" w:rsidRPr="000A5A38">
        <w:rPr>
          <w:rFonts w:asciiTheme="majorHAnsi" w:eastAsia="Times New Roman" w:hAnsiTheme="majorHAnsi" w:cstheme="majorHAnsi"/>
          <w:color w:val="000000"/>
        </w:rPr>
        <w:t>executives</w:t>
      </w:r>
      <w:r w:rsidR="002178D1" w:rsidRPr="000A5A38">
        <w:rPr>
          <w:rFonts w:asciiTheme="majorHAnsi" w:eastAsia="Times New Roman" w:hAnsiTheme="majorHAnsi" w:cstheme="majorHAnsi"/>
          <w:color w:val="000000"/>
        </w:rPr>
        <w:t xml:space="preserve"> know that we will be focusing on this period of time for my presentation.</w:t>
      </w:r>
      <w:r w:rsidR="00805B0E" w:rsidRPr="000A5A38">
        <w:rPr>
          <w:rFonts w:asciiTheme="majorHAnsi" w:eastAsia="Times New Roman" w:hAnsiTheme="majorHAnsi" w:cstheme="majorHAnsi"/>
          <w:color w:val="000000"/>
        </w:rPr>
        <w:t xml:space="preserve"> </w:t>
      </w:r>
      <w:r w:rsidR="006048B2" w:rsidRPr="000A5A38">
        <w:rPr>
          <w:rFonts w:asciiTheme="majorHAnsi" w:eastAsia="Times New Roman" w:hAnsiTheme="majorHAnsi" w:cstheme="majorHAnsi"/>
          <w:color w:val="000000"/>
        </w:rPr>
        <w:t>Lastly</w:t>
      </w:r>
      <w:r w:rsidR="003F24CE" w:rsidRPr="000A5A38">
        <w:rPr>
          <w:rFonts w:asciiTheme="majorHAnsi" w:eastAsia="Times New Roman" w:hAnsiTheme="majorHAnsi" w:cstheme="majorHAnsi"/>
          <w:color w:val="000000"/>
        </w:rPr>
        <w:t>,</w:t>
      </w:r>
      <w:r w:rsidR="006048B2" w:rsidRPr="000A5A38">
        <w:rPr>
          <w:rFonts w:asciiTheme="majorHAnsi" w:eastAsia="Times New Roman" w:hAnsiTheme="majorHAnsi" w:cstheme="majorHAnsi"/>
          <w:color w:val="000000"/>
        </w:rPr>
        <w:t xml:space="preserve"> the third graph, </w:t>
      </w:r>
      <w:r w:rsidR="00152633" w:rsidRPr="000A5A38">
        <w:rPr>
          <w:rFonts w:asciiTheme="majorHAnsi" w:eastAsia="Times New Roman" w:hAnsiTheme="majorHAnsi" w:cstheme="majorHAnsi"/>
          <w:color w:val="000000"/>
        </w:rPr>
        <w:t xml:space="preserve">showed the market share of each market </w:t>
      </w:r>
      <w:r w:rsidR="003F24CE" w:rsidRPr="000A5A38">
        <w:rPr>
          <w:rFonts w:asciiTheme="majorHAnsi" w:eastAsia="Times New Roman" w:hAnsiTheme="majorHAnsi" w:cstheme="majorHAnsi"/>
          <w:color w:val="000000"/>
        </w:rPr>
        <w:t>throughout</w:t>
      </w:r>
      <w:r w:rsidR="00152633" w:rsidRPr="000A5A38">
        <w:rPr>
          <w:rFonts w:asciiTheme="majorHAnsi" w:eastAsia="Times New Roman" w:hAnsiTheme="majorHAnsi" w:cstheme="majorHAnsi"/>
          <w:color w:val="000000"/>
        </w:rPr>
        <w:t xml:space="preserve"> this </w:t>
      </w:r>
      <w:r w:rsidR="003F24CE" w:rsidRPr="000A5A38">
        <w:rPr>
          <w:rFonts w:asciiTheme="majorHAnsi" w:eastAsia="Times New Roman" w:hAnsiTheme="majorHAnsi" w:cstheme="majorHAnsi"/>
          <w:color w:val="000000"/>
        </w:rPr>
        <w:t>time</w:t>
      </w:r>
      <w:r w:rsidR="00152633" w:rsidRPr="000A5A38">
        <w:rPr>
          <w:rFonts w:asciiTheme="majorHAnsi" w:eastAsia="Times New Roman" w:hAnsiTheme="majorHAnsi" w:cstheme="majorHAnsi"/>
          <w:color w:val="000000"/>
        </w:rPr>
        <w:t xml:space="preserve"> period to highlight any trends </w:t>
      </w:r>
      <w:r w:rsidR="003F24CE" w:rsidRPr="000A5A38">
        <w:rPr>
          <w:rFonts w:asciiTheme="majorHAnsi" w:eastAsia="Times New Roman" w:hAnsiTheme="majorHAnsi" w:cstheme="majorHAnsi"/>
          <w:color w:val="000000"/>
        </w:rPr>
        <w:t xml:space="preserve">throughout the years. </w:t>
      </w:r>
    </w:p>
    <w:p w14:paraId="3B22AEC0" w14:textId="1D15EAFA" w:rsidR="00F70E39" w:rsidRPr="000A5A38" w:rsidRDefault="00721FCE" w:rsidP="005B09A7">
      <w:pPr>
        <w:rPr>
          <w:rFonts w:asciiTheme="majorHAnsi" w:eastAsia="Times New Roman" w:hAnsiTheme="majorHAnsi" w:cstheme="majorHAnsi"/>
          <w:color w:val="000000"/>
        </w:rPr>
      </w:pPr>
      <w:r w:rsidRPr="000A5A38">
        <w:rPr>
          <w:rFonts w:asciiTheme="majorHAnsi" w:eastAsia="Times New Roman" w:hAnsiTheme="majorHAnsi" w:cstheme="majorHAnsi"/>
          <w:color w:val="000000"/>
        </w:rPr>
        <w:t>Throughout</w:t>
      </w:r>
      <w:r w:rsidR="00FF7577" w:rsidRPr="000A5A38">
        <w:rPr>
          <w:rFonts w:asciiTheme="majorHAnsi" w:eastAsia="Times New Roman" w:hAnsiTheme="majorHAnsi" w:cstheme="majorHAnsi"/>
          <w:color w:val="000000"/>
        </w:rPr>
        <w:t xml:space="preserve"> my presentation</w:t>
      </w:r>
      <w:r w:rsidRPr="000A5A38">
        <w:rPr>
          <w:rFonts w:asciiTheme="majorHAnsi" w:eastAsia="Times New Roman" w:hAnsiTheme="majorHAnsi" w:cstheme="majorHAnsi"/>
          <w:color w:val="000000"/>
        </w:rPr>
        <w:t>,</w:t>
      </w:r>
      <w:r w:rsidR="00FF7577" w:rsidRPr="000A5A38">
        <w:rPr>
          <w:rFonts w:asciiTheme="majorHAnsi" w:eastAsia="Times New Roman" w:hAnsiTheme="majorHAnsi" w:cstheme="majorHAnsi"/>
          <w:color w:val="000000"/>
        </w:rPr>
        <w:t xml:space="preserve"> I used a variety of graphs to present information in the most </w:t>
      </w:r>
      <w:r w:rsidRPr="000A5A38">
        <w:rPr>
          <w:rFonts w:asciiTheme="majorHAnsi" w:eastAsia="Times New Roman" w:hAnsiTheme="majorHAnsi" w:cstheme="majorHAnsi"/>
          <w:color w:val="000000"/>
        </w:rPr>
        <w:t>effective</w:t>
      </w:r>
      <w:r w:rsidR="00FF7577" w:rsidRPr="000A5A38">
        <w:rPr>
          <w:rFonts w:asciiTheme="majorHAnsi" w:eastAsia="Times New Roman" w:hAnsiTheme="majorHAnsi" w:cstheme="majorHAnsi"/>
          <w:color w:val="000000"/>
        </w:rPr>
        <w:t xml:space="preserve"> ways</w:t>
      </w:r>
      <w:r w:rsidR="009A1CF0" w:rsidRPr="000A5A38">
        <w:rPr>
          <w:rFonts w:asciiTheme="majorHAnsi" w:eastAsia="Times New Roman" w:hAnsiTheme="majorHAnsi" w:cstheme="majorHAnsi"/>
          <w:color w:val="000000"/>
        </w:rPr>
        <w:t xml:space="preserve"> but yet simple.</w:t>
      </w:r>
      <w:r w:rsidR="00FF7577" w:rsidRPr="000A5A38">
        <w:rPr>
          <w:rFonts w:asciiTheme="majorHAnsi" w:eastAsia="Times New Roman" w:hAnsiTheme="majorHAnsi" w:cstheme="majorHAnsi"/>
          <w:color w:val="000000"/>
        </w:rPr>
        <w:t xml:space="preserve"> </w:t>
      </w:r>
      <w:r w:rsidR="00770B76" w:rsidRPr="000A5A38">
        <w:rPr>
          <w:rFonts w:asciiTheme="majorHAnsi" w:eastAsia="Times New Roman" w:hAnsiTheme="majorHAnsi" w:cstheme="majorHAnsi"/>
          <w:color w:val="000000"/>
        </w:rPr>
        <w:t xml:space="preserve">For the sales by year both for </w:t>
      </w:r>
      <w:r w:rsidR="009A31BB" w:rsidRPr="000A5A38">
        <w:rPr>
          <w:rFonts w:asciiTheme="majorHAnsi" w:eastAsia="Times New Roman" w:hAnsiTheme="majorHAnsi" w:cstheme="majorHAnsi"/>
          <w:color w:val="000000"/>
        </w:rPr>
        <w:t xml:space="preserve">general </w:t>
      </w:r>
      <w:r w:rsidR="00770B76" w:rsidRPr="000A5A38">
        <w:rPr>
          <w:rFonts w:asciiTheme="majorHAnsi" w:eastAsia="Times New Roman" w:hAnsiTheme="majorHAnsi" w:cstheme="majorHAnsi"/>
          <w:color w:val="000000"/>
        </w:rPr>
        <w:t xml:space="preserve">sales and market share I used a line graph. I used this graph because it showed sales for each year and the patterns between this period of time. </w:t>
      </w:r>
      <w:r w:rsidR="009A31BB" w:rsidRPr="000A5A38">
        <w:rPr>
          <w:rFonts w:asciiTheme="majorHAnsi" w:eastAsia="Times New Roman" w:hAnsiTheme="majorHAnsi" w:cstheme="majorHAnsi"/>
          <w:color w:val="000000"/>
        </w:rPr>
        <w:t xml:space="preserve">This information is important for </w:t>
      </w:r>
      <w:r w:rsidR="005C1DBD" w:rsidRPr="000A5A38">
        <w:rPr>
          <w:rFonts w:asciiTheme="majorHAnsi" w:eastAsia="Times New Roman" w:hAnsiTheme="majorHAnsi" w:cstheme="majorHAnsi"/>
          <w:color w:val="000000"/>
        </w:rPr>
        <w:t>executives</w:t>
      </w:r>
      <w:r w:rsidR="009A31BB" w:rsidRPr="000A5A38">
        <w:rPr>
          <w:rFonts w:asciiTheme="majorHAnsi" w:eastAsia="Times New Roman" w:hAnsiTheme="majorHAnsi" w:cstheme="majorHAnsi"/>
          <w:color w:val="000000"/>
        </w:rPr>
        <w:t xml:space="preserve"> as they can see how each market is doing </w:t>
      </w:r>
      <w:r w:rsidR="00376004" w:rsidRPr="000A5A38">
        <w:rPr>
          <w:rFonts w:asciiTheme="majorHAnsi" w:eastAsia="Times New Roman" w:hAnsiTheme="majorHAnsi" w:cstheme="majorHAnsi"/>
          <w:color w:val="000000"/>
        </w:rPr>
        <w:t>during the most recent years</w:t>
      </w:r>
      <w:r w:rsidR="0062486C" w:rsidRPr="000A5A38">
        <w:rPr>
          <w:rFonts w:asciiTheme="majorHAnsi" w:eastAsia="Times New Roman" w:hAnsiTheme="majorHAnsi" w:cstheme="majorHAnsi"/>
          <w:color w:val="000000"/>
        </w:rPr>
        <w:t xml:space="preserve"> and take action based </w:t>
      </w:r>
      <w:r w:rsidR="00CD6200" w:rsidRPr="000A5A38">
        <w:rPr>
          <w:rFonts w:asciiTheme="majorHAnsi" w:eastAsia="Times New Roman" w:hAnsiTheme="majorHAnsi" w:cstheme="majorHAnsi"/>
          <w:color w:val="000000"/>
        </w:rPr>
        <w:t>o</w:t>
      </w:r>
      <w:r w:rsidR="0062486C" w:rsidRPr="000A5A38">
        <w:rPr>
          <w:rFonts w:asciiTheme="majorHAnsi" w:eastAsia="Times New Roman" w:hAnsiTheme="majorHAnsi" w:cstheme="majorHAnsi"/>
          <w:color w:val="000000"/>
        </w:rPr>
        <w:t xml:space="preserve">n this. </w:t>
      </w:r>
      <w:r w:rsidR="00550D18" w:rsidRPr="000A5A38">
        <w:rPr>
          <w:rFonts w:asciiTheme="majorHAnsi" w:eastAsia="Times New Roman" w:hAnsiTheme="majorHAnsi" w:cstheme="majorHAnsi"/>
          <w:color w:val="000000"/>
        </w:rPr>
        <w:t xml:space="preserve">Now that we knew </w:t>
      </w:r>
      <w:r w:rsidR="00810E26" w:rsidRPr="000A5A38">
        <w:rPr>
          <w:rFonts w:asciiTheme="majorHAnsi" w:eastAsia="Times New Roman" w:hAnsiTheme="majorHAnsi" w:cstheme="majorHAnsi"/>
          <w:color w:val="000000"/>
        </w:rPr>
        <w:t>what is happening in</w:t>
      </w:r>
      <w:r w:rsidR="00550D18" w:rsidRPr="000A5A38">
        <w:rPr>
          <w:rFonts w:asciiTheme="majorHAnsi" w:eastAsia="Times New Roman" w:hAnsiTheme="majorHAnsi" w:cstheme="majorHAnsi"/>
          <w:color w:val="000000"/>
        </w:rPr>
        <w:t xml:space="preserve"> </w:t>
      </w:r>
      <w:r w:rsidR="002C3172" w:rsidRPr="000A5A38">
        <w:rPr>
          <w:rFonts w:asciiTheme="majorHAnsi" w:eastAsia="Times New Roman" w:hAnsiTheme="majorHAnsi" w:cstheme="majorHAnsi"/>
          <w:color w:val="000000"/>
        </w:rPr>
        <w:t xml:space="preserve">each market, I needed to highlight how to take action. For this reason, </w:t>
      </w:r>
      <w:r w:rsidR="009A1CF0" w:rsidRPr="000A5A38">
        <w:rPr>
          <w:rFonts w:asciiTheme="majorHAnsi" w:eastAsia="Times New Roman" w:hAnsiTheme="majorHAnsi" w:cstheme="majorHAnsi"/>
          <w:color w:val="000000"/>
        </w:rPr>
        <w:t>I</w:t>
      </w:r>
      <w:r w:rsidR="00F75ED1" w:rsidRPr="000A5A38">
        <w:rPr>
          <w:rFonts w:asciiTheme="majorHAnsi" w:eastAsia="Times New Roman" w:hAnsiTheme="majorHAnsi" w:cstheme="majorHAnsi"/>
          <w:color w:val="000000"/>
        </w:rPr>
        <w:t xml:space="preserve"> used these charts for each of the four markets to highlight the top </w:t>
      </w:r>
      <w:r w:rsidR="00A170FF" w:rsidRPr="000A5A38">
        <w:rPr>
          <w:rFonts w:asciiTheme="majorHAnsi" w:eastAsia="Times New Roman" w:hAnsiTheme="majorHAnsi" w:cstheme="majorHAnsi"/>
          <w:color w:val="000000"/>
        </w:rPr>
        <w:t xml:space="preserve">3 publishers and the ranking for each genre. </w:t>
      </w:r>
      <w:r w:rsidR="005C1DBD" w:rsidRPr="000A5A38">
        <w:rPr>
          <w:rFonts w:asciiTheme="majorHAnsi" w:eastAsia="Times New Roman" w:hAnsiTheme="majorHAnsi" w:cstheme="majorHAnsi"/>
          <w:color w:val="000000"/>
        </w:rPr>
        <w:t>Executives</w:t>
      </w:r>
      <w:r w:rsidR="002C3172" w:rsidRPr="000A5A38">
        <w:rPr>
          <w:rFonts w:asciiTheme="majorHAnsi" w:eastAsia="Times New Roman" w:hAnsiTheme="majorHAnsi" w:cstheme="majorHAnsi"/>
          <w:color w:val="000000"/>
        </w:rPr>
        <w:t xml:space="preserve"> will be able to see </w:t>
      </w:r>
      <w:r w:rsidR="00F70E39" w:rsidRPr="000A5A38">
        <w:rPr>
          <w:rFonts w:asciiTheme="majorHAnsi" w:eastAsia="Times New Roman" w:hAnsiTheme="majorHAnsi" w:cstheme="majorHAnsi"/>
          <w:color w:val="000000"/>
        </w:rPr>
        <w:t xml:space="preserve">where to </w:t>
      </w:r>
      <w:r w:rsidR="0011211F" w:rsidRPr="000A5A38">
        <w:rPr>
          <w:rFonts w:asciiTheme="majorHAnsi" w:eastAsia="Times New Roman" w:hAnsiTheme="majorHAnsi" w:cstheme="majorHAnsi"/>
          <w:color w:val="000000"/>
        </w:rPr>
        <w:t>allocate</w:t>
      </w:r>
      <w:r w:rsidR="00F70E39" w:rsidRPr="000A5A38">
        <w:rPr>
          <w:rFonts w:asciiTheme="majorHAnsi" w:eastAsia="Times New Roman" w:hAnsiTheme="majorHAnsi" w:cstheme="majorHAnsi"/>
          <w:color w:val="000000"/>
        </w:rPr>
        <w:t xml:space="preserve"> their </w:t>
      </w:r>
      <w:r w:rsidR="0011211F" w:rsidRPr="000A5A38">
        <w:rPr>
          <w:rFonts w:asciiTheme="majorHAnsi" w:eastAsia="Times New Roman" w:hAnsiTheme="majorHAnsi" w:cstheme="majorHAnsi"/>
          <w:color w:val="000000"/>
        </w:rPr>
        <w:t>resources</w:t>
      </w:r>
      <w:r w:rsidR="00F70E39" w:rsidRPr="000A5A38">
        <w:rPr>
          <w:rFonts w:asciiTheme="majorHAnsi" w:eastAsia="Times New Roman" w:hAnsiTheme="majorHAnsi" w:cstheme="majorHAnsi"/>
          <w:color w:val="000000"/>
        </w:rPr>
        <w:t xml:space="preserve"> and the areas of improvement for sales by </w:t>
      </w:r>
      <w:r w:rsidR="0011211F" w:rsidRPr="000A5A38">
        <w:rPr>
          <w:rFonts w:asciiTheme="majorHAnsi" w:eastAsia="Times New Roman" w:hAnsiTheme="majorHAnsi" w:cstheme="majorHAnsi"/>
          <w:color w:val="000000"/>
        </w:rPr>
        <w:t>genre</w:t>
      </w:r>
      <w:r w:rsidR="00F70E39" w:rsidRPr="000A5A38">
        <w:rPr>
          <w:rFonts w:asciiTheme="majorHAnsi" w:eastAsia="Times New Roman" w:hAnsiTheme="majorHAnsi" w:cstheme="majorHAnsi"/>
          <w:color w:val="000000"/>
        </w:rPr>
        <w:t xml:space="preserve">. </w:t>
      </w:r>
    </w:p>
    <w:p w14:paraId="629EFED2" w14:textId="77777777" w:rsidR="00D10CEF" w:rsidRPr="00A1717B" w:rsidRDefault="00D10CEF" w:rsidP="005B09A7">
      <w:pPr>
        <w:rPr>
          <w:rFonts w:ascii="Bahnschrift Light Condensed" w:eastAsia="Times New Roman" w:hAnsi="Bahnschrift Light Condensed" w:cs="Arial"/>
          <w:color w:val="000000"/>
        </w:rPr>
      </w:pPr>
    </w:p>
    <w:sectPr w:rsidR="00D10CEF" w:rsidRPr="00A1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1658C"/>
    <w:multiLevelType w:val="hybridMultilevel"/>
    <w:tmpl w:val="A7A0466E"/>
    <w:lvl w:ilvl="0" w:tplc="1864FF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16CD9"/>
    <w:multiLevelType w:val="multilevel"/>
    <w:tmpl w:val="FF84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6628460">
    <w:abstractNumId w:val="1"/>
  </w:num>
  <w:num w:numId="2" w16cid:durableId="74966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66"/>
    <w:rsid w:val="0000134A"/>
    <w:rsid w:val="00016EE0"/>
    <w:rsid w:val="00072241"/>
    <w:rsid w:val="00072614"/>
    <w:rsid w:val="00097757"/>
    <w:rsid w:val="000A5A38"/>
    <w:rsid w:val="000A73C8"/>
    <w:rsid w:val="0011211F"/>
    <w:rsid w:val="001222A3"/>
    <w:rsid w:val="0013725A"/>
    <w:rsid w:val="00152633"/>
    <w:rsid w:val="0018051F"/>
    <w:rsid w:val="001838B7"/>
    <w:rsid w:val="0019003D"/>
    <w:rsid w:val="0019048D"/>
    <w:rsid w:val="00197826"/>
    <w:rsid w:val="001A1977"/>
    <w:rsid w:val="001E1B59"/>
    <w:rsid w:val="001E1FF5"/>
    <w:rsid w:val="001E7CC9"/>
    <w:rsid w:val="001F6CDB"/>
    <w:rsid w:val="002178D1"/>
    <w:rsid w:val="0023509F"/>
    <w:rsid w:val="002664CD"/>
    <w:rsid w:val="00272D52"/>
    <w:rsid w:val="00280F7C"/>
    <w:rsid w:val="0028124F"/>
    <w:rsid w:val="00286A23"/>
    <w:rsid w:val="002B1BE0"/>
    <w:rsid w:val="002C3172"/>
    <w:rsid w:val="002C35F5"/>
    <w:rsid w:val="002D1BEF"/>
    <w:rsid w:val="002D363A"/>
    <w:rsid w:val="002D73F9"/>
    <w:rsid w:val="002F5CE3"/>
    <w:rsid w:val="0031406D"/>
    <w:rsid w:val="00324CCD"/>
    <w:rsid w:val="00354CDD"/>
    <w:rsid w:val="00366AE6"/>
    <w:rsid w:val="003673EA"/>
    <w:rsid w:val="00376004"/>
    <w:rsid w:val="0038298F"/>
    <w:rsid w:val="00382A06"/>
    <w:rsid w:val="00384135"/>
    <w:rsid w:val="003C6C24"/>
    <w:rsid w:val="003D064A"/>
    <w:rsid w:val="003F046B"/>
    <w:rsid w:val="003F24CE"/>
    <w:rsid w:val="003F5256"/>
    <w:rsid w:val="004400B2"/>
    <w:rsid w:val="00441A91"/>
    <w:rsid w:val="00461265"/>
    <w:rsid w:val="004D39F9"/>
    <w:rsid w:val="004F253A"/>
    <w:rsid w:val="00541AA4"/>
    <w:rsid w:val="00550D18"/>
    <w:rsid w:val="00555F53"/>
    <w:rsid w:val="00560A0D"/>
    <w:rsid w:val="005A1C2E"/>
    <w:rsid w:val="005B09A7"/>
    <w:rsid w:val="005C1DBD"/>
    <w:rsid w:val="005E506C"/>
    <w:rsid w:val="006048B2"/>
    <w:rsid w:val="00606C17"/>
    <w:rsid w:val="00614412"/>
    <w:rsid w:val="00620095"/>
    <w:rsid w:val="0062486C"/>
    <w:rsid w:val="00650AF0"/>
    <w:rsid w:val="00657D2E"/>
    <w:rsid w:val="0066154B"/>
    <w:rsid w:val="006764BD"/>
    <w:rsid w:val="00680639"/>
    <w:rsid w:val="00687002"/>
    <w:rsid w:val="006C0D1F"/>
    <w:rsid w:val="00721F2E"/>
    <w:rsid w:val="00721FCE"/>
    <w:rsid w:val="007405FE"/>
    <w:rsid w:val="007406FE"/>
    <w:rsid w:val="007430E5"/>
    <w:rsid w:val="00743648"/>
    <w:rsid w:val="007552D1"/>
    <w:rsid w:val="007702B5"/>
    <w:rsid w:val="00770B76"/>
    <w:rsid w:val="0077340F"/>
    <w:rsid w:val="007B29FB"/>
    <w:rsid w:val="007C6BC0"/>
    <w:rsid w:val="007D3037"/>
    <w:rsid w:val="00803380"/>
    <w:rsid w:val="00805B0E"/>
    <w:rsid w:val="00810E26"/>
    <w:rsid w:val="00811802"/>
    <w:rsid w:val="00825FE8"/>
    <w:rsid w:val="008813A9"/>
    <w:rsid w:val="008877D7"/>
    <w:rsid w:val="008C2B70"/>
    <w:rsid w:val="008D2B31"/>
    <w:rsid w:val="00910E8F"/>
    <w:rsid w:val="00931274"/>
    <w:rsid w:val="00940A7D"/>
    <w:rsid w:val="00986F88"/>
    <w:rsid w:val="009941CA"/>
    <w:rsid w:val="009A1CF0"/>
    <w:rsid w:val="009A31BB"/>
    <w:rsid w:val="009B3100"/>
    <w:rsid w:val="00A121BA"/>
    <w:rsid w:val="00A170FF"/>
    <w:rsid w:val="00A1717B"/>
    <w:rsid w:val="00A24266"/>
    <w:rsid w:val="00A54FA5"/>
    <w:rsid w:val="00A75DB8"/>
    <w:rsid w:val="00A75DBA"/>
    <w:rsid w:val="00A8029A"/>
    <w:rsid w:val="00A865AA"/>
    <w:rsid w:val="00A90859"/>
    <w:rsid w:val="00A9794A"/>
    <w:rsid w:val="00AB1E8B"/>
    <w:rsid w:val="00AE1B41"/>
    <w:rsid w:val="00AF100D"/>
    <w:rsid w:val="00AF6D16"/>
    <w:rsid w:val="00B21237"/>
    <w:rsid w:val="00B45423"/>
    <w:rsid w:val="00B73B64"/>
    <w:rsid w:val="00B861D0"/>
    <w:rsid w:val="00BA13E5"/>
    <w:rsid w:val="00BA3045"/>
    <w:rsid w:val="00BE2773"/>
    <w:rsid w:val="00C07A63"/>
    <w:rsid w:val="00C2167A"/>
    <w:rsid w:val="00C65C2A"/>
    <w:rsid w:val="00CA1AC8"/>
    <w:rsid w:val="00CB0C56"/>
    <w:rsid w:val="00CD6200"/>
    <w:rsid w:val="00CE69A4"/>
    <w:rsid w:val="00D00863"/>
    <w:rsid w:val="00D10CEF"/>
    <w:rsid w:val="00D145DF"/>
    <w:rsid w:val="00D3502F"/>
    <w:rsid w:val="00D372A0"/>
    <w:rsid w:val="00D71274"/>
    <w:rsid w:val="00DB7106"/>
    <w:rsid w:val="00E01CAE"/>
    <w:rsid w:val="00E27A88"/>
    <w:rsid w:val="00E45698"/>
    <w:rsid w:val="00E463EB"/>
    <w:rsid w:val="00E51868"/>
    <w:rsid w:val="00E57B5B"/>
    <w:rsid w:val="00EB5150"/>
    <w:rsid w:val="00EB7CC2"/>
    <w:rsid w:val="00ED1F75"/>
    <w:rsid w:val="00ED3A86"/>
    <w:rsid w:val="00F0513D"/>
    <w:rsid w:val="00F65022"/>
    <w:rsid w:val="00F65DCF"/>
    <w:rsid w:val="00F70E39"/>
    <w:rsid w:val="00F75ED1"/>
    <w:rsid w:val="00FB4987"/>
    <w:rsid w:val="00FD4FCF"/>
    <w:rsid w:val="00FD5561"/>
    <w:rsid w:val="00FE06A8"/>
    <w:rsid w:val="00FE1213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39A67"/>
  <w15:chartTrackingRefBased/>
  <w15:docId w15:val="{8426FA49-B6E3-449A-8057-4D0FE85D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0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ace66bc30a954f7/Career%20Foundry-Data%20Anlytics/Task%201.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ace66bc30a954f7/Career%20Foundry-Data%20Anlytics/Task%201.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ace66bc30a954f7/Career%20Foundry-Data%20Anlytics/Task%201.1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1.10.xlsx]TopSales-Years!PivotTable1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'TopSales-Years'!$B$3</c:f>
              <c:strCache>
                <c:ptCount val="1"/>
                <c:pt idx="0">
                  <c:v>Sum of NA_Sales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'TopSales-Years'!$A$4:$A$41</c:f>
              <c:strCache>
                <c:ptCount val="37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</c:strCache>
            </c:strRef>
          </c:cat>
          <c:val>
            <c:numRef>
              <c:f>'TopSales-Years'!$B$4:$B$41</c:f>
              <c:numCache>
                <c:formatCode>General</c:formatCode>
                <c:ptCount val="37"/>
                <c:pt idx="0">
                  <c:v>10.59</c:v>
                </c:pt>
                <c:pt idx="1">
                  <c:v>33.4</c:v>
                </c:pt>
                <c:pt idx="2">
                  <c:v>26.92</c:v>
                </c:pt>
                <c:pt idx="3">
                  <c:v>7.7599999999999989</c:v>
                </c:pt>
                <c:pt idx="4">
                  <c:v>33.279999999999994</c:v>
                </c:pt>
                <c:pt idx="5">
                  <c:v>33.729999999999997</c:v>
                </c:pt>
                <c:pt idx="6">
                  <c:v>12.500000000000002</c:v>
                </c:pt>
                <c:pt idx="7">
                  <c:v>8.4599999999999991</c:v>
                </c:pt>
                <c:pt idx="8">
                  <c:v>23.869999999999997</c:v>
                </c:pt>
                <c:pt idx="9">
                  <c:v>45.15</c:v>
                </c:pt>
                <c:pt idx="10">
                  <c:v>25.459999999999997</c:v>
                </c:pt>
                <c:pt idx="11">
                  <c:v>12.760000000000002</c:v>
                </c:pt>
                <c:pt idx="12">
                  <c:v>33.86999999999999</c:v>
                </c:pt>
                <c:pt idx="13">
                  <c:v>15.12</c:v>
                </c:pt>
                <c:pt idx="14">
                  <c:v>28.150000000000002</c:v>
                </c:pt>
                <c:pt idx="15">
                  <c:v>24.819999999999997</c:v>
                </c:pt>
                <c:pt idx="16">
                  <c:v>86.759999999999991</c:v>
                </c:pt>
                <c:pt idx="17">
                  <c:v>94.750000000000028</c:v>
                </c:pt>
                <c:pt idx="18">
                  <c:v>128.35999999999999</c:v>
                </c:pt>
                <c:pt idx="19">
                  <c:v>126.06000000000002</c:v>
                </c:pt>
                <c:pt idx="20">
                  <c:v>94.490000000000009</c:v>
                </c:pt>
                <c:pt idx="21">
                  <c:v>173.98000000000008</c:v>
                </c:pt>
                <c:pt idx="22">
                  <c:v>216.19000000000003</c:v>
                </c:pt>
                <c:pt idx="23">
                  <c:v>193.59000000000034</c:v>
                </c:pt>
                <c:pt idx="24">
                  <c:v>222.5900000000002</c:v>
                </c:pt>
                <c:pt idx="25">
                  <c:v>242.61000000000007</c:v>
                </c:pt>
                <c:pt idx="26">
                  <c:v>263.11999999999978</c:v>
                </c:pt>
                <c:pt idx="27">
                  <c:v>312.04999999999973</c:v>
                </c:pt>
                <c:pt idx="28">
                  <c:v>351.43999999999994</c:v>
                </c:pt>
                <c:pt idx="29">
                  <c:v>338.84999999999997</c:v>
                </c:pt>
                <c:pt idx="30">
                  <c:v>304.24000000000029</c:v>
                </c:pt>
                <c:pt idx="31">
                  <c:v>241.06000000000029</c:v>
                </c:pt>
                <c:pt idx="32">
                  <c:v>154.96000000000009</c:v>
                </c:pt>
                <c:pt idx="33">
                  <c:v>154.77000000000007</c:v>
                </c:pt>
                <c:pt idx="34">
                  <c:v>131.97</c:v>
                </c:pt>
                <c:pt idx="35">
                  <c:v>102.81999999999995</c:v>
                </c:pt>
                <c:pt idx="36">
                  <c:v>22.660000000000021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7D-4724-BF4D-F8A7A31CEAA5}"/>
            </c:ext>
          </c:extLst>
        </c:ser>
        <c:ser>
          <c:idx val="1"/>
          <c:order val="1"/>
          <c:tx>
            <c:strRef>
              <c:f>'TopSales-Years'!$C$3</c:f>
              <c:strCache>
                <c:ptCount val="1"/>
                <c:pt idx="0">
                  <c:v>Sum of EU_Sales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'TopSales-Years'!$A$4:$A$41</c:f>
              <c:strCache>
                <c:ptCount val="37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</c:strCache>
            </c:strRef>
          </c:cat>
          <c:val>
            <c:numRef>
              <c:f>'TopSales-Years'!$C$4:$C$41</c:f>
              <c:numCache>
                <c:formatCode>General</c:formatCode>
                <c:ptCount val="37"/>
                <c:pt idx="0">
                  <c:v>0.67</c:v>
                </c:pt>
                <c:pt idx="1">
                  <c:v>1.9600000000000006</c:v>
                </c:pt>
                <c:pt idx="2">
                  <c:v>1.6500000000000004</c:v>
                </c:pt>
                <c:pt idx="3">
                  <c:v>0.80000000000000016</c:v>
                </c:pt>
                <c:pt idx="4">
                  <c:v>2.1</c:v>
                </c:pt>
                <c:pt idx="5">
                  <c:v>4.74</c:v>
                </c:pt>
                <c:pt idx="6">
                  <c:v>2.8400000000000003</c:v>
                </c:pt>
                <c:pt idx="7">
                  <c:v>1.41</c:v>
                </c:pt>
                <c:pt idx="8">
                  <c:v>6.59</c:v>
                </c:pt>
                <c:pt idx="9">
                  <c:v>8.44</c:v>
                </c:pt>
                <c:pt idx="10">
                  <c:v>7.63</c:v>
                </c:pt>
                <c:pt idx="11">
                  <c:v>3.95</c:v>
                </c:pt>
                <c:pt idx="12">
                  <c:v>11.710000000000003</c:v>
                </c:pt>
                <c:pt idx="13">
                  <c:v>4.6499999999999995</c:v>
                </c:pt>
                <c:pt idx="14">
                  <c:v>14.88</c:v>
                </c:pt>
                <c:pt idx="15">
                  <c:v>14.899999999999991</c:v>
                </c:pt>
                <c:pt idx="16">
                  <c:v>47.260000000000012</c:v>
                </c:pt>
                <c:pt idx="17">
                  <c:v>48.32</c:v>
                </c:pt>
                <c:pt idx="18">
                  <c:v>66.90000000000002</c:v>
                </c:pt>
                <c:pt idx="19">
                  <c:v>62.67</c:v>
                </c:pt>
                <c:pt idx="20">
                  <c:v>52.750000000000007</c:v>
                </c:pt>
                <c:pt idx="21">
                  <c:v>94.889999999999873</c:v>
                </c:pt>
                <c:pt idx="22">
                  <c:v>109.74000000000008</c:v>
                </c:pt>
                <c:pt idx="23">
                  <c:v>103.81000000000009</c:v>
                </c:pt>
                <c:pt idx="24">
                  <c:v>107.32000000000011</c:v>
                </c:pt>
                <c:pt idx="25">
                  <c:v>121.94000000000017</c:v>
                </c:pt>
                <c:pt idx="26">
                  <c:v>129.24000000000004</c:v>
                </c:pt>
                <c:pt idx="27">
                  <c:v>160.65000000000032</c:v>
                </c:pt>
                <c:pt idx="28">
                  <c:v>184.7000000000001</c:v>
                </c:pt>
                <c:pt idx="29">
                  <c:v>191.73999999999984</c:v>
                </c:pt>
                <c:pt idx="30">
                  <c:v>176.87999999999991</c:v>
                </c:pt>
                <c:pt idx="31">
                  <c:v>167.44000000000003</c:v>
                </c:pt>
                <c:pt idx="32">
                  <c:v>118.77999999999999</c:v>
                </c:pt>
                <c:pt idx="33">
                  <c:v>125.95</c:v>
                </c:pt>
                <c:pt idx="34">
                  <c:v>125.65000000000018</c:v>
                </c:pt>
                <c:pt idx="35">
                  <c:v>97.710000000000022</c:v>
                </c:pt>
                <c:pt idx="36">
                  <c:v>26.760000000000034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7D-4724-BF4D-F8A7A31CEAA5}"/>
            </c:ext>
          </c:extLst>
        </c:ser>
        <c:ser>
          <c:idx val="2"/>
          <c:order val="2"/>
          <c:tx>
            <c:strRef>
              <c:f>'TopSales-Years'!$D$3</c:f>
              <c:strCache>
                <c:ptCount val="1"/>
                <c:pt idx="0">
                  <c:v>Sum of Other_Sales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'TopSales-Years'!$A$4:$A$41</c:f>
              <c:strCache>
                <c:ptCount val="37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</c:strCache>
            </c:strRef>
          </c:cat>
          <c:val>
            <c:numRef>
              <c:f>'TopSales-Years'!$D$4:$D$41</c:f>
              <c:numCache>
                <c:formatCode>General</c:formatCode>
                <c:ptCount val="37"/>
                <c:pt idx="0">
                  <c:v>0.12</c:v>
                </c:pt>
                <c:pt idx="1">
                  <c:v>0.32000000000000006</c:v>
                </c:pt>
                <c:pt idx="2">
                  <c:v>0.31000000000000005</c:v>
                </c:pt>
                <c:pt idx="3">
                  <c:v>0.13999999999999999</c:v>
                </c:pt>
                <c:pt idx="4">
                  <c:v>0.70000000000000018</c:v>
                </c:pt>
                <c:pt idx="5">
                  <c:v>0.92</c:v>
                </c:pt>
                <c:pt idx="6">
                  <c:v>1.9300000000000004</c:v>
                </c:pt>
                <c:pt idx="7">
                  <c:v>0.19999999999999998</c:v>
                </c:pt>
                <c:pt idx="8">
                  <c:v>0.9900000000000001</c:v>
                </c:pt>
                <c:pt idx="9">
                  <c:v>1.5</c:v>
                </c:pt>
                <c:pt idx="10">
                  <c:v>1.4000000000000001</c:v>
                </c:pt>
                <c:pt idx="11">
                  <c:v>0.7400000000000001</c:v>
                </c:pt>
                <c:pt idx="12">
                  <c:v>1.6500000000000001</c:v>
                </c:pt>
                <c:pt idx="13">
                  <c:v>0.89000000000000012</c:v>
                </c:pt>
                <c:pt idx="14">
                  <c:v>2.2000000000000002</c:v>
                </c:pt>
                <c:pt idx="15">
                  <c:v>2.6899999999999991</c:v>
                </c:pt>
                <c:pt idx="16">
                  <c:v>7.6899999999999933</c:v>
                </c:pt>
                <c:pt idx="17">
                  <c:v>9.1299999999999777</c:v>
                </c:pt>
                <c:pt idx="18">
                  <c:v>11.329999999999972</c:v>
                </c:pt>
                <c:pt idx="19">
                  <c:v>10.649999999999975</c:v>
                </c:pt>
                <c:pt idx="20">
                  <c:v>12.469999999999978</c:v>
                </c:pt>
                <c:pt idx="21">
                  <c:v>23.160000000000025</c:v>
                </c:pt>
                <c:pt idx="22">
                  <c:v>27.330000000000037</c:v>
                </c:pt>
                <c:pt idx="23">
                  <c:v>26.01000000000003</c:v>
                </c:pt>
                <c:pt idx="24">
                  <c:v>47.429999999999971</c:v>
                </c:pt>
                <c:pt idx="25">
                  <c:v>41.05000000000004</c:v>
                </c:pt>
                <c:pt idx="26">
                  <c:v>55.529999999999973</c:v>
                </c:pt>
                <c:pt idx="27">
                  <c:v>79.580000000000084</c:v>
                </c:pt>
                <c:pt idx="28">
                  <c:v>84.84000000000006</c:v>
                </c:pt>
                <c:pt idx="29">
                  <c:v>76.329999999999885</c:v>
                </c:pt>
                <c:pt idx="30">
                  <c:v>60.969999999999963</c:v>
                </c:pt>
                <c:pt idx="31">
                  <c:v>56.51999999999996</c:v>
                </c:pt>
                <c:pt idx="32">
                  <c:v>40.159999999999975</c:v>
                </c:pt>
                <c:pt idx="33">
                  <c:v>42.379999999999939</c:v>
                </c:pt>
                <c:pt idx="34">
                  <c:v>42.260000000000026</c:v>
                </c:pt>
                <c:pt idx="35">
                  <c:v>32.6400000000001</c:v>
                </c:pt>
                <c:pt idx="36">
                  <c:v>9.0199999999999871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F7D-4724-BF4D-F8A7A31CEAA5}"/>
            </c:ext>
          </c:extLst>
        </c:ser>
        <c:ser>
          <c:idx val="3"/>
          <c:order val="3"/>
          <c:tx>
            <c:strRef>
              <c:f>'TopSales-Years'!$E$3</c:f>
              <c:strCache>
                <c:ptCount val="1"/>
                <c:pt idx="0">
                  <c:v>Sum of JP_Sales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'TopSales-Years'!$A$4:$A$41</c:f>
              <c:strCache>
                <c:ptCount val="37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</c:strCache>
            </c:strRef>
          </c:cat>
          <c:val>
            <c:numRef>
              <c:f>'TopSales-Years'!$E$4:$E$41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8.1</c:v>
                </c:pt>
                <c:pt idx="4">
                  <c:v>14.27</c:v>
                </c:pt>
                <c:pt idx="5">
                  <c:v>14.56</c:v>
                </c:pt>
                <c:pt idx="6">
                  <c:v>19.810000000000002</c:v>
                </c:pt>
                <c:pt idx="7">
                  <c:v>11.630000000000003</c:v>
                </c:pt>
                <c:pt idx="8">
                  <c:v>15.76</c:v>
                </c:pt>
                <c:pt idx="9">
                  <c:v>18.360000000000003</c:v>
                </c:pt>
                <c:pt idx="10">
                  <c:v>14.880000000000003</c:v>
                </c:pt>
                <c:pt idx="11">
                  <c:v>14.780000000000003</c:v>
                </c:pt>
                <c:pt idx="12">
                  <c:v>28.91</c:v>
                </c:pt>
                <c:pt idx="13">
                  <c:v>25.330000000000013</c:v>
                </c:pt>
                <c:pt idx="14">
                  <c:v>33.99</c:v>
                </c:pt>
                <c:pt idx="15">
                  <c:v>45.749999999999993</c:v>
                </c:pt>
                <c:pt idx="16">
                  <c:v>57.439999999999984</c:v>
                </c:pt>
                <c:pt idx="17">
                  <c:v>48.87</c:v>
                </c:pt>
                <c:pt idx="18">
                  <c:v>50.040000000000013</c:v>
                </c:pt>
                <c:pt idx="19">
                  <c:v>52.340000000000011</c:v>
                </c:pt>
                <c:pt idx="20">
                  <c:v>42.770000000000024</c:v>
                </c:pt>
                <c:pt idx="21">
                  <c:v>39.860000000000014</c:v>
                </c:pt>
                <c:pt idx="22">
                  <c:v>41.759999999999991</c:v>
                </c:pt>
                <c:pt idx="23">
                  <c:v>34.199999999999996</c:v>
                </c:pt>
                <c:pt idx="24">
                  <c:v>41.65</c:v>
                </c:pt>
                <c:pt idx="25">
                  <c:v>54.280000000000015</c:v>
                </c:pt>
                <c:pt idx="26">
                  <c:v>73.730000000000075</c:v>
                </c:pt>
                <c:pt idx="27">
                  <c:v>60.330000000000041</c:v>
                </c:pt>
                <c:pt idx="28">
                  <c:v>60.379999999999974</c:v>
                </c:pt>
                <c:pt idx="29">
                  <c:v>61.929999999999986</c:v>
                </c:pt>
                <c:pt idx="30">
                  <c:v>59.530000000000129</c:v>
                </c:pt>
                <c:pt idx="31">
                  <c:v>53.039999999999992</c:v>
                </c:pt>
                <c:pt idx="32">
                  <c:v>51.74000000000013</c:v>
                </c:pt>
                <c:pt idx="33">
                  <c:v>47.630000000000067</c:v>
                </c:pt>
                <c:pt idx="34">
                  <c:v>39.45999999999998</c:v>
                </c:pt>
                <c:pt idx="35">
                  <c:v>33.720000000000013</c:v>
                </c:pt>
                <c:pt idx="36">
                  <c:v>13.699999999999982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F7D-4724-BF4D-F8A7A31CEA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1575551"/>
        <c:axId val="1161568895"/>
      </c:lineChart>
      <c:catAx>
        <c:axId val="1161575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1568895"/>
        <c:crosses val="autoZero"/>
        <c:auto val="1"/>
        <c:lblAlgn val="ctr"/>
        <c:lblOffset val="100"/>
        <c:noMultiLvlLbl val="0"/>
      </c:catAx>
      <c:valAx>
        <c:axId val="1161568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1575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1.10.xlsx]Years 2010 to 2016!PivotTable1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'Years 2010 to 2016'!$B$3</c:f>
              <c:strCache>
                <c:ptCount val="1"/>
                <c:pt idx="0">
                  <c:v>Sum of NA_Sales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'Years 2010 to 2016'!$A$4:$A$11</c:f>
              <c:strCach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</c:strCache>
            </c:strRef>
          </c:cat>
          <c:val>
            <c:numRef>
              <c:f>'Years 2010 to 2016'!$B$4:$B$11</c:f>
              <c:numCache>
                <c:formatCode>General</c:formatCode>
                <c:ptCount val="7"/>
                <c:pt idx="0">
                  <c:v>304.24000000000046</c:v>
                </c:pt>
                <c:pt idx="1">
                  <c:v>241.06000000000063</c:v>
                </c:pt>
                <c:pt idx="2">
                  <c:v>154.95999999999998</c:v>
                </c:pt>
                <c:pt idx="3">
                  <c:v>154.77000000000018</c:v>
                </c:pt>
                <c:pt idx="4">
                  <c:v>131.97000000000003</c:v>
                </c:pt>
                <c:pt idx="5">
                  <c:v>102.81999999999994</c:v>
                </c:pt>
                <c:pt idx="6">
                  <c:v>22.660000000000011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B9-421F-92D0-34BE4076CC4F}"/>
            </c:ext>
          </c:extLst>
        </c:ser>
        <c:ser>
          <c:idx val="1"/>
          <c:order val="1"/>
          <c:tx>
            <c:strRef>
              <c:f>'Years 2010 to 2016'!$C$3</c:f>
              <c:strCache>
                <c:ptCount val="1"/>
                <c:pt idx="0">
                  <c:v>Sum of EU_Sales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'Years 2010 to 2016'!$A$4:$A$11</c:f>
              <c:strCach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</c:strCache>
            </c:strRef>
          </c:cat>
          <c:val>
            <c:numRef>
              <c:f>'Years 2010 to 2016'!$C$4:$C$11</c:f>
              <c:numCache>
                <c:formatCode>General</c:formatCode>
                <c:ptCount val="7"/>
                <c:pt idx="0">
                  <c:v>176.87999999999997</c:v>
                </c:pt>
                <c:pt idx="1">
                  <c:v>167.4400000000004</c:v>
                </c:pt>
                <c:pt idx="2">
                  <c:v>118.78000000000002</c:v>
                </c:pt>
                <c:pt idx="3">
                  <c:v>125.95000000000005</c:v>
                </c:pt>
                <c:pt idx="4">
                  <c:v>125.65000000000003</c:v>
                </c:pt>
                <c:pt idx="5">
                  <c:v>97.710000000000008</c:v>
                </c:pt>
                <c:pt idx="6">
                  <c:v>26.759999999999987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B9-421F-92D0-34BE4076CC4F}"/>
            </c:ext>
          </c:extLst>
        </c:ser>
        <c:ser>
          <c:idx val="2"/>
          <c:order val="2"/>
          <c:tx>
            <c:strRef>
              <c:f>'Years 2010 to 2016'!$D$3</c:f>
              <c:strCache>
                <c:ptCount val="1"/>
                <c:pt idx="0">
                  <c:v>Sum of Other_Sales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'Years 2010 to 2016'!$A$4:$A$11</c:f>
              <c:strCach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</c:strCache>
            </c:strRef>
          </c:cat>
          <c:val>
            <c:numRef>
              <c:f>'Years 2010 to 2016'!$D$4:$D$11</c:f>
              <c:numCache>
                <c:formatCode>General</c:formatCode>
                <c:ptCount val="7"/>
                <c:pt idx="0">
                  <c:v>60.970000000000027</c:v>
                </c:pt>
                <c:pt idx="1">
                  <c:v>56.519999999999939</c:v>
                </c:pt>
                <c:pt idx="2">
                  <c:v>40.160000000000018</c:v>
                </c:pt>
                <c:pt idx="3">
                  <c:v>42.380000000000038</c:v>
                </c:pt>
                <c:pt idx="4">
                  <c:v>42.260000000000062</c:v>
                </c:pt>
                <c:pt idx="5">
                  <c:v>32.640000000000029</c:v>
                </c:pt>
                <c:pt idx="6">
                  <c:v>9.01999999999998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B9-421F-92D0-34BE4076CC4F}"/>
            </c:ext>
          </c:extLst>
        </c:ser>
        <c:ser>
          <c:idx val="3"/>
          <c:order val="3"/>
          <c:tx>
            <c:strRef>
              <c:f>'Years 2010 to 2016'!$E$3</c:f>
              <c:strCache>
                <c:ptCount val="1"/>
                <c:pt idx="0">
                  <c:v>Sum of JP_Sales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'Years 2010 to 2016'!$A$4:$A$11</c:f>
              <c:strCach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</c:strCache>
            </c:strRef>
          </c:cat>
          <c:val>
            <c:numRef>
              <c:f>'Years 2010 to 2016'!$E$4:$E$11</c:f>
              <c:numCache>
                <c:formatCode>General</c:formatCode>
                <c:ptCount val="7"/>
                <c:pt idx="0">
                  <c:v>59.530000000000079</c:v>
                </c:pt>
                <c:pt idx="1">
                  <c:v>53.04000000000007</c:v>
                </c:pt>
                <c:pt idx="2">
                  <c:v>51.74000000000003</c:v>
                </c:pt>
                <c:pt idx="3">
                  <c:v>47.630000000000024</c:v>
                </c:pt>
                <c:pt idx="4">
                  <c:v>39.460000000000022</c:v>
                </c:pt>
                <c:pt idx="5">
                  <c:v>33.720000000000013</c:v>
                </c:pt>
                <c:pt idx="6">
                  <c:v>13.699999999999973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CB9-421F-92D0-34BE4076CC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031663"/>
        <c:axId val="35036655"/>
      </c:lineChart>
      <c:catAx>
        <c:axId val="35031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6655"/>
        <c:crosses val="autoZero"/>
        <c:auto val="1"/>
        <c:lblAlgn val="ctr"/>
        <c:lblOffset val="100"/>
        <c:noMultiLvlLbl val="0"/>
      </c:catAx>
      <c:valAx>
        <c:axId val="35036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1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1.10.xlsx]Sales Per Market!PivotTable9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MARKET</a:t>
            </a:r>
            <a:r>
              <a:rPr lang="en-US" baseline="0"/>
              <a:t>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6.0856716360284453E-2"/>
          <c:y val="0.12874586955155864"/>
          <c:w val="0.63564608696997349"/>
          <c:h val="0.73060974843533422"/>
        </c:manualLayout>
      </c:layout>
      <c:lineChart>
        <c:grouping val="standard"/>
        <c:varyColors val="0"/>
        <c:ser>
          <c:idx val="0"/>
          <c:order val="0"/>
          <c:tx>
            <c:strRef>
              <c:f>'Sales Per Market'!$L$58</c:f>
              <c:strCache>
                <c:ptCount val="1"/>
                <c:pt idx="0">
                  <c:v>Sum of Portion of NA Sales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6">
                    <a:lumMod val="60000"/>
                    <a:lumOff val="4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'Sales Per Market'!$K$59:$K$66</c:f>
              <c:strCach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</c:strCache>
            </c:strRef>
          </c:cat>
          <c:val>
            <c:numRef>
              <c:f>'Sales Per Market'!$L$59:$L$66</c:f>
              <c:numCache>
                <c:formatCode>0%</c:formatCode>
                <c:ptCount val="7"/>
                <c:pt idx="0">
                  <c:v>0.50627350484241795</c:v>
                </c:pt>
                <c:pt idx="1">
                  <c:v>0.46717959650381274</c:v>
                </c:pt>
                <c:pt idx="2">
                  <c:v>0.42625295703361593</c:v>
                </c:pt>
                <c:pt idx="3">
                  <c:v>0.41988605534454876</c:v>
                </c:pt>
                <c:pt idx="4">
                  <c:v>0.39154428126390978</c:v>
                </c:pt>
                <c:pt idx="5">
                  <c:v>0.38882166086825259</c:v>
                </c:pt>
                <c:pt idx="6">
                  <c:v>0.31946989990131142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40-4F41-B5F1-610D7577146A}"/>
            </c:ext>
          </c:extLst>
        </c:ser>
        <c:ser>
          <c:idx val="1"/>
          <c:order val="1"/>
          <c:tx>
            <c:strRef>
              <c:f>'Sales Per Market'!$M$58</c:f>
              <c:strCache>
                <c:ptCount val="1"/>
                <c:pt idx="0">
                  <c:v>Sum of Portion of EU Sales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5">
                    <a:lumMod val="60000"/>
                    <a:lumOff val="4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'Sales Per Market'!$K$59:$K$66</c:f>
              <c:strCach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</c:strCache>
            </c:strRef>
          </c:cat>
          <c:val>
            <c:numRef>
              <c:f>'Sales Per Market'!$M$59:$M$66</c:f>
              <c:numCache>
                <c:formatCode>0%</c:formatCode>
                <c:ptCount val="7"/>
                <c:pt idx="0">
                  <c:v>0.29433886910507151</c:v>
                </c:pt>
                <c:pt idx="1">
                  <c:v>0.32450241283746045</c:v>
                </c:pt>
                <c:pt idx="2">
                  <c:v>0.326731583869727</c:v>
                </c:pt>
                <c:pt idx="3">
                  <c:v>0.34169831795984951</c:v>
                </c:pt>
                <c:pt idx="4">
                  <c:v>0.37279335410176734</c:v>
                </c:pt>
                <c:pt idx="5">
                  <c:v>0.3694978066858296</c:v>
                </c:pt>
                <c:pt idx="6">
                  <c:v>0.37727336810940382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740-4F41-B5F1-610D7577146A}"/>
            </c:ext>
          </c:extLst>
        </c:ser>
        <c:ser>
          <c:idx val="2"/>
          <c:order val="2"/>
          <c:tx>
            <c:strRef>
              <c:f>'Sales Per Market'!$N$58</c:f>
              <c:strCache>
                <c:ptCount val="1"/>
                <c:pt idx="0">
                  <c:v>Sum of Portion of JP Sales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4">
                    <a:lumMod val="60000"/>
                    <a:lumOff val="4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'Sales Per Market'!$K$59:$K$66</c:f>
              <c:strCach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</c:strCache>
            </c:strRef>
          </c:cat>
          <c:val>
            <c:numRef>
              <c:f>'Sales Per Market'!$N$59:$N$66</c:f>
              <c:numCache>
                <c:formatCode>0%</c:formatCode>
                <c:ptCount val="7"/>
                <c:pt idx="0">
                  <c:v>9.9061470363099022E-2</c:v>
                </c:pt>
                <c:pt idx="1">
                  <c:v>0.10279268978081048</c:v>
                </c:pt>
                <c:pt idx="2">
                  <c:v>0.14232271551961367</c:v>
                </c:pt>
                <c:pt idx="3">
                  <c:v>0.12921866521975103</c:v>
                </c:pt>
                <c:pt idx="4">
                  <c:v>0.11707461800919823</c:v>
                </c:pt>
                <c:pt idx="5">
                  <c:v>0.12751474814702915</c:v>
                </c:pt>
                <c:pt idx="6">
                  <c:v>0.19314817425630823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740-4F41-B5F1-610D7577146A}"/>
            </c:ext>
          </c:extLst>
        </c:ser>
        <c:ser>
          <c:idx val="3"/>
          <c:order val="3"/>
          <c:tx>
            <c:strRef>
              <c:f>'Sales Per Market'!$O$58</c:f>
              <c:strCache>
                <c:ptCount val="1"/>
                <c:pt idx="0">
                  <c:v>Sum of Portion of Other Sales</c:v>
                </c:pt>
              </c:strCache>
            </c:strRef>
          </c:tx>
          <c:spPr>
            <a:ln w="34925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bg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'Sales Per Market'!$K$59:$K$66</c:f>
              <c:strCach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</c:strCache>
            </c:strRef>
          </c:cat>
          <c:val>
            <c:numRef>
              <c:f>'Sales Per Market'!$O$59:$O$66</c:f>
              <c:numCache>
                <c:formatCode>0%</c:formatCode>
                <c:ptCount val="7"/>
                <c:pt idx="0">
                  <c:v>0.10145771624455083</c:v>
                </c:pt>
                <c:pt idx="1">
                  <c:v>0.10953700653113441</c:v>
                </c:pt>
                <c:pt idx="2">
                  <c:v>0.11046927435770494</c:v>
                </c:pt>
                <c:pt idx="3">
                  <c:v>0.11497558328811727</c:v>
                </c:pt>
                <c:pt idx="4">
                  <c:v>0.1253819908025518</c:v>
                </c:pt>
                <c:pt idx="5">
                  <c:v>0.12343064589320968</c:v>
                </c:pt>
                <c:pt idx="6">
                  <c:v>0.12716763005780313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740-4F41-B5F1-610D757714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5040719"/>
        <c:axId val="765028655"/>
      </c:lineChart>
      <c:catAx>
        <c:axId val="7650407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5028655"/>
        <c:crosses val="autoZero"/>
        <c:auto val="1"/>
        <c:lblAlgn val="ctr"/>
        <c:lblOffset val="100"/>
        <c:noMultiLvlLbl val="0"/>
      </c:catAx>
      <c:valAx>
        <c:axId val="765028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mARLET SHARES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5040719"/>
        <c:crosses val="autoZero"/>
        <c:crossBetween val="between"/>
      </c:valAx>
      <c:spPr>
        <a:noFill/>
        <a:ln>
          <a:solidFill>
            <a:schemeClr val="accent1"/>
          </a:solidFill>
          <a:prstDash val="sysDash"/>
        </a:ln>
        <a:effectLst/>
      </c:spPr>
    </c:plotArea>
    <c:legend>
      <c:legendPos val="r"/>
      <c:layout>
        <c:manualLayout>
          <c:xMode val="edge"/>
          <c:yMode val="edge"/>
          <c:x val="0.68943135649625809"/>
          <c:y val="0.20699105641285456"/>
          <c:w val="0.29589354603635815"/>
          <c:h val="0.676327672896309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accent3">
            <a:lumMod val="89000"/>
          </a:schemeClr>
        </a:gs>
        <a:gs pos="23000">
          <a:schemeClr val="accent3">
            <a:lumMod val="89000"/>
          </a:schemeClr>
        </a:gs>
        <a:gs pos="69000">
          <a:schemeClr val="accent3">
            <a:lumMod val="75000"/>
          </a:schemeClr>
        </a:gs>
        <a:gs pos="97000">
          <a:schemeClr val="accent3">
            <a:lumMod val="70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3</Pages>
  <Words>724</Words>
  <Characters>3342</Characters>
  <Application>Microsoft Office Word</Application>
  <DocSecurity>0</DocSecurity>
  <Lines>72</Lines>
  <Paragraphs>11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Jaramillo Cabrera</dc:creator>
  <cp:keywords/>
  <dc:description/>
  <cp:lastModifiedBy>Maria Jaramillo Cabrera</cp:lastModifiedBy>
  <cp:revision>160</cp:revision>
  <dcterms:created xsi:type="dcterms:W3CDTF">2023-02-28T00:45:00Z</dcterms:created>
  <dcterms:modified xsi:type="dcterms:W3CDTF">2023-12-03T17:09:00Z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5c6a005d-0d16-4d1f-8969-0452dd7bd3a6</vt:lpwstr>
  </property>
</Properties>
</file>