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9D93F" w14:textId="77777777" w:rsidR="00CC5CF7" w:rsidRDefault="00B80A2D">
      <w:pPr>
        <w:spacing w:before="14" w:after="559"/>
        <w:ind w:left="4" w:right="5112"/>
        <w:textAlignment w:val="baseline"/>
      </w:pPr>
      <w:r>
        <w:rPr>
          <w:noProof/>
        </w:rPr>
        <w:drawing>
          <wp:inline distT="0" distB="0" distL="0" distR="0" wp14:anchorId="4AC9D964" wp14:editId="4AC9D965">
            <wp:extent cx="2466340" cy="691515"/>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pic:cNvPicPr preferRelativeResize="0"/>
                  </pic:nvPicPr>
                  <pic:blipFill>
                    <a:blip r:embed="rId7"/>
                    <a:stretch>
                      <a:fillRect/>
                    </a:stretch>
                  </pic:blipFill>
                  <pic:spPr>
                    <a:xfrm>
                      <a:off x="0" y="0"/>
                      <a:ext cx="2466340" cy="691515"/>
                    </a:xfrm>
                    <a:prstGeom prst="rect">
                      <a:avLst/>
                    </a:prstGeom>
                  </pic:spPr>
                </pic:pic>
              </a:graphicData>
            </a:graphic>
          </wp:inline>
        </w:drawing>
      </w:r>
    </w:p>
    <w:p w14:paraId="4AC9D940" w14:textId="77777777" w:rsidR="00CC5CF7" w:rsidRDefault="00B80A2D">
      <w:pPr>
        <w:spacing w:line="510" w:lineRule="exact"/>
        <w:jc w:val="center"/>
        <w:textAlignment w:val="baseline"/>
        <w:rPr>
          <w:rFonts w:ascii="Calibri Light" w:eastAsia="Calibri Light" w:hAnsi="Calibri Light"/>
          <w:color w:val="2E5395"/>
          <w:sz w:val="32"/>
        </w:rPr>
      </w:pPr>
      <w:r>
        <w:rPr>
          <w:rFonts w:ascii="Calibri Light" w:eastAsia="Calibri Light" w:hAnsi="Calibri Light"/>
          <w:color w:val="2E5395"/>
          <w:sz w:val="32"/>
        </w:rPr>
        <w:t xml:space="preserve">Barramundi Disease Surveillance Project </w:t>
      </w:r>
      <w:r>
        <w:rPr>
          <w:rFonts w:ascii="Calibri Light" w:eastAsia="Calibri Light" w:hAnsi="Calibri Light"/>
          <w:color w:val="2E5395"/>
          <w:sz w:val="32"/>
        </w:rPr>
        <w:br/>
        <w:t>Summary of results</w:t>
      </w:r>
    </w:p>
    <w:p w14:paraId="4AC9D941" w14:textId="77777777" w:rsidR="00CC5CF7" w:rsidRDefault="00B80A2D">
      <w:pPr>
        <w:spacing w:before="135" w:line="259" w:lineRule="exact"/>
        <w:jc w:val="center"/>
        <w:textAlignment w:val="baseline"/>
        <w:rPr>
          <w:rFonts w:ascii="Calibri Light" w:eastAsia="Calibri Light" w:hAnsi="Calibri Light"/>
          <w:color w:val="2E5395"/>
          <w:spacing w:val="-2"/>
          <w:sz w:val="26"/>
        </w:rPr>
      </w:pPr>
      <w:r>
        <w:rPr>
          <w:rFonts w:ascii="Calibri Light" w:eastAsia="Calibri Light" w:hAnsi="Calibri Light"/>
          <w:color w:val="2E5395"/>
          <w:spacing w:val="-2"/>
          <w:sz w:val="26"/>
        </w:rPr>
        <w:t>November 2021</w:t>
      </w:r>
    </w:p>
    <w:p w14:paraId="4AC9D942" w14:textId="77777777" w:rsidR="00CC5CF7" w:rsidRDefault="00B80A2D">
      <w:pPr>
        <w:spacing w:before="509" w:line="259" w:lineRule="exact"/>
        <w:textAlignment w:val="baseline"/>
        <w:rPr>
          <w:rFonts w:ascii="Calibri Light" w:eastAsia="Calibri Light" w:hAnsi="Calibri Light"/>
          <w:color w:val="2E5395"/>
          <w:spacing w:val="-3"/>
          <w:sz w:val="26"/>
        </w:rPr>
      </w:pPr>
      <w:r>
        <w:rPr>
          <w:rFonts w:ascii="Calibri Light" w:eastAsia="Calibri Light" w:hAnsi="Calibri Light"/>
          <w:color w:val="2E5395"/>
          <w:spacing w:val="-3"/>
          <w:sz w:val="26"/>
        </w:rPr>
        <w:t>Key points</w:t>
      </w:r>
    </w:p>
    <w:p w14:paraId="4AC9D943" w14:textId="77777777" w:rsidR="00CC5CF7" w:rsidRDefault="00B80A2D">
      <w:pPr>
        <w:numPr>
          <w:ilvl w:val="0"/>
          <w:numId w:val="1"/>
        </w:numPr>
        <w:spacing w:before="73" w:line="254" w:lineRule="exact"/>
        <w:ind w:left="360" w:right="432" w:hanging="360"/>
        <w:jc w:val="both"/>
        <w:textAlignment w:val="baseline"/>
        <w:rPr>
          <w:rFonts w:ascii="Calibri" w:eastAsia="Calibri" w:hAnsi="Calibri"/>
          <w:color w:val="000000"/>
        </w:rPr>
      </w:pPr>
      <w:r>
        <w:rPr>
          <w:rFonts w:ascii="Calibri" w:eastAsia="Calibri" w:hAnsi="Calibri"/>
          <w:color w:val="000000"/>
        </w:rPr>
        <w:t>A survey of Australian barramundi hatcheries for three significant exotic pathogens and one endemic pathogen was conducted from 2019 to 2021.</w:t>
      </w:r>
    </w:p>
    <w:p w14:paraId="4AC9D944" w14:textId="77777777" w:rsidR="00CC5CF7" w:rsidRDefault="00B80A2D">
      <w:pPr>
        <w:numPr>
          <w:ilvl w:val="0"/>
          <w:numId w:val="1"/>
        </w:numPr>
        <w:spacing w:line="578" w:lineRule="exact"/>
        <w:ind w:left="360" w:right="1944" w:hanging="360"/>
        <w:textAlignment w:val="baseline"/>
        <w:rPr>
          <w:rFonts w:ascii="Calibri" w:eastAsia="Calibri" w:hAnsi="Calibri"/>
          <w:b/>
          <w:color w:val="000000"/>
        </w:rPr>
      </w:pPr>
      <w:r>
        <w:rPr>
          <w:rFonts w:ascii="Calibri" w:eastAsia="Calibri" w:hAnsi="Calibri"/>
          <w:b/>
          <w:color w:val="000000"/>
        </w:rPr>
        <w:t xml:space="preserve">All barramundi samples tested NEGATIVE for the targeted disease agents. </w:t>
      </w:r>
      <w:r>
        <w:rPr>
          <w:rFonts w:ascii="Calibri Light" w:eastAsia="Calibri Light" w:hAnsi="Calibri Light"/>
          <w:color w:val="2E5395"/>
          <w:sz w:val="26"/>
        </w:rPr>
        <w:t>What did we do?</w:t>
      </w:r>
    </w:p>
    <w:p w14:paraId="4AC9D945" w14:textId="77777777" w:rsidR="00CC5CF7" w:rsidRDefault="00B80A2D">
      <w:pPr>
        <w:numPr>
          <w:ilvl w:val="0"/>
          <w:numId w:val="1"/>
        </w:numPr>
        <w:spacing w:before="81" w:line="250" w:lineRule="exact"/>
        <w:ind w:left="360" w:right="504" w:hanging="360"/>
        <w:textAlignment w:val="baseline"/>
        <w:rPr>
          <w:rFonts w:ascii="Calibri" w:eastAsia="Calibri" w:hAnsi="Calibri"/>
          <w:color w:val="000000"/>
        </w:rPr>
      </w:pPr>
      <w:r>
        <w:rPr>
          <w:rFonts w:ascii="Calibri" w:eastAsia="Calibri" w:hAnsi="Calibri"/>
          <w:color w:val="000000"/>
        </w:rPr>
        <w:t>Six Australian barramundi hatcheries participated in a voluntary survey for three significant barramundi (</w:t>
      </w:r>
      <w:r>
        <w:rPr>
          <w:rFonts w:ascii="Calibri" w:eastAsia="Calibri" w:hAnsi="Calibri"/>
          <w:i/>
          <w:color w:val="000000"/>
        </w:rPr>
        <w:t>Lates calcarifer</w:t>
      </w:r>
      <w:r>
        <w:rPr>
          <w:rFonts w:ascii="Calibri" w:eastAsia="Calibri" w:hAnsi="Calibri"/>
          <w:color w:val="000000"/>
        </w:rPr>
        <w:t>) disease agents from 2019 to 2021.</w:t>
      </w:r>
    </w:p>
    <w:p w14:paraId="4AC9D946" w14:textId="77777777" w:rsidR="00CC5CF7" w:rsidRDefault="00B80A2D">
      <w:pPr>
        <w:numPr>
          <w:ilvl w:val="0"/>
          <w:numId w:val="1"/>
        </w:numPr>
        <w:spacing w:before="180" w:line="233" w:lineRule="exact"/>
        <w:ind w:left="360" w:hanging="360"/>
        <w:textAlignment w:val="baseline"/>
        <w:rPr>
          <w:rFonts w:ascii="Calibri" w:eastAsia="Calibri" w:hAnsi="Calibri"/>
          <w:color w:val="000000"/>
        </w:rPr>
      </w:pPr>
      <w:r>
        <w:rPr>
          <w:rFonts w:ascii="Calibri" w:eastAsia="Calibri" w:hAnsi="Calibri"/>
          <w:color w:val="000000"/>
        </w:rPr>
        <w:t>The disease agents targeted included:</w:t>
      </w:r>
    </w:p>
    <w:p w14:paraId="4AC9D947" w14:textId="77777777" w:rsidR="00CC5CF7" w:rsidRDefault="00B80A2D">
      <w:pPr>
        <w:numPr>
          <w:ilvl w:val="0"/>
          <w:numId w:val="2"/>
        </w:numPr>
        <w:tabs>
          <w:tab w:val="clear" w:pos="360"/>
          <w:tab w:val="left" w:pos="1080"/>
        </w:tabs>
        <w:spacing w:before="119" w:line="267" w:lineRule="exact"/>
        <w:ind w:left="1080" w:right="720" w:hanging="360"/>
        <w:textAlignment w:val="baseline"/>
        <w:rPr>
          <w:rFonts w:ascii="Calibri" w:eastAsia="Calibri" w:hAnsi="Calibri"/>
          <w:color w:val="000000"/>
        </w:rPr>
      </w:pPr>
      <w:r>
        <w:rPr>
          <w:rFonts w:ascii="Calibri" w:eastAsia="Calibri" w:hAnsi="Calibri"/>
          <w:color w:val="000000"/>
        </w:rPr>
        <w:t xml:space="preserve">two closely related exotic </w:t>
      </w:r>
      <w:proofErr w:type="spellStart"/>
      <w:r>
        <w:rPr>
          <w:rFonts w:ascii="Calibri" w:eastAsia="Calibri" w:hAnsi="Calibri"/>
          <w:color w:val="000000"/>
        </w:rPr>
        <w:t>megalocytiviruses</w:t>
      </w:r>
      <w:proofErr w:type="spellEnd"/>
      <w:r>
        <w:rPr>
          <w:rFonts w:ascii="Calibri" w:eastAsia="Calibri" w:hAnsi="Calibri"/>
          <w:color w:val="000000"/>
        </w:rPr>
        <w:t>; red sea bream iridovirus (RSIV) and infectious spleen and kidney necrosis virus (ISKNV).</w:t>
      </w:r>
    </w:p>
    <w:p w14:paraId="4AC9D948" w14:textId="77777777" w:rsidR="00CC5CF7" w:rsidRDefault="00B80A2D">
      <w:pPr>
        <w:numPr>
          <w:ilvl w:val="0"/>
          <w:numId w:val="2"/>
        </w:numPr>
        <w:tabs>
          <w:tab w:val="clear" w:pos="360"/>
          <w:tab w:val="left" w:pos="1080"/>
        </w:tabs>
        <w:spacing w:before="163" w:line="221" w:lineRule="exact"/>
        <w:ind w:left="1080" w:hanging="360"/>
        <w:textAlignment w:val="baseline"/>
        <w:rPr>
          <w:rFonts w:ascii="Calibri" w:eastAsia="Calibri" w:hAnsi="Calibri"/>
          <w:color w:val="000000"/>
        </w:rPr>
      </w:pPr>
      <w:r>
        <w:rPr>
          <w:rFonts w:ascii="Calibri" w:eastAsia="Calibri" w:hAnsi="Calibri"/>
          <w:color w:val="000000"/>
        </w:rPr>
        <w:t xml:space="preserve">a more divergent exotic </w:t>
      </w:r>
      <w:proofErr w:type="spellStart"/>
      <w:r>
        <w:rPr>
          <w:rFonts w:ascii="Calibri" w:eastAsia="Calibri" w:hAnsi="Calibri"/>
          <w:color w:val="000000"/>
        </w:rPr>
        <w:t>megalocytivirus</w:t>
      </w:r>
      <w:proofErr w:type="spellEnd"/>
      <w:r>
        <w:rPr>
          <w:rFonts w:ascii="Calibri" w:eastAsia="Calibri" w:hAnsi="Calibri"/>
          <w:color w:val="000000"/>
        </w:rPr>
        <w:t>, scale drop disease virus (SDDV).</w:t>
      </w:r>
    </w:p>
    <w:p w14:paraId="4AC9D949" w14:textId="77777777" w:rsidR="00CC5CF7" w:rsidRDefault="00B80A2D">
      <w:pPr>
        <w:numPr>
          <w:ilvl w:val="0"/>
          <w:numId w:val="2"/>
        </w:numPr>
        <w:tabs>
          <w:tab w:val="clear" w:pos="360"/>
          <w:tab w:val="left" w:pos="1080"/>
        </w:tabs>
        <w:spacing w:before="167" w:line="222" w:lineRule="exact"/>
        <w:ind w:left="1080" w:hanging="360"/>
        <w:textAlignment w:val="baseline"/>
        <w:rPr>
          <w:rFonts w:ascii="Calibri" w:eastAsia="Calibri" w:hAnsi="Calibri"/>
          <w:color w:val="000000"/>
        </w:rPr>
      </w:pPr>
      <w:r>
        <w:rPr>
          <w:rFonts w:ascii="Calibri" w:eastAsia="Calibri" w:hAnsi="Calibri"/>
          <w:color w:val="000000"/>
        </w:rPr>
        <w:t xml:space="preserve">a </w:t>
      </w:r>
      <w:proofErr w:type="spellStart"/>
      <w:r>
        <w:rPr>
          <w:rFonts w:ascii="Calibri" w:eastAsia="Calibri" w:hAnsi="Calibri"/>
          <w:color w:val="000000"/>
        </w:rPr>
        <w:t>nodavirus</w:t>
      </w:r>
      <w:proofErr w:type="spellEnd"/>
      <w:r>
        <w:rPr>
          <w:rFonts w:ascii="Calibri" w:eastAsia="Calibri" w:hAnsi="Calibri"/>
          <w:color w:val="000000"/>
        </w:rPr>
        <w:t xml:space="preserve"> that occurs in parts of Australia; nervous necrosis virus (NNV).</w:t>
      </w:r>
    </w:p>
    <w:p w14:paraId="4AC9D94A" w14:textId="77777777" w:rsidR="00CC5CF7" w:rsidRDefault="00B80A2D">
      <w:pPr>
        <w:spacing w:before="485" w:line="259" w:lineRule="exact"/>
        <w:textAlignment w:val="baseline"/>
        <w:rPr>
          <w:rFonts w:ascii="Calibri Light" w:eastAsia="Calibri Light" w:hAnsi="Calibri Light"/>
          <w:color w:val="2E5395"/>
          <w:sz w:val="26"/>
        </w:rPr>
      </w:pPr>
      <w:r>
        <w:rPr>
          <w:rFonts w:ascii="Calibri Light" w:eastAsia="Calibri Light" w:hAnsi="Calibri Light"/>
          <w:color w:val="2E5395"/>
          <w:sz w:val="26"/>
        </w:rPr>
        <w:t>What did we want to know?</w:t>
      </w:r>
    </w:p>
    <w:p w14:paraId="4AC9D94B" w14:textId="77777777" w:rsidR="00CC5CF7" w:rsidRDefault="00B80A2D">
      <w:pPr>
        <w:numPr>
          <w:ilvl w:val="0"/>
          <w:numId w:val="1"/>
        </w:numPr>
        <w:spacing w:before="77" w:line="254" w:lineRule="exact"/>
        <w:ind w:left="360" w:right="72" w:hanging="360"/>
        <w:textAlignment w:val="baseline"/>
        <w:rPr>
          <w:rFonts w:ascii="Calibri" w:eastAsia="Calibri" w:hAnsi="Calibri"/>
          <w:color w:val="000000"/>
        </w:rPr>
      </w:pPr>
      <w:r>
        <w:rPr>
          <w:rFonts w:ascii="Calibri" w:eastAsia="Calibri" w:hAnsi="Calibri"/>
          <w:color w:val="000000"/>
        </w:rPr>
        <w:t>The project aimed to strengthen Australia’s animal health status claims for barramundi diseases of national and trade significance.</w:t>
      </w:r>
    </w:p>
    <w:p w14:paraId="4AC9D94C" w14:textId="77777777" w:rsidR="00CC5CF7" w:rsidRDefault="00B80A2D">
      <w:pPr>
        <w:spacing w:before="490" w:line="259" w:lineRule="exact"/>
        <w:textAlignment w:val="baseline"/>
        <w:rPr>
          <w:rFonts w:ascii="Calibri Light" w:eastAsia="Calibri Light" w:hAnsi="Calibri Light"/>
          <w:color w:val="2E5395"/>
          <w:spacing w:val="-1"/>
          <w:sz w:val="26"/>
        </w:rPr>
      </w:pPr>
      <w:r>
        <w:rPr>
          <w:rFonts w:ascii="Calibri Light" w:eastAsia="Calibri Light" w:hAnsi="Calibri Light"/>
          <w:color w:val="2E5395"/>
          <w:spacing w:val="-1"/>
          <w:sz w:val="26"/>
        </w:rPr>
        <w:t xml:space="preserve">How did we test </w:t>
      </w:r>
      <w:r>
        <w:rPr>
          <w:rFonts w:ascii="Calibri Light" w:eastAsia="Calibri Light" w:hAnsi="Calibri Light"/>
          <w:color w:val="2E5395"/>
          <w:spacing w:val="-1"/>
          <w:sz w:val="26"/>
        </w:rPr>
        <w:t>samples?</w:t>
      </w:r>
    </w:p>
    <w:p w14:paraId="4AC9D94D" w14:textId="77777777" w:rsidR="00CC5CF7" w:rsidRDefault="00B80A2D">
      <w:pPr>
        <w:numPr>
          <w:ilvl w:val="0"/>
          <w:numId w:val="1"/>
        </w:numPr>
        <w:spacing w:before="186" w:line="267" w:lineRule="exact"/>
        <w:ind w:left="360" w:right="144" w:hanging="360"/>
        <w:jc w:val="both"/>
        <w:textAlignment w:val="baseline"/>
        <w:rPr>
          <w:rFonts w:ascii="Calibri" w:eastAsia="Calibri" w:hAnsi="Calibri"/>
          <w:color w:val="000000"/>
        </w:rPr>
      </w:pPr>
      <w:r>
        <w:rPr>
          <w:rFonts w:ascii="Calibri" w:eastAsia="Calibri" w:hAnsi="Calibri"/>
          <w:color w:val="000000"/>
        </w:rPr>
        <w:t xml:space="preserve">The survey involved nationally consistent sampling design, case definitions, diagnostic </w:t>
      </w:r>
      <w:proofErr w:type="gramStart"/>
      <w:r>
        <w:rPr>
          <w:rFonts w:ascii="Calibri" w:eastAsia="Calibri" w:hAnsi="Calibri"/>
          <w:color w:val="000000"/>
        </w:rPr>
        <w:t>methods</w:t>
      </w:r>
      <w:proofErr w:type="gramEnd"/>
      <w:r>
        <w:rPr>
          <w:rFonts w:ascii="Calibri" w:eastAsia="Calibri" w:hAnsi="Calibri"/>
          <w:color w:val="000000"/>
        </w:rPr>
        <w:t xml:space="preserve"> and evaluation of laboratory performance.</w:t>
      </w:r>
    </w:p>
    <w:p w14:paraId="4AC9D94E" w14:textId="77777777" w:rsidR="00CC5CF7" w:rsidRDefault="00B80A2D">
      <w:pPr>
        <w:numPr>
          <w:ilvl w:val="0"/>
          <w:numId w:val="1"/>
        </w:numPr>
        <w:spacing w:before="157" w:line="267" w:lineRule="exact"/>
        <w:ind w:left="360" w:right="432" w:hanging="360"/>
        <w:jc w:val="both"/>
        <w:textAlignment w:val="baseline"/>
        <w:rPr>
          <w:rFonts w:ascii="Calibri" w:eastAsia="Calibri" w:hAnsi="Calibri"/>
          <w:color w:val="000000"/>
        </w:rPr>
      </w:pPr>
      <w:r>
        <w:rPr>
          <w:rFonts w:ascii="Calibri" w:eastAsia="Calibri" w:hAnsi="Calibri"/>
          <w:color w:val="000000"/>
        </w:rPr>
        <w:t>Quantitative polymerase chain reaction and conventional PCR (as appropriate) were used to detect the targeted disease agents.</w:t>
      </w:r>
    </w:p>
    <w:p w14:paraId="4AC9D94F" w14:textId="77777777" w:rsidR="00CC5CF7" w:rsidRDefault="00B80A2D">
      <w:pPr>
        <w:numPr>
          <w:ilvl w:val="0"/>
          <w:numId w:val="1"/>
        </w:numPr>
        <w:spacing w:before="185" w:line="233" w:lineRule="exact"/>
        <w:ind w:left="360" w:hanging="360"/>
        <w:jc w:val="both"/>
        <w:textAlignment w:val="baseline"/>
        <w:rPr>
          <w:rFonts w:ascii="Calibri" w:eastAsia="Calibri" w:hAnsi="Calibri"/>
          <w:color w:val="000000"/>
        </w:rPr>
      </w:pPr>
      <w:r>
        <w:rPr>
          <w:rFonts w:ascii="Calibri" w:eastAsia="Calibri" w:hAnsi="Calibri"/>
          <w:color w:val="000000"/>
        </w:rPr>
        <w:t>The following tissue samples were collected:</w:t>
      </w:r>
    </w:p>
    <w:p w14:paraId="4AC9D950" w14:textId="77777777" w:rsidR="00CC5CF7" w:rsidRDefault="00B80A2D">
      <w:pPr>
        <w:numPr>
          <w:ilvl w:val="0"/>
          <w:numId w:val="2"/>
        </w:numPr>
        <w:tabs>
          <w:tab w:val="clear" w:pos="360"/>
          <w:tab w:val="left" w:pos="1080"/>
        </w:tabs>
        <w:spacing w:before="124" w:line="267" w:lineRule="exact"/>
        <w:ind w:left="1080" w:right="144" w:hanging="360"/>
        <w:textAlignment w:val="baseline"/>
        <w:rPr>
          <w:rFonts w:ascii="Calibri" w:eastAsia="Calibri" w:hAnsi="Calibri"/>
          <w:color w:val="000000"/>
        </w:rPr>
      </w:pPr>
      <w:r>
        <w:rPr>
          <w:rFonts w:ascii="Calibri" w:eastAsia="Calibri" w:hAnsi="Calibri"/>
          <w:color w:val="000000"/>
        </w:rPr>
        <w:t xml:space="preserve">For </w:t>
      </w:r>
      <w:proofErr w:type="spellStart"/>
      <w:r>
        <w:rPr>
          <w:rFonts w:ascii="Calibri" w:eastAsia="Calibri" w:hAnsi="Calibri"/>
          <w:color w:val="000000"/>
        </w:rPr>
        <w:t>megalocytiviruses</w:t>
      </w:r>
      <w:proofErr w:type="spellEnd"/>
      <w:r>
        <w:rPr>
          <w:rFonts w:ascii="Calibri" w:eastAsia="Calibri" w:hAnsi="Calibri"/>
          <w:color w:val="000000"/>
        </w:rPr>
        <w:t xml:space="preserve"> (RSIV, ISKNV, SDDV) – fish body with both head and tail removed (containing spleen and kidney)</w:t>
      </w:r>
    </w:p>
    <w:p w14:paraId="4AC9D951" w14:textId="77777777" w:rsidR="00CC5CF7" w:rsidRDefault="00B80A2D">
      <w:pPr>
        <w:numPr>
          <w:ilvl w:val="0"/>
          <w:numId w:val="2"/>
        </w:numPr>
        <w:tabs>
          <w:tab w:val="clear" w:pos="360"/>
          <w:tab w:val="left" w:pos="1080"/>
        </w:tabs>
        <w:spacing w:before="167" w:line="221" w:lineRule="exact"/>
        <w:ind w:left="1080" w:hanging="360"/>
        <w:textAlignment w:val="baseline"/>
        <w:rPr>
          <w:rFonts w:ascii="Calibri" w:eastAsia="Calibri" w:hAnsi="Calibri"/>
          <w:color w:val="000000"/>
        </w:rPr>
      </w:pPr>
      <w:r>
        <w:rPr>
          <w:rFonts w:ascii="Calibri" w:eastAsia="Calibri" w:hAnsi="Calibri"/>
          <w:color w:val="000000"/>
        </w:rPr>
        <w:t>For NNV – fish head separated from the body (containing brain and eyes).</w:t>
      </w:r>
    </w:p>
    <w:p w14:paraId="4AC9D952" w14:textId="77777777" w:rsidR="00CC5CF7" w:rsidRDefault="00B80A2D">
      <w:pPr>
        <w:numPr>
          <w:ilvl w:val="0"/>
          <w:numId w:val="1"/>
        </w:numPr>
        <w:spacing w:before="135" w:after="1089" w:line="288" w:lineRule="exact"/>
        <w:ind w:left="360" w:hanging="360"/>
        <w:textAlignment w:val="baseline"/>
        <w:rPr>
          <w:rFonts w:ascii="Calibri" w:eastAsia="Calibri" w:hAnsi="Calibri"/>
          <w:color w:val="000000"/>
        </w:rPr>
      </w:pPr>
      <w:r>
        <w:rPr>
          <w:rFonts w:ascii="Calibri" w:eastAsia="Calibri" w:hAnsi="Calibri"/>
          <w:color w:val="000000"/>
        </w:rPr>
        <w:t xml:space="preserve">Government aquatic animal health officers collected samples from November 2019 to June 2021 in the Northern Territory, Queensland, </w:t>
      </w:r>
      <w:proofErr w:type="gramStart"/>
      <w:r>
        <w:rPr>
          <w:rFonts w:ascii="Calibri" w:eastAsia="Calibri" w:hAnsi="Calibri"/>
          <w:color w:val="000000"/>
        </w:rPr>
        <w:t>Victoria</w:t>
      </w:r>
      <w:proofErr w:type="gramEnd"/>
      <w:r>
        <w:rPr>
          <w:rFonts w:ascii="Calibri" w:eastAsia="Calibri" w:hAnsi="Calibri"/>
          <w:color w:val="000000"/>
        </w:rPr>
        <w:t xml:space="preserve"> and Western Australia.</w:t>
      </w:r>
    </w:p>
    <w:p w14:paraId="4AC9D953" w14:textId="77777777" w:rsidR="00CC5CF7" w:rsidRDefault="00CC5CF7">
      <w:pPr>
        <w:spacing w:before="135" w:after="1089" w:line="288" w:lineRule="exact"/>
        <w:sectPr w:rsidR="00CC5CF7">
          <w:pgSz w:w="11909" w:h="16838"/>
          <w:pgMar w:top="740" w:right="1459" w:bottom="682" w:left="1450" w:header="720" w:footer="720" w:gutter="0"/>
          <w:cols w:space="720"/>
        </w:sectPr>
      </w:pPr>
    </w:p>
    <w:p w14:paraId="4AC9D954" w14:textId="77777777" w:rsidR="00CC5CF7" w:rsidRDefault="00B80A2D">
      <w:pPr>
        <w:spacing w:before="26" w:line="220" w:lineRule="exact"/>
        <w:jc w:val="right"/>
        <w:textAlignment w:val="baseline"/>
        <w:rPr>
          <w:rFonts w:ascii="Calibri" w:eastAsia="Calibri" w:hAnsi="Calibri"/>
          <w:color w:val="000000"/>
        </w:rPr>
      </w:pPr>
      <w:r>
        <w:rPr>
          <w:rFonts w:ascii="Calibri" w:eastAsia="Calibri" w:hAnsi="Calibri"/>
          <w:color w:val="000000"/>
        </w:rPr>
        <w:t>1</w:t>
      </w:r>
    </w:p>
    <w:p w14:paraId="4AC9D955" w14:textId="77777777" w:rsidR="00CC5CF7" w:rsidRDefault="00CC5CF7">
      <w:pPr>
        <w:sectPr w:rsidR="00CC5CF7">
          <w:type w:val="continuous"/>
          <w:pgSz w:w="11909" w:h="16838"/>
          <w:pgMar w:top="740" w:right="1394" w:bottom="682" w:left="10315" w:header="720" w:footer="720" w:gutter="0"/>
          <w:cols w:space="720"/>
        </w:sectPr>
      </w:pPr>
    </w:p>
    <w:p w14:paraId="4AC9D956" w14:textId="77777777" w:rsidR="00CC5CF7" w:rsidRDefault="00B80A2D">
      <w:pPr>
        <w:spacing w:before="14" w:after="306"/>
        <w:ind w:left="50" w:right="5066"/>
        <w:textAlignment w:val="baseline"/>
      </w:pPr>
      <w:r>
        <w:rPr>
          <w:noProof/>
        </w:rPr>
        <w:lastRenderedPageBreak/>
        <w:drawing>
          <wp:inline distT="0" distB="0" distL="0" distR="0" wp14:anchorId="4AC9D966" wp14:editId="4AC9D967">
            <wp:extent cx="2466340" cy="691515"/>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preferRelativeResize="0"/>
                  </pic:nvPicPr>
                  <pic:blipFill>
                    <a:blip r:embed="rId7"/>
                    <a:stretch>
                      <a:fillRect/>
                    </a:stretch>
                  </pic:blipFill>
                  <pic:spPr>
                    <a:xfrm>
                      <a:off x="0" y="0"/>
                      <a:ext cx="2466340" cy="691515"/>
                    </a:xfrm>
                    <a:prstGeom prst="rect">
                      <a:avLst/>
                    </a:prstGeom>
                  </pic:spPr>
                </pic:pic>
              </a:graphicData>
            </a:graphic>
          </wp:inline>
        </w:drawing>
      </w:r>
    </w:p>
    <w:p w14:paraId="4AC9D957" w14:textId="77777777" w:rsidR="00CC5CF7" w:rsidRDefault="00B80A2D">
      <w:pPr>
        <w:numPr>
          <w:ilvl w:val="0"/>
          <w:numId w:val="1"/>
        </w:numPr>
        <w:tabs>
          <w:tab w:val="clear" w:pos="360"/>
          <w:tab w:val="left" w:pos="432"/>
        </w:tabs>
        <w:spacing w:before="2" w:line="289" w:lineRule="exact"/>
        <w:ind w:left="432" w:right="504" w:hanging="360"/>
        <w:textAlignment w:val="baseline"/>
        <w:rPr>
          <w:rFonts w:ascii="Calibri" w:eastAsia="Calibri" w:hAnsi="Calibri"/>
          <w:color w:val="000000"/>
        </w:rPr>
      </w:pPr>
      <w:r>
        <w:rPr>
          <w:rFonts w:ascii="Calibri" w:eastAsia="Calibri" w:hAnsi="Calibri"/>
          <w:color w:val="000000"/>
        </w:rPr>
        <w:t xml:space="preserve">For </w:t>
      </w:r>
      <w:proofErr w:type="spellStart"/>
      <w:r>
        <w:rPr>
          <w:rFonts w:ascii="Calibri" w:eastAsia="Calibri" w:hAnsi="Calibri"/>
          <w:color w:val="000000"/>
        </w:rPr>
        <w:t>megalocytiviruses</w:t>
      </w:r>
      <w:proofErr w:type="spellEnd"/>
      <w:r>
        <w:rPr>
          <w:rFonts w:ascii="Calibri" w:eastAsia="Calibri" w:hAnsi="Calibri"/>
          <w:color w:val="000000"/>
        </w:rPr>
        <w:t xml:space="preserve"> and NNV, testing was conducted at the CSIRO Australian Centre for Disease Preparedness (ACDP), or state/territory laboratories that met testing performance criteria.</w:t>
      </w:r>
    </w:p>
    <w:p w14:paraId="4AC9D958" w14:textId="77777777" w:rsidR="00CC5CF7" w:rsidRDefault="00B80A2D">
      <w:pPr>
        <w:numPr>
          <w:ilvl w:val="0"/>
          <w:numId w:val="1"/>
        </w:numPr>
        <w:tabs>
          <w:tab w:val="clear" w:pos="360"/>
          <w:tab w:val="left" w:pos="432"/>
        </w:tabs>
        <w:spacing w:before="89" w:line="234" w:lineRule="exact"/>
        <w:ind w:left="432" w:hanging="360"/>
        <w:textAlignment w:val="baseline"/>
        <w:rPr>
          <w:rFonts w:ascii="Calibri" w:eastAsia="Calibri" w:hAnsi="Calibri"/>
          <w:color w:val="000000"/>
          <w:spacing w:val="-1"/>
        </w:rPr>
      </w:pPr>
      <w:r>
        <w:rPr>
          <w:rFonts w:ascii="Calibri" w:eastAsia="Calibri" w:hAnsi="Calibri"/>
          <w:color w:val="000000"/>
          <w:spacing w:val="-1"/>
        </w:rPr>
        <w:t>All testing for SDDV was conducted at ACDP.</w:t>
      </w:r>
    </w:p>
    <w:p w14:paraId="4AC9D959" w14:textId="77777777" w:rsidR="00CC5CF7" w:rsidRDefault="00B80A2D">
      <w:pPr>
        <w:spacing w:before="566" w:line="286" w:lineRule="exact"/>
        <w:ind w:left="72"/>
        <w:textAlignment w:val="baseline"/>
        <w:rPr>
          <w:rFonts w:ascii="Calibri Light" w:eastAsia="Calibri Light" w:hAnsi="Calibri Light"/>
          <w:color w:val="2E5395"/>
          <w:spacing w:val="-1"/>
          <w:sz w:val="26"/>
        </w:rPr>
      </w:pPr>
      <w:r>
        <w:rPr>
          <w:rFonts w:ascii="Calibri Light" w:eastAsia="Calibri Light" w:hAnsi="Calibri Light"/>
          <w:color w:val="2E5395"/>
          <w:spacing w:val="-1"/>
          <w:sz w:val="26"/>
        </w:rPr>
        <w:t>What did we find out?</w:t>
      </w:r>
    </w:p>
    <w:p w14:paraId="4AC9D95A" w14:textId="77777777" w:rsidR="00CC5CF7" w:rsidRDefault="00B80A2D">
      <w:pPr>
        <w:numPr>
          <w:ilvl w:val="0"/>
          <w:numId w:val="1"/>
        </w:numPr>
        <w:tabs>
          <w:tab w:val="clear" w:pos="360"/>
          <w:tab w:val="left" w:pos="432"/>
        </w:tabs>
        <w:spacing w:before="139" w:line="289" w:lineRule="exact"/>
        <w:ind w:left="432" w:hanging="360"/>
        <w:textAlignment w:val="baseline"/>
        <w:rPr>
          <w:rFonts w:ascii="Calibri" w:eastAsia="Calibri" w:hAnsi="Calibri"/>
          <w:color w:val="000000"/>
        </w:rPr>
      </w:pPr>
      <w:r>
        <w:rPr>
          <w:rFonts w:ascii="Calibri" w:eastAsia="Calibri" w:hAnsi="Calibri"/>
          <w:color w:val="000000"/>
        </w:rPr>
        <w:t xml:space="preserve">A total of 745 barramundi fingerlings were sampled from participating barramundi hatcheries in the Northern Territory, Queensland, </w:t>
      </w:r>
      <w:proofErr w:type="gramStart"/>
      <w:r>
        <w:rPr>
          <w:rFonts w:ascii="Calibri" w:eastAsia="Calibri" w:hAnsi="Calibri"/>
          <w:color w:val="000000"/>
        </w:rPr>
        <w:t>Victoria</w:t>
      </w:r>
      <w:proofErr w:type="gramEnd"/>
      <w:r>
        <w:rPr>
          <w:rFonts w:ascii="Calibri" w:eastAsia="Calibri" w:hAnsi="Calibri"/>
          <w:color w:val="000000"/>
        </w:rPr>
        <w:t xml:space="preserve"> and Western Australia.</w:t>
      </w:r>
    </w:p>
    <w:p w14:paraId="4AC9D95B" w14:textId="77777777" w:rsidR="00CC5CF7" w:rsidRDefault="00B80A2D">
      <w:pPr>
        <w:numPr>
          <w:ilvl w:val="0"/>
          <w:numId w:val="1"/>
        </w:numPr>
        <w:tabs>
          <w:tab w:val="clear" w:pos="360"/>
          <w:tab w:val="left" w:pos="432"/>
        </w:tabs>
        <w:spacing w:before="89" w:line="257" w:lineRule="exact"/>
        <w:ind w:left="432" w:hanging="360"/>
        <w:textAlignment w:val="baseline"/>
        <w:rPr>
          <w:rFonts w:ascii="Calibri" w:eastAsia="Calibri" w:hAnsi="Calibri"/>
          <w:b/>
          <w:color w:val="000000"/>
        </w:rPr>
      </w:pPr>
      <w:r>
        <w:rPr>
          <w:rFonts w:ascii="Calibri" w:eastAsia="Calibri" w:hAnsi="Calibri"/>
          <w:b/>
          <w:color w:val="000000"/>
        </w:rPr>
        <w:t>All samples tested negative for RSIV, ISKNV, SDDV and NNV</w:t>
      </w:r>
      <w:r>
        <w:rPr>
          <w:rFonts w:ascii="Calibri" w:eastAsia="Calibri" w:hAnsi="Calibri"/>
          <w:b/>
          <w:i/>
          <w:color w:val="000000"/>
        </w:rPr>
        <w:t>.</w:t>
      </w:r>
    </w:p>
    <w:p w14:paraId="4AC9D95C" w14:textId="77777777" w:rsidR="00CC5CF7" w:rsidRDefault="00B80A2D">
      <w:pPr>
        <w:numPr>
          <w:ilvl w:val="0"/>
          <w:numId w:val="1"/>
        </w:numPr>
        <w:tabs>
          <w:tab w:val="clear" w:pos="360"/>
          <w:tab w:val="left" w:pos="432"/>
        </w:tabs>
        <w:spacing w:before="8" w:line="289" w:lineRule="exact"/>
        <w:ind w:left="432" w:right="360" w:hanging="360"/>
        <w:jc w:val="both"/>
        <w:textAlignment w:val="baseline"/>
        <w:rPr>
          <w:rFonts w:ascii="Calibri" w:eastAsia="Calibri" w:hAnsi="Calibri"/>
          <w:color w:val="000000"/>
        </w:rPr>
      </w:pPr>
      <w:r>
        <w:rPr>
          <w:rFonts w:ascii="Calibri" w:eastAsia="Calibri" w:hAnsi="Calibri"/>
          <w:color w:val="000000"/>
        </w:rPr>
        <w:t xml:space="preserve">The negative test results for </w:t>
      </w:r>
      <w:proofErr w:type="spellStart"/>
      <w:r>
        <w:rPr>
          <w:rFonts w:ascii="Calibri" w:eastAsia="Calibri" w:hAnsi="Calibri"/>
          <w:color w:val="000000"/>
        </w:rPr>
        <w:t>megalocytiviruses</w:t>
      </w:r>
      <w:proofErr w:type="spellEnd"/>
      <w:r>
        <w:rPr>
          <w:rFonts w:ascii="Calibri" w:eastAsia="Calibri" w:hAnsi="Calibri"/>
          <w:color w:val="000000"/>
        </w:rPr>
        <w:t xml:space="preserve"> can also be interpreted as negative for turbot reddish body iridovirus (TRBIV, a </w:t>
      </w:r>
      <w:proofErr w:type="spellStart"/>
      <w:r>
        <w:rPr>
          <w:rFonts w:ascii="Calibri" w:eastAsia="Calibri" w:hAnsi="Calibri"/>
          <w:color w:val="000000"/>
        </w:rPr>
        <w:t>megalocytivirus</w:t>
      </w:r>
      <w:proofErr w:type="spellEnd"/>
      <w:r>
        <w:rPr>
          <w:rFonts w:ascii="Calibri" w:eastAsia="Calibri" w:hAnsi="Calibri"/>
          <w:color w:val="000000"/>
        </w:rPr>
        <w:t>).</w:t>
      </w:r>
    </w:p>
    <w:p w14:paraId="4AC9D95D" w14:textId="77777777" w:rsidR="00CC5CF7" w:rsidRDefault="00B80A2D">
      <w:pPr>
        <w:numPr>
          <w:ilvl w:val="0"/>
          <w:numId w:val="1"/>
        </w:numPr>
        <w:tabs>
          <w:tab w:val="clear" w:pos="360"/>
          <w:tab w:val="left" w:pos="432"/>
        </w:tabs>
        <w:spacing w:before="35" w:line="289" w:lineRule="exact"/>
        <w:ind w:left="432" w:right="288" w:hanging="360"/>
        <w:textAlignment w:val="baseline"/>
        <w:rPr>
          <w:rFonts w:ascii="Calibri" w:eastAsia="Calibri" w:hAnsi="Calibri"/>
          <w:color w:val="000000"/>
        </w:rPr>
      </w:pPr>
      <w:r>
        <w:rPr>
          <w:rFonts w:ascii="Calibri" w:eastAsia="Calibri" w:hAnsi="Calibri"/>
          <w:color w:val="000000"/>
        </w:rPr>
        <w:t>The data supports Australia’s current disease-free status from the exotic disease agents RSIV, ISKNV, SDDV and TRBIV; and provides information on distribution for the endemic trade-significant disease agent, NNV.</w:t>
      </w:r>
    </w:p>
    <w:p w14:paraId="4AC9D95E" w14:textId="77777777" w:rsidR="00CC5CF7" w:rsidRDefault="00B80A2D">
      <w:pPr>
        <w:spacing w:before="566" w:line="286" w:lineRule="exact"/>
        <w:ind w:left="72"/>
        <w:textAlignment w:val="baseline"/>
        <w:rPr>
          <w:rFonts w:ascii="Calibri Light" w:eastAsia="Calibri Light" w:hAnsi="Calibri Light"/>
          <w:color w:val="2E5395"/>
          <w:spacing w:val="-1"/>
          <w:sz w:val="26"/>
        </w:rPr>
      </w:pPr>
      <w:r>
        <w:rPr>
          <w:rFonts w:ascii="Calibri Light" w:eastAsia="Calibri Light" w:hAnsi="Calibri Light"/>
          <w:color w:val="2E5395"/>
          <w:spacing w:val="-1"/>
          <w:sz w:val="26"/>
        </w:rPr>
        <w:t>What were the benefits?</w:t>
      </w:r>
    </w:p>
    <w:p w14:paraId="4AC9D95F" w14:textId="77777777" w:rsidR="00CC5CF7" w:rsidRDefault="00B80A2D">
      <w:pPr>
        <w:numPr>
          <w:ilvl w:val="0"/>
          <w:numId w:val="1"/>
        </w:numPr>
        <w:tabs>
          <w:tab w:val="clear" w:pos="360"/>
          <w:tab w:val="left" w:pos="432"/>
        </w:tabs>
        <w:spacing w:before="18" w:line="289" w:lineRule="exact"/>
        <w:ind w:left="432" w:right="360" w:hanging="360"/>
        <w:textAlignment w:val="baseline"/>
        <w:rPr>
          <w:rFonts w:ascii="Calibri" w:eastAsia="Calibri" w:hAnsi="Calibri"/>
          <w:color w:val="000000"/>
        </w:rPr>
      </w:pPr>
      <w:r>
        <w:rPr>
          <w:rFonts w:ascii="Calibri" w:eastAsia="Calibri" w:hAnsi="Calibri"/>
          <w:color w:val="000000"/>
        </w:rPr>
        <w:t>The survey provided evidence of Australia’s freedom from important pathogens of barramundi—RSIV, ISKNV, SDDV and TRBIV. This evidence is important for maintenance and improvement of market access and to justify our border biosecurity measures for these pathogens.</w:t>
      </w:r>
    </w:p>
    <w:p w14:paraId="4AC9D960" w14:textId="77777777" w:rsidR="00CC5CF7" w:rsidRDefault="00B80A2D">
      <w:pPr>
        <w:numPr>
          <w:ilvl w:val="0"/>
          <w:numId w:val="1"/>
        </w:numPr>
        <w:tabs>
          <w:tab w:val="clear" w:pos="360"/>
          <w:tab w:val="left" w:pos="432"/>
        </w:tabs>
        <w:spacing w:before="88" w:line="233" w:lineRule="exact"/>
        <w:ind w:left="432" w:hanging="360"/>
        <w:textAlignment w:val="baseline"/>
        <w:rPr>
          <w:rFonts w:ascii="Calibri" w:eastAsia="Calibri" w:hAnsi="Calibri"/>
          <w:color w:val="000000"/>
        </w:rPr>
      </w:pPr>
      <w:r>
        <w:rPr>
          <w:rFonts w:ascii="Calibri" w:eastAsia="Calibri" w:hAnsi="Calibri"/>
          <w:color w:val="000000"/>
        </w:rPr>
        <w:t>The survey did not detect an important endemic pathogen—NNV.</w:t>
      </w:r>
    </w:p>
    <w:p w14:paraId="4AC9D961" w14:textId="77777777" w:rsidR="00CC5CF7" w:rsidRDefault="00B80A2D">
      <w:pPr>
        <w:numPr>
          <w:ilvl w:val="0"/>
          <w:numId w:val="1"/>
        </w:numPr>
        <w:tabs>
          <w:tab w:val="clear" w:pos="360"/>
          <w:tab w:val="left" w:pos="432"/>
        </w:tabs>
        <w:spacing w:before="32" w:line="289" w:lineRule="exact"/>
        <w:ind w:left="432" w:right="720" w:hanging="360"/>
        <w:textAlignment w:val="baseline"/>
        <w:rPr>
          <w:rFonts w:ascii="Calibri" w:eastAsia="Calibri" w:hAnsi="Calibri"/>
          <w:color w:val="000000"/>
          <w:spacing w:val="-2"/>
        </w:rPr>
      </w:pPr>
      <w:r>
        <w:rPr>
          <w:rFonts w:ascii="Calibri" w:eastAsia="Calibri" w:hAnsi="Calibri"/>
          <w:color w:val="000000"/>
          <w:spacing w:val="-2"/>
        </w:rPr>
        <w:t xml:space="preserve">Participating state and territory government laboratories demonstrated their diagnostic capability through inter-laboratory comparability testing for </w:t>
      </w:r>
      <w:proofErr w:type="spellStart"/>
      <w:r>
        <w:rPr>
          <w:rFonts w:ascii="Calibri" w:eastAsia="Calibri" w:hAnsi="Calibri"/>
          <w:color w:val="000000"/>
          <w:spacing w:val="-2"/>
        </w:rPr>
        <w:t>megalocytiviruses</w:t>
      </w:r>
      <w:proofErr w:type="spellEnd"/>
      <w:r>
        <w:rPr>
          <w:rFonts w:ascii="Calibri" w:eastAsia="Calibri" w:hAnsi="Calibri"/>
          <w:color w:val="000000"/>
          <w:spacing w:val="-2"/>
        </w:rPr>
        <w:t xml:space="preserve"> and NNV.</w:t>
      </w:r>
    </w:p>
    <w:p w14:paraId="4AC9D962" w14:textId="77777777" w:rsidR="00CC5CF7" w:rsidRDefault="00B80A2D">
      <w:pPr>
        <w:numPr>
          <w:ilvl w:val="0"/>
          <w:numId w:val="1"/>
        </w:numPr>
        <w:tabs>
          <w:tab w:val="clear" w:pos="360"/>
          <w:tab w:val="left" w:pos="432"/>
        </w:tabs>
        <w:spacing w:before="35" w:line="289" w:lineRule="exact"/>
        <w:ind w:left="432" w:right="504" w:hanging="360"/>
        <w:textAlignment w:val="baseline"/>
        <w:rPr>
          <w:rFonts w:ascii="Calibri" w:eastAsia="Calibri" w:hAnsi="Calibri"/>
          <w:color w:val="000000"/>
        </w:rPr>
      </w:pPr>
      <w:r>
        <w:rPr>
          <w:rFonts w:ascii="Calibri" w:eastAsia="Calibri" w:hAnsi="Calibri"/>
          <w:color w:val="000000"/>
        </w:rPr>
        <w:t>Survey participants (barramundi hatcheries; governments of the Northern Territory, Queensland, Victoria, Western Australia, and the Commonwealth; and CSIRO ACDP) had an opportunity to strengthen working relationships on aquatic animal health.</w:t>
      </w:r>
    </w:p>
    <w:p w14:paraId="4AC9D963" w14:textId="77777777" w:rsidR="00CC5CF7" w:rsidRDefault="00B80A2D">
      <w:pPr>
        <w:spacing w:before="613" w:line="289" w:lineRule="exact"/>
        <w:ind w:left="72" w:right="648"/>
        <w:jc w:val="both"/>
        <w:textAlignment w:val="baseline"/>
        <w:rPr>
          <w:rFonts w:ascii="Calibri" w:eastAsia="Calibri" w:hAnsi="Calibri"/>
          <w:color w:val="000000"/>
        </w:rPr>
      </w:pPr>
      <w:r>
        <w:pict w14:anchorId="4AC9D969">
          <v:shapetype id="_x0000_t202" coordsize="21600,21600" o:spt="202" path="m,l,21600r21600,l21600,xe">
            <v:stroke joinstyle="miter"/>
            <v:path gradientshapeok="t" o:connecttype="rect"/>
          </v:shapetype>
          <v:shape id="_x0000_s0" o:spid="_x0000_s1026" type="#_x0000_t202" style="position:absolute;left:0;text-align:left;margin-left:515.35pt;margin-top:779.65pt;width:10.9pt;height:12.3pt;z-index:251657728;mso-wrap-distance-left:0;mso-wrap-distance-right:0;mso-position-horizontal-relative:page;mso-position-vertical-relative:page" filled="f" stroked="f">
            <v:textbox inset="0,0,0,0">
              <w:txbxContent>
                <w:p w14:paraId="4AC9D96C" w14:textId="77777777" w:rsidR="00CC5CF7" w:rsidRDefault="00B80A2D">
                  <w:pPr>
                    <w:spacing w:before="26" w:line="206" w:lineRule="exact"/>
                    <w:textAlignment w:val="baseline"/>
                    <w:rPr>
                      <w:rFonts w:ascii="Calibri" w:eastAsia="Calibri" w:hAnsi="Calibri"/>
                      <w:color w:val="000000"/>
                    </w:rPr>
                  </w:pPr>
                  <w:r>
                    <w:rPr>
                      <w:rFonts w:ascii="Calibri" w:eastAsia="Calibri" w:hAnsi="Calibri"/>
                      <w:color w:val="000000"/>
                    </w:rPr>
                    <w:t>2</w:t>
                  </w:r>
                </w:p>
              </w:txbxContent>
            </v:textbox>
            <w10:wrap anchorx="page" anchory="page"/>
          </v:shape>
        </w:pict>
      </w:r>
      <w:r>
        <w:rPr>
          <w:rFonts w:ascii="Calibri" w:eastAsia="Calibri" w:hAnsi="Calibri"/>
          <w:color w:val="000000"/>
        </w:rPr>
        <w:t>For more information, please contact: Aquatic Pest and Health Policy Section, Department of Agriculture, Water and the Environment</w:t>
      </w:r>
      <w:r>
        <w:rPr>
          <w:rFonts w:ascii="Calibri" w:eastAsia="Calibri" w:hAnsi="Calibri"/>
          <w:color w:val="0462C1"/>
        </w:rPr>
        <w:t xml:space="preserve"> </w:t>
      </w:r>
      <w:hyperlink r:id="rId8">
        <w:r>
          <w:rPr>
            <w:rFonts w:ascii="Calibri" w:eastAsia="Calibri" w:hAnsi="Calibri"/>
            <w:color w:val="0000FF"/>
            <w:u w:val="single"/>
          </w:rPr>
          <w:t>(</w:t>
        </w:r>
      </w:hyperlink>
      <w:hyperlink r:id="rId9">
        <w:r>
          <w:rPr>
            <w:rFonts w:ascii="Calibri" w:eastAsia="Calibri" w:hAnsi="Calibri"/>
            <w:color w:val="0000FF"/>
            <w:u w:val="single"/>
          </w:rPr>
          <w:t>aah@agriculture.gov.au</w:t>
        </w:r>
      </w:hyperlink>
      <w:hyperlink r:id="rId10">
        <w:r>
          <w:rPr>
            <w:rFonts w:ascii="Calibri" w:eastAsia="Calibri" w:hAnsi="Calibri"/>
            <w:color w:val="0000FF"/>
            <w:u w:val="single"/>
          </w:rPr>
          <w:t>)</w:t>
        </w:r>
      </w:hyperlink>
      <w:r>
        <w:rPr>
          <w:rFonts w:ascii="Calibri" w:eastAsia="Calibri" w:hAnsi="Calibri"/>
          <w:color w:val="0462C1"/>
        </w:rPr>
        <w:t xml:space="preserve"> </w:t>
      </w:r>
    </w:p>
    <w:sectPr w:rsidR="00CC5CF7">
      <w:pgSz w:w="11909" w:h="16838"/>
      <w:pgMar w:top="740" w:right="1505" w:bottom="849" w:left="140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76026" w14:textId="77777777" w:rsidR="00A54348" w:rsidRDefault="00A54348">
      <w:r>
        <w:separator/>
      </w:r>
    </w:p>
  </w:endnote>
  <w:endnote w:type="continuationSeparator" w:id="0">
    <w:p w14:paraId="538E2A4C" w14:textId="77777777" w:rsidR="00A54348" w:rsidRDefault="00A54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Calibri">
    <w:charset w:val="00"/>
    <w:pitch w:val="variable"/>
    <w:family w:val="swiss"/>
    <w:panose1 w:val="02020603050405020304"/>
  </w:font>
  <w:font w:name="Calibri Light">
    <w:charset w:val="00"/>
    <w:pitch w:val="variable"/>
    <w:family w:val="swiss"/>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A14BA" w14:textId="77777777" w:rsidR="00A54348" w:rsidRDefault="00A54348"/>
  </w:footnote>
  <w:footnote w:type="continuationSeparator" w:id="0">
    <w:p w14:paraId="75B2C6A6" w14:textId="77777777" w:rsidR="00A54348" w:rsidRDefault="00A54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F6637"/>
    <w:multiLevelType w:val="multilevel"/>
    <w:tmpl w:val="4FCCA448"/>
    <w:lvl w:ilvl="0">
      <w:numFmt w:val="bullet"/>
      <w:lvlText w:val="·"/>
      <w:lvlJc w:val="left"/>
      <w:pPr>
        <w:tabs>
          <w:tab w:val="left" w:pos="360"/>
        </w:tabs>
      </w:pPr>
      <w:rPr>
        <w:rFonts w:ascii="Symbol" w:eastAsia="Symbol" w:hAnsi="Symbol"/>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4F90374"/>
    <w:multiLevelType w:val="multilevel"/>
    <w:tmpl w:val="613823E8"/>
    <w:lvl w:ilvl="0">
      <w:numFmt w:val="bullet"/>
      <w:lvlText w:val="o"/>
      <w:lvlJc w:val="left"/>
      <w:pPr>
        <w:tabs>
          <w:tab w:val="left" w:pos="360"/>
        </w:tabs>
      </w:pPr>
      <w:rPr>
        <w:rFonts w:ascii="Courier New" w:eastAsia="Courier New" w:hAnsi="Courier New"/>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20622276">
    <w:abstractNumId w:val="0"/>
  </w:num>
  <w:num w:numId="2" w16cid:durableId="1655601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CF7"/>
    <w:rsid w:val="00910862"/>
    <w:rsid w:val="00A54348"/>
    <w:rsid w:val="00B80A2D"/>
    <w:rsid w:val="00CC5C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AC9D93F"/>
  <w15:docId w15:val="{8E1F6A2E-D1B1-4175-8C5B-7059A676F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ah@agriculture.gov.au"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aah@agriculture.gov.au" TargetMode="External"/><Relationship Id="rId4" Type="http://schemas.openxmlformats.org/officeDocument/2006/relationships/webSettings" Target="webSettings.xml"/><Relationship Id="rId9" Type="http://schemas.openxmlformats.org/officeDocument/2006/relationships/hyperlink" Target="mailto:aah@agriculture.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Barramundi Disease Surveillance Project Summary of Results</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Barramundi Disease Surveillance Project Summary of Results</dc:title>
  <dc:creator>Department of Agriculture, Fisheries and Forestry</dc:creator>
  <cp:lastModifiedBy>Larkins, Bernadette</cp:lastModifiedBy>
  <cp:revision>2</cp:revision>
  <dcterms:created xsi:type="dcterms:W3CDTF">2023-12-05T22:43:00Z</dcterms:created>
  <dcterms:modified xsi:type="dcterms:W3CDTF">2023-12-05T22:43:00Z</dcterms:modified>
</cp:coreProperties>
</file>