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D438" w14:textId="4435A140" w:rsidR="00D04A3C" w:rsidRDefault="003F1C8B" w:rsidP="008B22A2">
      <w:bookmarkStart w:id="0" w:name="_Hlk117692872"/>
      <w:r>
        <w:t>November 2025</w:t>
      </w:r>
    </w:p>
    <w:p w14:paraId="5BE39D46" w14:textId="35552597" w:rsidR="00EC6BB2" w:rsidRDefault="00EC6BB2" w:rsidP="00EC6BB2">
      <w:pPr>
        <w:pStyle w:val="Series"/>
      </w:pPr>
      <w:r>
        <w:t xml:space="preserve">Policy Decision </w:t>
      </w:r>
      <w:r w:rsidR="003F1C8B">
        <w:t>25</w:t>
      </w:r>
      <w:r w:rsidR="0026282C">
        <w:t>-</w:t>
      </w:r>
      <w:r w:rsidR="003F1C8B">
        <w:t>02</w:t>
      </w:r>
    </w:p>
    <w:bookmarkEnd w:id="0"/>
    <w:p w14:paraId="457174D6" w14:textId="6CB064CC" w:rsidR="00B82095" w:rsidRPr="0063461D" w:rsidRDefault="00BC7783" w:rsidP="00220618">
      <w:pPr>
        <w:pStyle w:val="Heading1"/>
        <w:rPr>
          <w:sz w:val="36"/>
          <w:szCs w:val="24"/>
        </w:rPr>
      </w:pPr>
      <w:r>
        <w:rPr>
          <w:sz w:val="36"/>
          <w:szCs w:val="24"/>
        </w:rPr>
        <w:t>T</w:t>
      </w:r>
      <w:r w:rsidR="00EC6861">
        <w:rPr>
          <w:sz w:val="36"/>
          <w:szCs w:val="24"/>
        </w:rPr>
        <w:t xml:space="preserve">esting arrangements and cost sharing of </w:t>
      </w:r>
      <w:r w:rsidR="00A109BD">
        <w:rPr>
          <w:sz w:val="36"/>
          <w:szCs w:val="24"/>
        </w:rPr>
        <w:t xml:space="preserve">diagnostic </w:t>
      </w:r>
      <w:r w:rsidR="00EC6861">
        <w:rPr>
          <w:sz w:val="36"/>
          <w:szCs w:val="24"/>
        </w:rPr>
        <w:t xml:space="preserve">testing expenses during an </w:t>
      </w:r>
      <w:r w:rsidR="00A109BD">
        <w:rPr>
          <w:sz w:val="36"/>
          <w:szCs w:val="24"/>
        </w:rPr>
        <w:t>e</w:t>
      </w:r>
      <w:r w:rsidR="00EC6861">
        <w:rPr>
          <w:sz w:val="36"/>
          <w:szCs w:val="24"/>
        </w:rPr>
        <w:t xml:space="preserve">mergency </w:t>
      </w:r>
      <w:r w:rsidR="00A109BD">
        <w:rPr>
          <w:sz w:val="36"/>
          <w:szCs w:val="24"/>
        </w:rPr>
        <w:t>a</w:t>
      </w:r>
      <w:r w:rsidR="00EC6861">
        <w:rPr>
          <w:sz w:val="36"/>
          <w:szCs w:val="24"/>
        </w:rPr>
        <w:t xml:space="preserve">nimal </w:t>
      </w:r>
      <w:r w:rsidR="00A109BD">
        <w:rPr>
          <w:sz w:val="36"/>
          <w:szCs w:val="24"/>
        </w:rPr>
        <w:t>d</w:t>
      </w:r>
      <w:r w:rsidR="00EC6861">
        <w:rPr>
          <w:sz w:val="36"/>
          <w:szCs w:val="24"/>
        </w:rPr>
        <w:t>isease response</w:t>
      </w:r>
    </w:p>
    <w:p w14:paraId="2C9BFF66" w14:textId="50FA1634" w:rsidR="00B82095" w:rsidRDefault="00440ABE" w:rsidP="00A8157A">
      <w:r>
        <w:t>Animal Health Committee</w:t>
      </w:r>
    </w:p>
    <w:p w14:paraId="42BF0240" w14:textId="0D69B94C" w:rsidR="00C866E2" w:rsidRDefault="007D08F7" w:rsidP="00E129C3">
      <w:r w:rsidRPr="00E129C3">
        <w:rPr>
          <w:b/>
          <w:bCs/>
          <w:sz w:val="24"/>
          <w:szCs w:val="24"/>
        </w:rPr>
        <w:t>Purpose</w:t>
      </w:r>
    </w:p>
    <w:p w14:paraId="643A969F" w14:textId="77777777" w:rsidR="00C866E2" w:rsidRPr="00C866E2" w:rsidRDefault="00C866E2" w:rsidP="00C866E2">
      <w:r w:rsidRPr="00C866E2">
        <w:t>This policy has been developed to clarify arrangements in an emergency animal disease (EAD) response for:</w:t>
      </w:r>
    </w:p>
    <w:p w14:paraId="36B144ED" w14:textId="77777777" w:rsidR="00C866E2" w:rsidRPr="00C866E2" w:rsidRDefault="00C866E2" w:rsidP="00DC7406">
      <w:pPr>
        <w:numPr>
          <w:ilvl w:val="0"/>
          <w:numId w:val="46"/>
        </w:numPr>
        <w:ind w:left="284" w:hanging="284"/>
      </w:pPr>
      <w:r w:rsidRPr="00C866E2">
        <w:t xml:space="preserve">diagnostic testing of samples relating to the outbreak, </w:t>
      </w:r>
    </w:p>
    <w:p w14:paraId="49AE18E8" w14:textId="77777777" w:rsidR="00C866E2" w:rsidRPr="00C866E2" w:rsidRDefault="00C866E2" w:rsidP="00DC7406">
      <w:pPr>
        <w:numPr>
          <w:ilvl w:val="0"/>
          <w:numId w:val="46"/>
        </w:numPr>
        <w:ind w:left="284" w:hanging="284"/>
      </w:pPr>
      <w:r w:rsidRPr="00C866E2">
        <w:t xml:space="preserve">invoicing procedures for samples submitted to the Australian Centre for Disease Preparedness (ACDP), and </w:t>
      </w:r>
    </w:p>
    <w:p w14:paraId="36FE49D5" w14:textId="77777777" w:rsidR="00C866E2" w:rsidRPr="00C866E2" w:rsidRDefault="00C866E2" w:rsidP="00DC7406">
      <w:pPr>
        <w:numPr>
          <w:ilvl w:val="0"/>
          <w:numId w:val="46"/>
        </w:numPr>
        <w:ind w:left="284" w:hanging="284"/>
      </w:pPr>
      <w:r w:rsidRPr="00C866E2">
        <w:t>eligibility of diagnostic testing expenses incurred by infected and non-infected jurisdictions for cost-sharing.</w:t>
      </w:r>
    </w:p>
    <w:p w14:paraId="54634A24" w14:textId="77777777" w:rsidR="00C866E2" w:rsidRPr="00C866E2" w:rsidRDefault="00C866E2" w:rsidP="00C866E2">
      <w:pPr>
        <w:rPr>
          <w:b/>
          <w:bCs/>
          <w:sz w:val="24"/>
          <w:szCs w:val="24"/>
        </w:rPr>
      </w:pPr>
      <w:r w:rsidRPr="00C866E2">
        <w:rPr>
          <w:b/>
          <w:bCs/>
          <w:sz w:val="24"/>
          <w:szCs w:val="24"/>
        </w:rPr>
        <w:t>Scope</w:t>
      </w:r>
    </w:p>
    <w:p w14:paraId="00203826" w14:textId="77777777" w:rsidR="00C866E2" w:rsidRPr="00C866E2" w:rsidRDefault="00C866E2" w:rsidP="00C866E2">
      <w:r w:rsidRPr="00C866E2">
        <w:t xml:space="preserve">This policy applies to samples submitted under an approved Emergency Animal Disease Response Plan (EADRP). </w:t>
      </w:r>
    </w:p>
    <w:p w14:paraId="56F51E7E" w14:textId="77777777" w:rsidR="00C866E2" w:rsidRPr="00C866E2" w:rsidRDefault="00C866E2" w:rsidP="00C866E2">
      <w:pPr>
        <w:rPr>
          <w:b/>
          <w:bCs/>
          <w:sz w:val="24"/>
          <w:szCs w:val="24"/>
        </w:rPr>
      </w:pPr>
      <w:r w:rsidRPr="00C866E2">
        <w:rPr>
          <w:b/>
          <w:bCs/>
          <w:sz w:val="24"/>
          <w:szCs w:val="24"/>
        </w:rPr>
        <w:t>Exclusion testing by ACDP</w:t>
      </w:r>
    </w:p>
    <w:p w14:paraId="149FA583" w14:textId="77777777" w:rsidR="00C866E2" w:rsidRPr="00C866E2" w:rsidRDefault="00C866E2" w:rsidP="00C866E2">
      <w:r w:rsidRPr="00C866E2">
        <w:t>ACDP does not charge jurisdictions for the costs of initial testing of samples from the first suspected premises to confirm or exclude an EAD outbreak. This testing is funded by ACDP as part of their normal commitments.</w:t>
      </w:r>
    </w:p>
    <w:p w14:paraId="4B9D4EFB" w14:textId="77777777" w:rsidR="00C866E2" w:rsidRPr="00C866E2" w:rsidRDefault="00C866E2" w:rsidP="00C866E2">
      <w:pPr>
        <w:rPr>
          <w:b/>
          <w:bCs/>
          <w:sz w:val="24"/>
          <w:szCs w:val="24"/>
        </w:rPr>
      </w:pPr>
      <w:r w:rsidRPr="00C866E2">
        <w:rPr>
          <w:b/>
          <w:bCs/>
          <w:sz w:val="24"/>
          <w:szCs w:val="24"/>
        </w:rPr>
        <w:t xml:space="preserve">EAD surveillance plans </w:t>
      </w:r>
    </w:p>
    <w:p w14:paraId="6CEBDC75" w14:textId="77777777" w:rsidR="00C866E2" w:rsidRPr="00C866E2" w:rsidRDefault="00C866E2" w:rsidP="00C866E2">
      <w:r w:rsidRPr="00C866E2">
        <w:t xml:space="preserve">When an EAD outbreak has been confirmed, infected jurisdictions develop surveillance plans that set out what samples will be collected and submitted for laboratory testing. </w:t>
      </w:r>
    </w:p>
    <w:p w14:paraId="2F755636" w14:textId="77777777" w:rsidR="00C866E2" w:rsidRPr="00C866E2" w:rsidRDefault="00C866E2" w:rsidP="00C866E2">
      <w:r w:rsidRPr="00C866E2">
        <w:t>Non-infected jurisdictions that anticipate having to conduct additional surveillance for the EAD above routine exclusion testing / normal commitments may also develop surveillance plans for the EAD. If there is more than one non-infected jurisdiction performing additional surveillance, the development of a national surveillance plan, led by the Australian Government Department of Agriculture, Fisheries and Forestry, is preferred.</w:t>
      </w:r>
    </w:p>
    <w:p w14:paraId="43792A10" w14:textId="77777777" w:rsidR="00C866E2" w:rsidRPr="00C866E2" w:rsidRDefault="00C866E2" w:rsidP="00C866E2">
      <w:pPr>
        <w:rPr>
          <w:b/>
          <w:bCs/>
          <w:sz w:val="24"/>
          <w:szCs w:val="24"/>
        </w:rPr>
      </w:pPr>
      <w:r w:rsidRPr="00C866E2">
        <w:rPr>
          <w:b/>
          <w:bCs/>
          <w:sz w:val="24"/>
          <w:szCs w:val="24"/>
        </w:rPr>
        <w:t>Cost sharing of testing done in an EAD response</w:t>
      </w:r>
    </w:p>
    <w:p w14:paraId="1A4F767D" w14:textId="77777777" w:rsidR="00C866E2" w:rsidRPr="00C866E2" w:rsidRDefault="00C866E2" w:rsidP="00C866E2">
      <w:r w:rsidRPr="00C866E2">
        <w:t xml:space="preserve">An infected or non-infected jurisdiction that wishes to cost share expenses incurred for testing (by ACDP or jurisdictional laboratories etc.) of EAD samples during an EAD outbreak must submit an emergency animal disease response plan (EADRP) that details their proposed surveillance strategy </w:t>
      </w:r>
      <w:r w:rsidRPr="00C866E2">
        <w:lastRenderedPageBreak/>
        <w:t>and associated budget to the Consultative Committee on Emergency Animal Diseases (CCEAD) and National Management Group (NMG).</w:t>
      </w:r>
    </w:p>
    <w:p w14:paraId="7581689B" w14:textId="77777777" w:rsidR="00C866E2" w:rsidRPr="00C866E2" w:rsidRDefault="00C866E2" w:rsidP="00C866E2">
      <w:r w:rsidRPr="00C866E2">
        <w:t xml:space="preserve">Costs incurred by a jurisdiction for activities conducted as part of an approved EADRP are eligible for cost sharing. </w:t>
      </w:r>
    </w:p>
    <w:p w14:paraId="0097024A" w14:textId="77777777" w:rsidR="00C866E2" w:rsidRPr="00C866E2" w:rsidRDefault="00C866E2" w:rsidP="00C866E2">
      <w:pPr>
        <w:rPr>
          <w:b/>
          <w:bCs/>
          <w:sz w:val="24"/>
          <w:szCs w:val="24"/>
        </w:rPr>
      </w:pPr>
      <w:r w:rsidRPr="00C866E2">
        <w:rPr>
          <w:b/>
          <w:bCs/>
          <w:sz w:val="24"/>
          <w:szCs w:val="24"/>
        </w:rPr>
        <w:t>Testing of samples at ACDP during an EAD response</w:t>
      </w:r>
    </w:p>
    <w:p w14:paraId="3C3F8DA6" w14:textId="77777777" w:rsidR="00C866E2" w:rsidRPr="00C866E2" w:rsidRDefault="00C866E2" w:rsidP="00C866E2">
      <w:r w:rsidRPr="00C866E2">
        <w:t>The following samples collected as part of an approved EADRP may be submitted by the infected or non-infected jurisdiction to ACDP for testing:</w:t>
      </w:r>
    </w:p>
    <w:p w14:paraId="6D29FF0E" w14:textId="77777777" w:rsidR="00C866E2" w:rsidRPr="00C866E2" w:rsidRDefault="00C866E2" w:rsidP="00DC7406">
      <w:pPr>
        <w:numPr>
          <w:ilvl w:val="0"/>
          <w:numId w:val="46"/>
        </w:numPr>
        <w:ind w:left="284" w:hanging="284"/>
      </w:pPr>
      <w:r w:rsidRPr="00C866E2">
        <w:t>Any sample for which the jurisdictional laboratory does not have the capability or capacity to conduct definitive testing (using tests for which the laboratory has been validated under the LEADDR network).</w:t>
      </w:r>
    </w:p>
    <w:p w14:paraId="7F2ABB03" w14:textId="77777777" w:rsidR="00C866E2" w:rsidRPr="00C866E2" w:rsidRDefault="00C866E2" w:rsidP="00DC7406">
      <w:pPr>
        <w:numPr>
          <w:ilvl w:val="0"/>
          <w:numId w:val="46"/>
        </w:numPr>
        <w:ind w:left="284" w:hanging="284"/>
      </w:pPr>
      <w:r w:rsidRPr="00C866E2">
        <w:t>Any sample that has tested positive at a jurisdictional laboratory.</w:t>
      </w:r>
    </w:p>
    <w:p w14:paraId="255556E8" w14:textId="77777777" w:rsidR="00C866E2" w:rsidRPr="00C866E2" w:rsidRDefault="00C866E2" w:rsidP="00DC7406">
      <w:pPr>
        <w:numPr>
          <w:ilvl w:val="0"/>
          <w:numId w:val="46"/>
        </w:numPr>
        <w:ind w:left="284" w:hanging="284"/>
      </w:pPr>
      <w:r w:rsidRPr="00C866E2">
        <w:t>Any sample where an inconclusive test result cannot be resolved by further testing at the jurisdictional laboratory.</w:t>
      </w:r>
    </w:p>
    <w:p w14:paraId="55F3BCA6" w14:textId="77777777" w:rsidR="00C866E2" w:rsidRPr="00C866E2" w:rsidRDefault="00C866E2" w:rsidP="00C866E2">
      <w:pPr>
        <w:rPr>
          <w:b/>
          <w:bCs/>
          <w:sz w:val="24"/>
          <w:szCs w:val="24"/>
        </w:rPr>
      </w:pPr>
      <w:r w:rsidRPr="00C866E2">
        <w:rPr>
          <w:b/>
          <w:bCs/>
          <w:sz w:val="24"/>
          <w:szCs w:val="24"/>
        </w:rPr>
        <w:t>Charging for testing conducted by ACDP in an EAD response</w:t>
      </w:r>
    </w:p>
    <w:p w14:paraId="02991941" w14:textId="77777777" w:rsidR="00C866E2" w:rsidRPr="00C866E2" w:rsidRDefault="00C866E2" w:rsidP="00C866E2">
      <w:r w:rsidRPr="00C866E2">
        <w:t>ACDP will:</w:t>
      </w:r>
    </w:p>
    <w:p w14:paraId="466A8A23" w14:textId="77777777" w:rsidR="00C866E2" w:rsidRPr="00C866E2" w:rsidRDefault="00C866E2" w:rsidP="00DC7406">
      <w:pPr>
        <w:numPr>
          <w:ilvl w:val="0"/>
          <w:numId w:val="46"/>
        </w:numPr>
        <w:ind w:left="284" w:hanging="284"/>
      </w:pPr>
      <w:r w:rsidRPr="00C866E2">
        <w:t xml:space="preserve">charge jurisdictions for testing of all response surveillance samples relating to the EAD response collected post the initial investigation to confirm the EAD. </w:t>
      </w:r>
    </w:p>
    <w:p w14:paraId="00422B0D" w14:textId="77777777" w:rsidR="00C866E2" w:rsidRPr="00C866E2" w:rsidRDefault="00C866E2" w:rsidP="00DC7406">
      <w:pPr>
        <w:numPr>
          <w:ilvl w:val="0"/>
          <w:numId w:val="46"/>
        </w:numPr>
        <w:ind w:left="284" w:hanging="284"/>
      </w:pPr>
      <w:r w:rsidRPr="00C866E2">
        <w:t>continue to charge for testing of response surveillance samples until the NMG declare that cost sharing of the response has ceased (e.g. the outbreak has been eradicated, a transition to management program has been completed or the cost shared response ceases).</w:t>
      </w:r>
    </w:p>
    <w:p w14:paraId="057A3D09" w14:textId="77777777" w:rsidR="00C866E2" w:rsidRPr="00C866E2" w:rsidRDefault="00C866E2" w:rsidP="00DC7406">
      <w:pPr>
        <w:numPr>
          <w:ilvl w:val="0"/>
          <w:numId w:val="46"/>
        </w:numPr>
        <w:ind w:left="284" w:hanging="284"/>
      </w:pPr>
      <w:r w:rsidRPr="00C866E2">
        <w:t>not charge jurisdictions for any exclusion testing for other EADs, including such testing on samples collected for response surveillance.</w:t>
      </w:r>
    </w:p>
    <w:p w14:paraId="3D84354C" w14:textId="77777777" w:rsidR="00C866E2" w:rsidRPr="00C866E2" w:rsidRDefault="00C866E2" w:rsidP="00DC7406">
      <w:pPr>
        <w:numPr>
          <w:ilvl w:val="0"/>
          <w:numId w:val="46"/>
        </w:numPr>
        <w:ind w:left="284" w:hanging="284"/>
      </w:pPr>
      <w:r w:rsidRPr="00C866E2">
        <w:t xml:space="preserve">also charge an additional fee for any staff overtime and other emergency management costs related to testing of EAD samples submitted as part of surveillance for an EAD response. </w:t>
      </w:r>
    </w:p>
    <w:p w14:paraId="13FD8136" w14:textId="77777777" w:rsidR="00C866E2" w:rsidRPr="00C866E2" w:rsidRDefault="00C866E2" w:rsidP="00DC7406">
      <w:pPr>
        <w:numPr>
          <w:ilvl w:val="0"/>
          <w:numId w:val="46"/>
        </w:numPr>
        <w:ind w:left="284" w:hanging="284"/>
      </w:pPr>
      <w:r w:rsidRPr="00C866E2">
        <w:t>advise all CVOs of the rate to be charged for each test during the EAD response.</w:t>
      </w:r>
    </w:p>
    <w:p w14:paraId="7F52A4B8" w14:textId="77777777" w:rsidR="00C866E2" w:rsidRPr="00C866E2" w:rsidRDefault="00C866E2" w:rsidP="00DC7406">
      <w:pPr>
        <w:numPr>
          <w:ilvl w:val="0"/>
          <w:numId w:val="46"/>
        </w:numPr>
        <w:ind w:left="284" w:hanging="284"/>
      </w:pPr>
      <w:r w:rsidRPr="00C866E2">
        <w:t>issue a monthly invoice to each jurisdiction who has submitted surveillance samples for the response. The invoice will detail the type of testing conducted, and the number and cost of each test conducted.</w:t>
      </w:r>
    </w:p>
    <w:p w14:paraId="20861836" w14:textId="77777777" w:rsidR="00C866E2" w:rsidRPr="00C866E2" w:rsidRDefault="00C866E2" w:rsidP="00C866E2">
      <w:r w:rsidRPr="00C866E2">
        <w:t>The CVO or delegate of each jurisdiction will advise the ACDP of the email address/es to which invoices for EAD response testing costs are to be sent.</w:t>
      </w:r>
    </w:p>
    <w:p w14:paraId="7E7D4A14" w14:textId="77777777" w:rsidR="00344910" w:rsidRPr="00C866E2" w:rsidRDefault="00344910" w:rsidP="00344910">
      <w:r w:rsidRPr="00C866E2">
        <w:t>Messaging should be simple and in language appropriate to meet stakeholder communication needs.</w:t>
      </w:r>
    </w:p>
    <w:p w14:paraId="453F6DE9" w14:textId="3DC0005D" w:rsidR="00EC6BB2" w:rsidRDefault="00EC6BB2" w:rsidP="001F6FAD">
      <w:pPr>
        <w:pStyle w:val="Heading2"/>
      </w:pPr>
      <w:r>
        <w:t>References</w:t>
      </w:r>
    </w:p>
    <w:p w14:paraId="51D69DFB" w14:textId="023E9F00" w:rsidR="004A4D1A" w:rsidRPr="004A4D1A" w:rsidRDefault="004A4D1A" w:rsidP="00DA1118">
      <w:pPr>
        <w:pStyle w:val="ListNumber"/>
        <w:ind w:left="360" w:hanging="360"/>
        <w:rPr>
          <w:lang w:eastAsia="ja-JP"/>
        </w:rPr>
      </w:pPr>
      <w:r>
        <w:rPr>
          <w:lang w:eastAsia="ja-JP"/>
        </w:rPr>
        <w:t>AHC48_OOS29_</w:t>
      </w:r>
      <w:r w:rsidR="00E41D30">
        <w:rPr>
          <w:lang w:eastAsia="ja-JP"/>
        </w:rPr>
        <w:t>R</w:t>
      </w:r>
      <w:r w:rsidR="00DA1118">
        <w:rPr>
          <w:lang w:eastAsia="ja-JP"/>
        </w:rPr>
        <w:t>ESOLUTION_</w:t>
      </w:r>
      <w:r w:rsidR="00C3468B">
        <w:rPr>
          <w:lang w:eastAsia="ja-JP"/>
        </w:rPr>
        <w:t>Testing arrangements and cost-sharing of laboratory costs during an EAD response.</w:t>
      </w:r>
    </w:p>
    <w:p w14:paraId="2C235BE9" w14:textId="022AF681" w:rsidR="001F6FAD" w:rsidRDefault="001F6FAD" w:rsidP="001F6FAD">
      <w:pPr>
        <w:pStyle w:val="Heading2"/>
      </w:pPr>
      <w:r w:rsidRPr="001F6FAD">
        <w:t>More information</w:t>
      </w:r>
    </w:p>
    <w:p w14:paraId="5EF12550" w14:textId="71CDB47D" w:rsidR="001F6FAD" w:rsidRDefault="001F6FAD" w:rsidP="001F6FAD">
      <w:pPr>
        <w:rPr>
          <w:lang w:eastAsia="ja-JP"/>
        </w:rPr>
      </w:pPr>
      <w:r>
        <w:rPr>
          <w:lang w:eastAsia="ja-JP"/>
        </w:rPr>
        <w:t xml:space="preserve">Learn more about </w:t>
      </w:r>
      <w:r w:rsidR="00EC6BB2">
        <w:rPr>
          <w:lang w:eastAsia="ja-JP"/>
        </w:rPr>
        <w:t xml:space="preserve">the </w:t>
      </w:r>
      <w:hyperlink r:id="rId11" w:history="1">
        <w:r w:rsidR="00EC6BB2" w:rsidRPr="00EC6BB2">
          <w:rPr>
            <w:rStyle w:val="Hyperlink"/>
            <w:lang w:eastAsia="ja-JP"/>
          </w:rPr>
          <w:t>Animal Health Committee</w:t>
        </w:r>
      </w:hyperlink>
      <w:r w:rsidR="00EC6BB2">
        <w:rPr>
          <w:lang w:eastAsia="ja-JP"/>
        </w:rPr>
        <w:t>.</w:t>
      </w:r>
      <w:r>
        <w:rPr>
          <w:lang w:eastAsia="ja-JP"/>
        </w:rPr>
        <w:t xml:space="preserve"> </w:t>
      </w:r>
    </w:p>
    <w:p w14:paraId="2FA0555F" w14:textId="027FF6C8" w:rsidR="001F6FAD" w:rsidRPr="00A60120" w:rsidRDefault="001F6FAD" w:rsidP="00A60120">
      <w:pPr>
        <w:spacing w:after="360"/>
      </w:pPr>
      <w:r>
        <w:rPr>
          <w:lang w:eastAsia="ja-JP"/>
        </w:rPr>
        <w:t xml:space="preserve">Email </w:t>
      </w:r>
      <w:hyperlink r:id="rId12" w:history="1">
        <w:r w:rsidR="00EC6BB2" w:rsidRPr="00BD0648">
          <w:rPr>
            <w:rStyle w:val="Hyperlink"/>
            <w:lang w:eastAsia="ja-JP"/>
          </w:rPr>
          <w:t>ahc@agriculture.gov.au</w:t>
        </w:r>
      </w:hyperlink>
    </w:p>
    <w:p w14:paraId="272E3A82" w14:textId="069934A5" w:rsidR="000A5BA0" w:rsidRDefault="000A5BA0" w:rsidP="000A5BA0">
      <w:pPr>
        <w:pStyle w:val="Normalsmall"/>
      </w:pPr>
      <w:r>
        <w:rPr>
          <w:rStyle w:val="Strong"/>
        </w:rPr>
        <w:lastRenderedPageBreak/>
        <w:t>Acknowledgement of Country</w:t>
      </w:r>
    </w:p>
    <w:p w14:paraId="338752C3" w14:textId="77777777" w:rsidR="000A5BA0" w:rsidRPr="000A5BA0" w:rsidRDefault="000A5BA0" w:rsidP="000A5BA0">
      <w:pPr>
        <w:pStyle w:val="Normalsmall"/>
        <w:rPr>
          <w:rStyle w:val="Hyperlink"/>
          <w:color w:val="auto"/>
          <w:u w:val="none"/>
        </w:rPr>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697ECBE5" w14:textId="77777777" w:rsidR="00E9781D" w:rsidRDefault="00E9781D" w:rsidP="00E9781D">
      <w:pPr>
        <w:pStyle w:val="Normalsmall"/>
        <w:spacing w:before="360"/>
      </w:pPr>
      <w:r>
        <w:t>© Commonwealth of Australia 202</w:t>
      </w:r>
      <w:r w:rsidR="001233A8">
        <w:t>2</w:t>
      </w:r>
    </w:p>
    <w:p w14:paraId="4060EDDA" w14:textId="77777777" w:rsidR="00E9781D" w:rsidRDefault="00E9781D" w:rsidP="00E9781D">
      <w:pPr>
        <w:pStyle w:val="Normalsmall"/>
      </w:pPr>
      <w:r>
        <w:t>Unless otherwise noted, copyright (and any other intellectual property rights) in this publication is owned by the Commonwealth of Australia (referred to as the Commonwealth).</w:t>
      </w:r>
    </w:p>
    <w:p w14:paraId="61919FFB" w14:textId="77777777" w:rsidR="00E9781D" w:rsidRDefault="00E9781D" w:rsidP="00E9781D">
      <w:pPr>
        <w:pStyle w:val="Normalsmall"/>
      </w:pPr>
      <w:r>
        <w:t xml:space="preserve">All material in this publication is licensed under a </w:t>
      </w:r>
      <w:hyperlink r:id="rId13" w:history="1">
        <w:r>
          <w:rPr>
            <w:rStyle w:val="Hyperlink"/>
          </w:rPr>
          <w:t>Creative Commons Attribution 4.0 International Licence</w:t>
        </w:r>
      </w:hyperlink>
      <w:r>
        <w:t xml:space="preserve"> except content supplied by third parties, logos and the Commonwealth Coat of Arms.</w:t>
      </w:r>
    </w:p>
    <w:p w14:paraId="2AB34D95" w14:textId="77777777" w:rsidR="00B404AB" w:rsidRDefault="00E9781D" w:rsidP="00E9781D">
      <w:pPr>
        <w:pStyle w:val="Normalsmall"/>
      </w:pPr>
      <w:r>
        <w:t xml:space="preserve">The Australian Government acting through the </w:t>
      </w:r>
      <w:r w:rsidR="009C37F9" w:rsidRPr="007B1F92">
        <w:t>Department of Agriculture, Fisheries and Forestry</w:t>
      </w:r>
      <w:r w:rsidR="009C37F9">
        <w:t xml:space="preserve"> </w:t>
      </w:r>
      <w:r>
        <w:t xml:space="preserve">has exercised due care and skill in preparing and compiling the information and data in this publication. Notwithstanding, the </w:t>
      </w:r>
      <w:r w:rsidR="009C37F9"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B404AB" w:rsidSect="008B22A2">
      <w:headerReference w:type="even" r:id="rId14"/>
      <w:headerReference w:type="default" r:id="rId15"/>
      <w:footerReference w:type="even" r:id="rId16"/>
      <w:footerReference w:type="default" r:id="rId17"/>
      <w:headerReference w:type="first" r:id="rId18"/>
      <w:footerReference w:type="first" r:id="rId19"/>
      <w:pgSz w:w="11906" w:h="16838" w:code="9"/>
      <w:pgMar w:top="1418" w:right="1247" w:bottom="1134" w:left="1247" w:header="56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9E8F6" w14:textId="77777777" w:rsidR="006A3FAE" w:rsidRDefault="006A3FAE">
      <w:r>
        <w:separator/>
      </w:r>
    </w:p>
    <w:p w14:paraId="591B1B61" w14:textId="77777777" w:rsidR="006A3FAE" w:rsidRDefault="006A3FAE"/>
    <w:p w14:paraId="7FF6355F" w14:textId="77777777" w:rsidR="006A3FAE" w:rsidRDefault="006A3FAE"/>
  </w:endnote>
  <w:endnote w:type="continuationSeparator" w:id="0">
    <w:p w14:paraId="4620D5EA" w14:textId="77777777" w:rsidR="006A3FAE" w:rsidRDefault="006A3FAE">
      <w:r>
        <w:continuationSeparator/>
      </w:r>
    </w:p>
    <w:p w14:paraId="74BB5EA7" w14:textId="77777777" w:rsidR="006A3FAE" w:rsidRDefault="006A3FAE"/>
    <w:p w14:paraId="532B150B" w14:textId="77777777" w:rsidR="006A3FAE" w:rsidRDefault="006A3FAE"/>
  </w:endnote>
  <w:endnote w:type="continuationNotice" w:id="1">
    <w:p w14:paraId="5CC7C19A" w14:textId="77777777" w:rsidR="006A3FAE" w:rsidRDefault="006A3FAE">
      <w:pPr>
        <w:pStyle w:val="Footer"/>
      </w:pPr>
    </w:p>
    <w:p w14:paraId="765B1D5D" w14:textId="77777777" w:rsidR="006A3FAE" w:rsidRDefault="006A3FAE"/>
    <w:p w14:paraId="2082729F" w14:textId="77777777" w:rsidR="006A3FAE" w:rsidRDefault="006A3F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SFVG+Cambri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2212" w14:textId="46D8F4E3" w:rsidR="00E3139E" w:rsidRDefault="00E3139E">
    <w:pPr>
      <w:pStyle w:val="Footer"/>
    </w:pPr>
    <w:r>
      <w:rPr>
        <w:noProof/>
      </w:rPr>
      <mc:AlternateContent>
        <mc:Choice Requires="wps">
          <w:drawing>
            <wp:anchor distT="0" distB="0" distL="0" distR="0" simplePos="0" relativeHeight="251662336" behindDoc="0" locked="0" layoutInCell="1" allowOverlap="1" wp14:anchorId="0C37921E" wp14:editId="7FBFE2DD">
              <wp:simplePos x="635" y="635"/>
              <wp:positionH relativeFrom="page">
                <wp:align>center</wp:align>
              </wp:positionH>
              <wp:positionV relativeFrom="page">
                <wp:align>bottom</wp:align>
              </wp:positionV>
              <wp:extent cx="551815" cy="404495"/>
              <wp:effectExtent l="0" t="0" r="635" b="0"/>
              <wp:wrapNone/>
              <wp:docPr id="58830076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73FD1E8" w14:textId="2664953D"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37921E"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73FD1E8" w14:textId="2664953D"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B3EA" w14:textId="67053A1B" w:rsidR="003C14AC" w:rsidRDefault="00E3139E" w:rsidP="003C14AC">
    <w:pPr>
      <w:pStyle w:val="Footer"/>
    </w:pPr>
    <w:r>
      <w:rPr>
        <w:noProof/>
      </w:rPr>
      <mc:AlternateContent>
        <mc:Choice Requires="wps">
          <w:drawing>
            <wp:anchor distT="0" distB="0" distL="0" distR="0" simplePos="0" relativeHeight="251663360" behindDoc="0" locked="0" layoutInCell="1" allowOverlap="1" wp14:anchorId="4E930DAD" wp14:editId="1C9554A7">
              <wp:simplePos x="792480" y="10050145"/>
              <wp:positionH relativeFrom="page">
                <wp:align>center</wp:align>
              </wp:positionH>
              <wp:positionV relativeFrom="page">
                <wp:align>bottom</wp:align>
              </wp:positionV>
              <wp:extent cx="551815" cy="404495"/>
              <wp:effectExtent l="0" t="0" r="635" b="0"/>
              <wp:wrapNone/>
              <wp:docPr id="125781045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FFBDD87" w14:textId="5C6E7D93"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930DAD"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5FFBDD87" w14:textId="5C6E7D93"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r w:rsidR="003C14AC">
      <w:t>Animal Health Committee</w:t>
    </w:r>
  </w:p>
  <w:p w14:paraId="1E152251" w14:textId="77777777" w:rsidR="000542B4" w:rsidRDefault="00000000" w:rsidP="000542B4">
    <w:pPr>
      <w:pStyle w:val="Footer"/>
    </w:pP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9D9F" w14:textId="77777777" w:rsidR="00E3139E" w:rsidRDefault="00E3139E" w:rsidP="00A77E8E">
    <w:pPr>
      <w:pStyle w:val="Footer"/>
    </w:pPr>
    <w:r>
      <w:rPr>
        <w:noProof/>
      </w:rPr>
      <mc:AlternateContent>
        <mc:Choice Requires="wps">
          <w:drawing>
            <wp:anchor distT="0" distB="0" distL="0" distR="0" simplePos="0" relativeHeight="251661312" behindDoc="0" locked="0" layoutInCell="1" allowOverlap="1" wp14:anchorId="5667CB49" wp14:editId="134E3DE0">
              <wp:simplePos x="790575" y="9820275"/>
              <wp:positionH relativeFrom="page">
                <wp:align>center</wp:align>
              </wp:positionH>
              <wp:positionV relativeFrom="page">
                <wp:align>bottom</wp:align>
              </wp:positionV>
              <wp:extent cx="551815" cy="404495"/>
              <wp:effectExtent l="0" t="0" r="635" b="0"/>
              <wp:wrapNone/>
              <wp:docPr id="142531127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89F09F4" w14:textId="384DB21A"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67CB49"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689F09F4" w14:textId="384DB21A"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p>
  <w:sdt>
    <w:sdtPr>
      <w:id w:val="-858040093"/>
      <w:docPartObj>
        <w:docPartGallery w:val="Page Numbers (Bottom of Page)"/>
        <w:docPartUnique/>
      </w:docPartObj>
    </w:sdtPr>
    <w:sdtEndPr>
      <w:rPr>
        <w:noProof/>
      </w:rPr>
    </w:sdtEndPr>
    <w:sdtContent>
      <w:p w14:paraId="60E23D33" w14:textId="17B66ED5" w:rsidR="000542B4" w:rsidRDefault="00201EA6" w:rsidP="00A77E8E">
        <w:pPr>
          <w:pStyle w:val="Footer"/>
        </w:pPr>
        <w:r>
          <w:t>Animal Health Committee</w:t>
        </w:r>
      </w:p>
      <w:p w14:paraId="6252AAA9" w14:textId="77777777" w:rsidR="00577F29" w:rsidRDefault="00A77E8E" w:rsidP="00A77E8E">
        <w:pPr>
          <w:pStyle w:val="Footer"/>
        </w:pPr>
        <w:r>
          <w:fldChar w:fldCharType="begin"/>
        </w:r>
        <w:r>
          <w:instrText xml:space="preserve"> PAGE   \* MERGEFORMAT </w:instrText>
        </w:r>
        <w:r>
          <w:fldChar w:fldCharType="separate"/>
        </w:r>
        <w:r w:rsidR="00A8157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4D89A" w14:textId="77777777" w:rsidR="006A3FAE" w:rsidRDefault="006A3FAE">
      <w:r>
        <w:separator/>
      </w:r>
    </w:p>
    <w:p w14:paraId="22765CF2" w14:textId="77777777" w:rsidR="006A3FAE" w:rsidRDefault="006A3FAE"/>
    <w:p w14:paraId="31D870F4" w14:textId="77777777" w:rsidR="006A3FAE" w:rsidRDefault="006A3FAE"/>
  </w:footnote>
  <w:footnote w:type="continuationSeparator" w:id="0">
    <w:p w14:paraId="4D804899" w14:textId="77777777" w:rsidR="006A3FAE" w:rsidRDefault="006A3FAE">
      <w:r>
        <w:continuationSeparator/>
      </w:r>
    </w:p>
    <w:p w14:paraId="4D6E0141" w14:textId="77777777" w:rsidR="006A3FAE" w:rsidRDefault="006A3FAE"/>
    <w:p w14:paraId="1032F521" w14:textId="77777777" w:rsidR="006A3FAE" w:rsidRDefault="006A3FAE"/>
  </w:footnote>
  <w:footnote w:type="continuationNotice" w:id="1">
    <w:p w14:paraId="3355D8F8" w14:textId="77777777" w:rsidR="006A3FAE" w:rsidRDefault="006A3FAE">
      <w:pPr>
        <w:pStyle w:val="Footer"/>
      </w:pPr>
    </w:p>
    <w:p w14:paraId="7F7173B0" w14:textId="77777777" w:rsidR="006A3FAE" w:rsidRDefault="006A3FAE"/>
    <w:p w14:paraId="3E701FB9" w14:textId="77777777" w:rsidR="006A3FAE" w:rsidRDefault="006A3F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CAE1" w14:textId="01A79C61" w:rsidR="00E3139E" w:rsidRDefault="00E3139E">
    <w:pPr>
      <w:pStyle w:val="Header"/>
    </w:pPr>
    <w:r>
      <w:rPr>
        <w:noProof/>
      </w:rPr>
      <mc:AlternateContent>
        <mc:Choice Requires="wps">
          <w:drawing>
            <wp:anchor distT="0" distB="0" distL="0" distR="0" simplePos="0" relativeHeight="251659264" behindDoc="0" locked="0" layoutInCell="1" allowOverlap="1" wp14:anchorId="1626F36F" wp14:editId="4610CB34">
              <wp:simplePos x="635" y="635"/>
              <wp:positionH relativeFrom="page">
                <wp:align>center</wp:align>
              </wp:positionH>
              <wp:positionV relativeFrom="page">
                <wp:align>top</wp:align>
              </wp:positionV>
              <wp:extent cx="551815" cy="404495"/>
              <wp:effectExtent l="0" t="0" r="635" b="14605"/>
              <wp:wrapNone/>
              <wp:docPr id="35137445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6EDC85B" w14:textId="4B2C2905"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26F36F"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6EDC85B" w14:textId="4B2C2905"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5836" w14:textId="57D5B25A" w:rsidR="000542B4" w:rsidRPr="009F0693" w:rsidRDefault="00E3139E" w:rsidP="009F0693">
    <w:pPr>
      <w:pStyle w:val="Header"/>
    </w:pPr>
    <w:r>
      <w:rPr>
        <w:noProof/>
      </w:rPr>
      <mc:AlternateContent>
        <mc:Choice Requires="wps">
          <w:drawing>
            <wp:anchor distT="0" distB="0" distL="0" distR="0" simplePos="0" relativeHeight="251660288" behindDoc="0" locked="0" layoutInCell="1" allowOverlap="1" wp14:anchorId="452FD721" wp14:editId="3157416D">
              <wp:simplePos x="792480" y="360680"/>
              <wp:positionH relativeFrom="page">
                <wp:align>center</wp:align>
              </wp:positionH>
              <wp:positionV relativeFrom="page">
                <wp:align>top</wp:align>
              </wp:positionV>
              <wp:extent cx="551815" cy="404495"/>
              <wp:effectExtent l="0" t="0" r="635" b="14605"/>
              <wp:wrapNone/>
              <wp:docPr id="86953302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FD46377" w14:textId="61F8973B"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2FD721"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0FD46377" w14:textId="61F8973B"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D224" w14:textId="5426EF83" w:rsidR="000E455C" w:rsidRDefault="00E3139E" w:rsidP="00A8157A">
    <w:pPr>
      <w:pStyle w:val="Footer"/>
      <w:spacing w:after="0"/>
      <w:jc w:val="left"/>
    </w:pPr>
    <w:r>
      <w:rPr>
        <w:noProof/>
      </w:rPr>
      <mc:AlternateContent>
        <mc:Choice Requires="wps">
          <w:drawing>
            <wp:anchor distT="0" distB="0" distL="0" distR="0" simplePos="0" relativeHeight="251658240" behindDoc="0" locked="0" layoutInCell="1" allowOverlap="1" wp14:anchorId="74BF4FB3" wp14:editId="3FEEFF22">
              <wp:simplePos x="790575" y="361950"/>
              <wp:positionH relativeFrom="page">
                <wp:align>center</wp:align>
              </wp:positionH>
              <wp:positionV relativeFrom="page">
                <wp:align>top</wp:align>
              </wp:positionV>
              <wp:extent cx="551815" cy="404495"/>
              <wp:effectExtent l="0" t="0" r="635" b="14605"/>
              <wp:wrapNone/>
              <wp:docPr id="94580292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7EDE712" w14:textId="1CC64FAB"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BF4FB3"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7EDE712" w14:textId="1CC64FAB" w:rsidR="00E3139E" w:rsidRPr="00E3139E" w:rsidRDefault="00E3139E" w:rsidP="00E3139E">
                    <w:pPr>
                      <w:spacing w:after="0"/>
                      <w:rPr>
                        <w:rFonts w:ascii="Calibri" w:eastAsia="Calibri" w:hAnsi="Calibri" w:cs="Calibri"/>
                        <w:noProof/>
                        <w:color w:val="FF0000"/>
                        <w:sz w:val="24"/>
                        <w:szCs w:val="24"/>
                      </w:rPr>
                    </w:pPr>
                    <w:r w:rsidRPr="00E3139E">
                      <w:rPr>
                        <w:rFonts w:ascii="Calibri" w:eastAsia="Calibri" w:hAnsi="Calibri" w:cs="Calibri"/>
                        <w:noProof/>
                        <w:color w:val="FF0000"/>
                        <w:sz w:val="24"/>
                        <w:szCs w:val="24"/>
                      </w:rPr>
                      <w:t>OFFICIAL</w:t>
                    </w:r>
                  </w:p>
                </w:txbxContent>
              </v:textbox>
              <w10:wrap anchorx="page" anchory="page"/>
            </v:shape>
          </w:pict>
        </mc:Fallback>
      </mc:AlternateContent>
    </w:r>
    <w:r w:rsidR="006363F1">
      <w:rPr>
        <w:noProof/>
      </w:rPr>
      <w:drawing>
        <wp:inline distT="0" distB="0" distL="0" distR="0" wp14:anchorId="1A6C6E02" wp14:editId="7368F48B">
          <wp:extent cx="5400675" cy="1257300"/>
          <wp:effectExtent l="0" t="0" r="9525" b="0"/>
          <wp:docPr id="1" name="Picture 1" descr="Australian Government Logo and Animal Health Committ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Logo and Animal Health Committee Logo"/>
                  <pic:cNvPicPr/>
                </pic:nvPicPr>
                <pic:blipFill>
                  <a:blip r:embed="rId1">
                    <a:extLst>
                      <a:ext uri="{28A0092B-C50C-407E-A947-70E740481C1C}">
                        <a14:useLocalDpi xmlns:a14="http://schemas.microsoft.com/office/drawing/2010/main" val="0"/>
                      </a:ext>
                    </a:extLst>
                  </a:blip>
                  <a:stretch>
                    <a:fillRect/>
                  </a:stretch>
                </pic:blipFill>
                <pic:spPr>
                  <a:xfrm>
                    <a:off x="0" y="0"/>
                    <a:ext cx="5400675" cy="1257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6C74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247FD8"/>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0FEC1BD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0C2FE9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7FE7D78"/>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8"/>
    <w:multiLevelType w:val="singleLevel"/>
    <w:tmpl w:val="8D486AFA"/>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C6322164"/>
    <w:lvl w:ilvl="0">
      <w:start w:val="1"/>
      <w:numFmt w:val="bullet"/>
      <w:lvlText w:val=""/>
      <w:lvlJc w:val="left"/>
      <w:pPr>
        <w:tabs>
          <w:tab w:val="num" w:pos="360"/>
        </w:tabs>
        <w:ind w:left="360" w:hanging="360"/>
      </w:pPr>
      <w:rPr>
        <w:rFonts w:ascii="Symbol" w:hAnsi="Symbol" w:hint="default"/>
        <w:color w:val="auto"/>
      </w:rPr>
    </w:lvl>
  </w:abstractNum>
  <w:abstractNum w:abstractNumId="7" w15:restartNumberingAfterBreak="0">
    <w:nsid w:val="048C10CA"/>
    <w:multiLevelType w:val="hybridMultilevel"/>
    <w:tmpl w:val="904668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0E3402E6"/>
    <w:multiLevelType w:val="hybridMultilevel"/>
    <w:tmpl w:val="9EEA159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16AF7747"/>
    <w:multiLevelType w:val="hybridMultilevel"/>
    <w:tmpl w:val="75465F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196B606F"/>
    <w:multiLevelType w:val="hybridMultilevel"/>
    <w:tmpl w:val="E0560262"/>
    <w:lvl w:ilvl="0" w:tplc="B9FA63BE">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3"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04700F4"/>
    <w:multiLevelType w:val="hybridMultilevel"/>
    <w:tmpl w:val="8E5CE1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21A328D5"/>
    <w:multiLevelType w:val="multilevel"/>
    <w:tmpl w:val="47AAA7EE"/>
    <w:numStyleLink w:val="Numberlist"/>
  </w:abstractNum>
  <w:abstractNum w:abstractNumId="16"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B103637"/>
    <w:multiLevelType w:val="multilevel"/>
    <w:tmpl w:val="47AAA7EE"/>
    <w:numStyleLink w:val="Numberlist"/>
  </w:abstractNum>
  <w:abstractNum w:abstractNumId="18" w15:restartNumberingAfterBreak="0">
    <w:nsid w:val="2C6274CC"/>
    <w:multiLevelType w:val="hybridMultilevel"/>
    <w:tmpl w:val="2AAC50D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394A15FE"/>
    <w:multiLevelType w:val="multilevel"/>
    <w:tmpl w:val="F36C17E8"/>
    <w:numStyleLink w:val="Headinglist"/>
  </w:abstractNum>
  <w:abstractNum w:abstractNumId="20" w15:restartNumberingAfterBreak="0">
    <w:nsid w:val="3BD81DEB"/>
    <w:multiLevelType w:val="hybridMultilevel"/>
    <w:tmpl w:val="7FEAC0D6"/>
    <w:lvl w:ilvl="0" w:tplc="6F14B994">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14F4729"/>
    <w:multiLevelType w:val="multilevel"/>
    <w:tmpl w:val="A0241B28"/>
    <w:numStyleLink w:val="List1"/>
  </w:abstractNum>
  <w:abstractNum w:abstractNumId="22" w15:restartNumberingAfterBreak="0">
    <w:nsid w:val="437511A8"/>
    <w:multiLevelType w:val="hybridMultilevel"/>
    <w:tmpl w:val="3D5EA1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5FF11B6"/>
    <w:multiLevelType w:val="hybridMultilevel"/>
    <w:tmpl w:val="91CEEF22"/>
    <w:lvl w:ilvl="0" w:tplc="6F4651A8">
      <w:start w:val="1"/>
      <w:numFmt w:val="lowerLetter"/>
      <w:pStyle w:val="ListNumber2"/>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15:restartNumberingAfterBreak="0">
    <w:nsid w:val="486800B4"/>
    <w:multiLevelType w:val="multilevel"/>
    <w:tmpl w:val="A0241B28"/>
    <w:numStyleLink w:val="List1"/>
  </w:abstractNum>
  <w:abstractNum w:abstractNumId="25"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26" w15:restartNumberingAfterBreak="0">
    <w:nsid w:val="496159DC"/>
    <w:multiLevelType w:val="multilevel"/>
    <w:tmpl w:val="47AAA7EE"/>
    <w:numStyleLink w:val="Numberlist"/>
  </w:abstractNum>
  <w:abstractNum w:abstractNumId="27" w15:restartNumberingAfterBreak="0">
    <w:nsid w:val="4AFE37F1"/>
    <w:multiLevelType w:val="hybridMultilevel"/>
    <w:tmpl w:val="48CE9E5C"/>
    <w:lvl w:ilvl="0" w:tplc="0C09000F">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28"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BD74CFC"/>
    <w:multiLevelType w:val="hybridMultilevel"/>
    <w:tmpl w:val="323CB438"/>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D7303BF"/>
    <w:multiLevelType w:val="hybridMultilevel"/>
    <w:tmpl w:val="48CE9E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0C150A6"/>
    <w:multiLevelType w:val="hybridMultilevel"/>
    <w:tmpl w:val="897AAF82"/>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33" w15:restartNumberingAfterBreak="0">
    <w:nsid w:val="5A8B541B"/>
    <w:multiLevelType w:val="multilevel"/>
    <w:tmpl w:val="03FE8AF0"/>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5"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6" w15:restartNumberingAfterBreak="0">
    <w:nsid w:val="61164DD0"/>
    <w:multiLevelType w:val="hybridMultilevel"/>
    <w:tmpl w:val="FC281CCE"/>
    <w:lvl w:ilvl="0" w:tplc="0C09000F">
      <w:start w:val="1"/>
      <w:numFmt w:val="decimal"/>
      <w:lvlText w:val="%1."/>
      <w:lvlJc w:val="left"/>
      <w:pPr>
        <w:ind w:left="6" w:hanging="360"/>
      </w:pPr>
      <w:rPr>
        <w:rFonts w:hint="default"/>
      </w:rPr>
    </w:lvl>
    <w:lvl w:ilvl="1" w:tplc="0C090015">
      <w:start w:val="1"/>
      <w:numFmt w:val="upperLetter"/>
      <w:lvlText w:val="%2."/>
      <w:lvlJc w:val="left"/>
      <w:pPr>
        <w:ind w:left="726" w:hanging="360"/>
      </w:pPr>
      <w:rPr>
        <w:rFonts w:hint="default"/>
      </w:rPr>
    </w:lvl>
    <w:lvl w:ilvl="2" w:tplc="0C090005" w:tentative="1">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37" w15:restartNumberingAfterBreak="0">
    <w:nsid w:val="63464AA3"/>
    <w:multiLevelType w:val="hybridMultilevel"/>
    <w:tmpl w:val="216C7834"/>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start w:val="1"/>
      <w:numFmt w:val="bullet"/>
      <w:lvlText w:val=""/>
      <w:lvlJc w:val="left"/>
      <w:pPr>
        <w:ind w:left="2210" w:hanging="360"/>
      </w:pPr>
      <w:rPr>
        <w:rFonts w:ascii="Wingdings" w:hAnsi="Wingdings" w:hint="default"/>
      </w:rPr>
    </w:lvl>
    <w:lvl w:ilvl="3" w:tplc="0C090001">
      <w:start w:val="1"/>
      <w:numFmt w:val="bullet"/>
      <w:lvlText w:val=""/>
      <w:lvlJc w:val="left"/>
      <w:pPr>
        <w:ind w:left="2930" w:hanging="360"/>
      </w:pPr>
      <w:rPr>
        <w:rFonts w:ascii="Symbol" w:hAnsi="Symbol" w:hint="default"/>
      </w:rPr>
    </w:lvl>
    <w:lvl w:ilvl="4" w:tplc="0C090003">
      <w:start w:val="1"/>
      <w:numFmt w:val="bullet"/>
      <w:lvlText w:val="o"/>
      <w:lvlJc w:val="left"/>
      <w:pPr>
        <w:ind w:left="3650" w:hanging="360"/>
      </w:pPr>
      <w:rPr>
        <w:rFonts w:ascii="Courier New" w:hAnsi="Courier New" w:cs="Courier New" w:hint="default"/>
      </w:rPr>
    </w:lvl>
    <w:lvl w:ilvl="5" w:tplc="0C090005">
      <w:start w:val="1"/>
      <w:numFmt w:val="bullet"/>
      <w:lvlText w:val=""/>
      <w:lvlJc w:val="left"/>
      <w:pPr>
        <w:ind w:left="4370" w:hanging="360"/>
      </w:pPr>
      <w:rPr>
        <w:rFonts w:ascii="Wingdings" w:hAnsi="Wingdings" w:hint="default"/>
      </w:rPr>
    </w:lvl>
    <w:lvl w:ilvl="6" w:tplc="0C090001">
      <w:start w:val="1"/>
      <w:numFmt w:val="bullet"/>
      <w:lvlText w:val=""/>
      <w:lvlJc w:val="left"/>
      <w:pPr>
        <w:ind w:left="5090" w:hanging="360"/>
      </w:pPr>
      <w:rPr>
        <w:rFonts w:ascii="Symbol" w:hAnsi="Symbol" w:hint="default"/>
      </w:rPr>
    </w:lvl>
    <w:lvl w:ilvl="7" w:tplc="0C090003">
      <w:start w:val="1"/>
      <w:numFmt w:val="bullet"/>
      <w:lvlText w:val="o"/>
      <w:lvlJc w:val="left"/>
      <w:pPr>
        <w:ind w:left="5810" w:hanging="360"/>
      </w:pPr>
      <w:rPr>
        <w:rFonts w:ascii="Courier New" w:hAnsi="Courier New" w:cs="Courier New" w:hint="default"/>
      </w:rPr>
    </w:lvl>
    <w:lvl w:ilvl="8" w:tplc="0C090005">
      <w:start w:val="1"/>
      <w:numFmt w:val="bullet"/>
      <w:lvlText w:val=""/>
      <w:lvlJc w:val="left"/>
      <w:pPr>
        <w:ind w:left="6530" w:hanging="360"/>
      </w:pPr>
      <w:rPr>
        <w:rFonts w:ascii="Wingdings" w:hAnsi="Wingdings" w:hint="default"/>
      </w:rPr>
    </w:lvl>
  </w:abstractNum>
  <w:abstractNum w:abstractNumId="38"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AEE0A34"/>
    <w:multiLevelType w:val="hybridMultilevel"/>
    <w:tmpl w:val="38743F72"/>
    <w:lvl w:ilvl="0" w:tplc="B5506130">
      <w:start w:val="1"/>
      <w:numFmt w:val="lowerRoman"/>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40" w15:restartNumberingAfterBreak="0">
    <w:nsid w:val="6C8C10A1"/>
    <w:multiLevelType w:val="multilevel"/>
    <w:tmpl w:val="47AAA7EE"/>
    <w:numStyleLink w:val="Numberlist"/>
  </w:abstractNum>
  <w:abstractNum w:abstractNumId="41" w15:restartNumberingAfterBreak="0">
    <w:nsid w:val="733934B7"/>
    <w:multiLevelType w:val="multilevel"/>
    <w:tmpl w:val="A0241B28"/>
    <w:numStyleLink w:val="List1"/>
  </w:abstractNum>
  <w:num w:numId="1" w16cid:durableId="956760409">
    <w:abstractNumId w:val="6"/>
  </w:num>
  <w:num w:numId="2" w16cid:durableId="1558467801">
    <w:abstractNumId w:val="24"/>
  </w:num>
  <w:num w:numId="3" w16cid:durableId="1391002950">
    <w:abstractNumId w:val="25"/>
  </w:num>
  <w:num w:numId="4" w16cid:durableId="163668770">
    <w:abstractNumId w:val="12"/>
  </w:num>
  <w:num w:numId="5" w16cid:durableId="1905025752">
    <w:abstractNumId w:val="34"/>
  </w:num>
  <w:num w:numId="6" w16cid:durableId="320934746">
    <w:abstractNumId w:val="35"/>
  </w:num>
  <w:num w:numId="7" w16cid:durableId="2077165610">
    <w:abstractNumId w:val="8"/>
  </w:num>
  <w:num w:numId="8" w16cid:durableId="1728845122">
    <w:abstractNumId w:val="16"/>
  </w:num>
  <w:num w:numId="9" w16cid:durableId="1190334111">
    <w:abstractNumId w:val="19"/>
  </w:num>
  <w:num w:numId="10" w16cid:durableId="1108886631">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3186383">
    <w:abstractNumId w:val="5"/>
  </w:num>
  <w:num w:numId="12" w16cid:durableId="1200166742">
    <w:abstractNumId w:val="4"/>
  </w:num>
  <w:num w:numId="13" w16cid:durableId="1213467866">
    <w:abstractNumId w:val="3"/>
  </w:num>
  <w:num w:numId="14" w16cid:durableId="470026627">
    <w:abstractNumId w:val="2"/>
  </w:num>
  <w:num w:numId="15" w16cid:durableId="1108357475">
    <w:abstractNumId w:val="13"/>
  </w:num>
  <w:num w:numId="16" w16cid:durableId="595596255">
    <w:abstractNumId w:val="32"/>
  </w:num>
  <w:num w:numId="17" w16cid:durableId="954214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738777">
    <w:abstractNumId w:val="38"/>
  </w:num>
  <w:num w:numId="19" w16cid:durableId="447511908">
    <w:abstractNumId w:val="1"/>
  </w:num>
  <w:num w:numId="20" w16cid:durableId="1757095758">
    <w:abstractNumId w:val="0"/>
  </w:num>
  <w:num w:numId="21" w16cid:durableId="2090542526">
    <w:abstractNumId w:val="17"/>
  </w:num>
  <w:num w:numId="22" w16cid:durableId="64187712">
    <w:abstractNumId w:val="26"/>
  </w:num>
  <w:num w:numId="23" w16cid:durableId="381949125">
    <w:abstractNumId w:val="40"/>
  </w:num>
  <w:num w:numId="24" w16cid:durableId="314916888">
    <w:abstractNumId w:val="15"/>
    <w:lvlOverride w:ilvl="0">
      <w:lvl w:ilvl="0">
        <w:start w:val="1"/>
        <w:numFmt w:val="decimal"/>
        <w:pStyle w:val="ListNumber"/>
        <w:lvlText w:val="%1)"/>
        <w:lvlJc w:val="left"/>
        <w:pPr>
          <w:ind w:left="425" w:hanging="425"/>
        </w:pPr>
        <w:rPr>
          <w:rFonts w:hint="default"/>
          <w:color w:val="auto"/>
        </w:rPr>
      </w:lvl>
    </w:lvlOverride>
    <w:lvlOverride w:ilvl="1">
      <w:lvl w:ilvl="1">
        <w:start w:val="1"/>
        <w:numFmt w:val="lowerLetter"/>
        <w:lvlText w:val="%2)"/>
        <w:lvlJc w:val="left"/>
        <w:pPr>
          <w:ind w:left="851" w:hanging="426"/>
        </w:pPr>
        <w:rPr>
          <w:rFonts w:hint="default"/>
        </w:rPr>
      </w:lvl>
    </w:lvlOverride>
    <w:lvlOverride w:ilvl="2">
      <w:lvl w:ilvl="2">
        <w:start w:val="1"/>
        <w:numFmt w:val="lowerRoman"/>
        <w:lvlText w:val="%3)"/>
        <w:lvlJc w:val="left"/>
        <w:pPr>
          <w:ind w:left="1191" w:hanging="340"/>
        </w:pPr>
        <w:rPr>
          <w:rFonts w:hint="default"/>
        </w:rPr>
      </w:lvl>
    </w:lvlOverride>
    <w:lvlOverride w:ilvl="3">
      <w:lvl w:ilvl="3">
        <w:start w:val="1"/>
        <w:numFmt w:val="decimal"/>
        <w:lvlText w:val="%4."/>
        <w:lvlJc w:val="left"/>
        <w:pPr>
          <w:ind w:left="1276" w:hanging="1276"/>
        </w:pPr>
        <w:rPr>
          <w:rFonts w:hint="default"/>
        </w:rPr>
      </w:lvl>
    </w:lvlOverride>
    <w:lvlOverride w:ilvl="4">
      <w:lvl w:ilvl="4">
        <w:start w:val="1"/>
        <w:numFmt w:val="lowerLetter"/>
        <w:lvlText w:val="%5."/>
        <w:lvlJc w:val="left"/>
        <w:pPr>
          <w:ind w:left="567" w:hanging="567"/>
        </w:pPr>
        <w:rPr>
          <w:rFonts w:hint="default"/>
        </w:rPr>
      </w:lvl>
    </w:lvlOverride>
    <w:lvlOverride w:ilvl="5">
      <w:lvl w:ilvl="5">
        <w:start w:val="1"/>
        <w:numFmt w:val="lowerRoman"/>
        <w:lvlText w:val="%6."/>
        <w:lvlJc w:val="right"/>
        <w:pPr>
          <w:ind w:left="567" w:hanging="567"/>
        </w:pPr>
        <w:rPr>
          <w:rFonts w:hint="default"/>
        </w:rPr>
      </w:lvl>
    </w:lvlOverride>
    <w:lvlOverride w:ilvl="6">
      <w:lvl w:ilvl="6">
        <w:start w:val="1"/>
        <w:numFmt w:val="decimal"/>
        <w:lvlText w:val="%7."/>
        <w:lvlJc w:val="left"/>
        <w:pPr>
          <w:ind w:left="567" w:hanging="567"/>
        </w:pPr>
        <w:rPr>
          <w:rFonts w:hint="default"/>
        </w:rPr>
      </w:lvl>
    </w:lvlOverride>
    <w:lvlOverride w:ilvl="7">
      <w:lvl w:ilvl="7">
        <w:start w:val="1"/>
        <w:numFmt w:val="lowerLetter"/>
        <w:lvlText w:val="%8."/>
        <w:lvlJc w:val="left"/>
        <w:pPr>
          <w:ind w:left="567" w:hanging="567"/>
        </w:pPr>
        <w:rPr>
          <w:rFonts w:hint="default"/>
        </w:rPr>
      </w:lvl>
    </w:lvlOverride>
    <w:lvlOverride w:ilvl="8">
      <w:lvl w:ilvl="8">
        <w:start w:val="1"/>
        <w:numFmt w:val="lowerRoman"/>
        <w:lvlText w:val="%9."/>
        <w:lvlJc w:val="right"/>
        <w:pPr>
          <w:ind w:left="567" w:hanging="567"/>
        </w:pPr>
        <w:rPr>
          <w:rFonts w:hint="default"/>
        </w:rPr>
      </w:lvl>
    </w:lvlOverride>
  </w:num>
  <w:num w:numId="25" w16cid:durableId="525943627">
    <w:abstractNumId w:val="21"/>
  </w:num>
  <w:num w:numId="26" w16cid:durableId="10440205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4680980">
    <w:abstractNumId w:val="41"/>
  </w:num>
  <w:num w:numId="28" w16cid:durableId="1821801649">
    <w:abstractNumId w:val="28"/>
  </w:num>
  <w:num w:numId="29" w16cid:durableId="90051860">
    <w:abstractNumId w:val="33"/>
  </w:num>
  <w:num w:numId="30" w16cid:durableId="735130269">
    <w:abstractNumId w:val="10"/>
  </w:num>
  <w:num w:numId="31" w16cid:durableId="1910505491">
    <w:abstractNumId w:val="36"/>
  </w:num>
  <w:num w:numId="32" w16cid:durableId="2116436647">
    <w:abstractNumId w:val="7"/>
  </w:num>
  <w:num w:numId="33" w16cid:durableId="1806385872">
    <w:abstractNumId w:val="30"/>
  </w:num>
  <w:num w:numId="34" w16cid:durableId="1714190497">
    <w:abstractNumId w:val="27"/>
  </w:num>
  <w:num w:numId="35" w16cid:durableId="276065669">
    <w:abstractNumId w:val="18"/>
  </w:num>
  <w:num w:numId="36" w16cid:durableId="373113875">
    <w:abstractNumId w:val="9"/>
  </w:num>
  <w:num w:numId="37" w16cid:durableId="272635904">
    <w:abstractNumId w:val="20"/>
  </w:num>
  <w:num w:numId="38" w16cid:durableId="380861800">
    <w:abstractNumId w:val="22"/>
  </w:num>
  <w:num w:numId="39" w16cid:durableId="1233278085">
    <w:abstractNumId w:val="15"/>
  </w:num>
  <w:num w:numId="40" w16cid:durableId="1298679185">
    <w:abstractNumId w:val="29"/>
  </w:num>
  <w:num w:numId="41" w16cid:durableId="563806870">
    <w:abstractNumId w:val="31"/>
  </w:num>
  <w:num w:numId="42" w16cid:durableId="1536969655">
    <w:abstractNumId w:val="23"/>
  </w:num>
  <w:num w:numId="43" w16cid:durableId="170535550">
    <w:abstractNumId w:val="39"/>
  </w:num>
  <w:num w:numId="44" w16cid:durableId="438263061">
    <w:abstractNumId w:val="15"/>
    <w:lvlOverride w:ilvl="0">
      <w:startOverride w:val="1"/>
      <w:lvl w:ilvl="0">
        <w:start w:val="1"/>
        <w:numFmt w:val="decimal"/>
        <w:pStyle w:val="ListNumber"/>
        <w:lvlText w:val="%1)"/>
        <w:lvlJc w:val="left"/>
        <w:pPr>
          <w:ind w:left="425" w:hanging="425"/>
        </w:pPr>
        <w:rPr>
          <w:rFonts w:hint="default"/>
          <w:color w:val="auto"/>
        </w:rPr>
      </w:lvl>
    </w:lvlOverride>
    <w:lvlOverride w:ilvl="1">
      <w:startOverride w:val="1"/>
      <w:lvl w:ilvl="1">
        <w:start w:val="1"/>
        <w:numFmt w:val="lowerLetter"/>
        <w:lvlText w:val="%2)"/>
        <w:lvlJc w:val="left"/>
        <w:pPr>
          <w:ind w:left="851" w:hanging="426"/>
        </w:pPr>
        <w:rPr>
          <w:rFonts w:hint="default"/>
        </w:rPr>
      </w:lvl>
    </w:lvlOverride>
    <w:lvlOverride w:ilvl="2">
      <w:startOverride w:val="1"/>
      <w:lvl w:ilvl="2">
        <w:start w:val="1"/>
        <w:numFmt w:val="lowerRoman"/>
        <w:lvlText w:val="%3)"/>
        <w:lvlJc w:val="left"/>
        <w:pPr>
          <w:ind w:left="1191" w:hanging="340"/>
        </w:pPr>
        <w:rPr>
          <w:rFonts w:hint="default"/>
        </w:rPr>
      </w:lvl>
    </w:lvlOverride>
    <w:lvlOverride w:ilvl="3">
      <w:startOverride w:val="1"/>
      <w:lvl w:ilvl="3">
        <w:start w:val="1"/>
        <w:numFmt w:val="decimal"/>
        <w:lvlText w:val="%4."/>
        <w:lvlJc w:val="left"/>
        <w:pPr>
          <w:ind w:left="1276" w:hanging="1276"/>
        </w:pPr>
        <w:rPr>
          <w:rFonts w:hint="default"/>
        </w:rPr>
      </w:lvl>
    </w:lvlOverride>
    <w:lvlOverride w:ilvl="4">
      <w:startOverride w:val="1"/>
      <w:lvl w:ilvl="4">
        <w:start w:val="1"/>
        <w:numFmt w:val="lowerLetter"/>
        <w:lvlText w:val="%5."/>
        <w:lvlJc w:val="left"/>
        <w:pPr>
          <w:ind w:left="567" w:hanging="567"/>
        </w:pPr>
        <w:rPr>
          <w:rFonts w:hint="default"/>
        </w:rPr>
      </w:lvl>
    </w:lvlOverride>
    <w:lvlOverride w:ilvl="5">
      <w:startOverride w:val="1"/>
      <w:lvl w:ilvl="5">
        <w:start w:val="1"/>
        <w:numFmt w:val="lowerRoman"/>
        <w:lvlText w:val="%6."/>
        <w:lvlJc w:val="right"/>
        <w:pPr>
          <w:ind w:left="567" w:hanging="567"/>
        </w:pPr>
        <w:rPr>
          <w:rFonts w:hint="default"/>
        </w:rPr>
      </w:lvl>
    </w:lvlOverride>
    <w:lvlOverride w:ilvl="6">
      <w:startOverride w:val="1"/>
      <w:lvl w:ilvl="6">
        <w:start w:val="1"/>
        <w:numFmt w:val="decimal"/>
        <w:lvlText w:val="%7."/>
        <w:lvlJc w:val="left"/>
        <w:pPr>
          <w:ind w:left="567" w:hanging="567"/>
        </w:pPr>
        <w:rPr>
          <w:rFonts w:hint="default"/>
        </w:rPr>
      </w:lvl>
    </w:lvlOverride>
    <w:lvlOverride w:ilvl="7">
      <w:startOverride w:val="1"/>
      <w:lvl w:ilvl="7">
        <w:start w:val="1"/>
        <w:numFmt w:val="lowerLetter"/>
        <w:lvlText w:val="%8."/>
        <w:lvlJc w:val="left"/>
        <w:pPr>
          <w:ind w:left="567" w:hanging="567"/>
        </w:pPr>
        <w:rPr>
          <w:rFonts w:hint="default"/>
        </w:rPr>
      </w:lvl>
    </w:lvlOverride>
    <w:lvlOverride w:ilvl="8">
      <w:startOverride w:val="1"/>
      <w:lvl w:ilvl="8">
        <w:start w:val="1"/>
        <w:numFmt w:val="lowerRoman"/>
        <w:lvlText w:val="%9."/>
        <w:lvlJc w:val="right"/>
        <w:pPr>
          <w:ind w:left="567" w:hanging="567"/>
        </w:pPr>
        <w:rPr>
          <w:rFonts w:hint="default"/>
        </w:rPr>
      </w:lvl>
    </w:lvlOverride>
  </w:num>
  <w:num w:numId="45" w16cid:durableId="1961566677">
    <w:abstractNumId w:val="23"/>
    <w:lvlOverride w:ilvl="0">
      <w:startOverride w:val="1"/>
    </w:lvlOverride>
  </w:num>
  <w:num w:numId="46" w16cid:durableId="1924417156">
    <w:abstractNumId w:val="37"/>
    <w:lvlOverride w:ilvl="0"/>
    <w:lvlOverride w:ilvl="1"/>
    <w:lvlOverride w:ilvl="2"/>
    <w:lvlOverride w:ilvl="3"/>
    <w:lvlOverride w:ilvl="4"/>
    <w:lvlOverride w:ilvl="5"/>
    <w:lvlOverride w:ilvl="6"/>
    <w:lvlOverride w:ilvl="7"/>
    <w:lvlOverride w:ilvl="8"/>
  </w:num>
  <w:num w:numId="47" w16cid:durableId="1391230583">
    <w:abstractNumId w:val="11"/>
    <w:lvlOverride w:ilvl="0"/>
    <w:lvlOverride w:ilvl="1"/>
    <w:lvlOverride w:ilvl="2"/>
    <w:lvlOverride w:ilvl="3"/>
    <w:lvlOverride w:ilvl="4"/>
    <w:lvlOverride w:ilvl="5"/>
    <w:lvlOverride w:ilvl="6"/>
    <w:lvlOverride w:ilvl="7"/>
    <w:lvlOverride w:ilvl="8"/>
  </w:num>
  <w:num w:numId="48" w16cid:durableId="295061661">
    <w:abstractNumId w:val="14"/>
    <w:lvlOverride w:ilvl="0"/>
    <w:lvlOverride w:ilvl="1"/>
    <w:lvlOverride w:ilvl="2"/>
    <w:lvlOverride w:ilvl="3"/>
    <w:lvlOverride w:ilvl="4"/>
    <w:lvlOverride w:ilvl="5"/>
    <w:lvlOverride w:ilvl="6"/>
    <w:lvlOverride w:ilvl="7"/>
    <w:lvlOverride w:ilvl="8"/>
  </w:num>
  <w:num w:numId="49" w16cid:durableId="2031026377">
    <w:abstractNumId w:val="15"/>
    <w:lvlOverride w:ilvl="0">
      <w:lvl w:ilvl="0">
        <w:start w:val="1"/>
        <w:numFmt w:val="decimal"/>
        <w:pStyle w:val="ListNumber"/>
        <w:lvlText w:val="%1)"/>
        <w:lvlJc w:val="left"/>
        <w:pPr>
          <w:ind w:left="425" w:hanging="425"/>
        </w:pPr>
        <w:rPr>
          <w:rFonts w:hint="default"/>
          <w:color w:val="auto"/>
        </w:rPr>
      </w:lvl>
    </w:lvlOverride>
    <w:lvlOverride w:ilvl="1">
      <w:lvl w:ilvl="1">
        <w:start w:val="1"/>
        <w:numFmt w:val="lowerLetter"/>
        <w:lvlText w:val="%2)"/>
        <w:lvlJc w:val="left"/>
        <w:pPr>
          <w:ind w:left="851" w:hanging="426"/>
        </w:pPr>
        <w:rPr>
          <w:rFonts w:hint="default"/>
        </w:rPr>
      </w:lvl>
    </w:lvlOverride>
    <w:lvlOverride w:ilvl="2">
      <w:lvl w:ilvl="2">
        <w:start w:val="1"/>
        <w:numFmt w:val="lowerRoman"/>
        <w:lvlText w:val="%3)"/>
        <w:lvlJc w:val="left"/>
        <w:pPr>
          <w:ind w:left="1191" w:hanging="340"/>
        </w:pPr>
        <w:rPr>
          <w:rFonts w:hint="default"/>
        </w:rPr>
      </w:lvl>
    </w:lvlOverride>
    <w:lvlOverride w:ilvl="3">
      <w:lvl w:ilvl="3">
        <w:start w:val="1"/>
        <w:numFmt w:val="decimal"/>
        <w:lvlText w:val="%4."/>
        <w:lvlJc w:val="left"/>
        <w:pPr>
          <w:ind w:left="1276" w:hanging="1276"/>
        </w:pPr>
        <w:rPr>
          <w:rFonts w:hint="default"/>
        </w:rPr>
      </w:lvl>
    </w:lvlOverride>
    <w:lvlOverride w:ilvl="4">
      <w:lvl w:ilvl="4">
        <w:start w:val="1"/>
        <w:numFmt w:val="lowerLetter"/>
        <w:lvlText w:val="%5."/>
        <w:lvlJc w:val="left"/>
        <w:pPr>
          <w:ind w:left="567" w:hanging="567"/>
        </w:pPr>
        <w:rPr>
          <w:rFonts w:hint="default"/>
        </w:rPr>
      </w:lvl>
    </w:lvlOverride>
    <w:lvlOverride w:ilvl="5">
      <w:lvl w:ilvl="5">
        <w:start w:val="1"/>
        <w:numFmt w:val="lowerRoman"/>
        <w:lvlText w:val="%6."/>
        <w:lvlJc w:val="right"/>
        <w:pPr>
          <w:ind w:left="567" w:hanging="567"/>
        </w:pPr>
        <w:rPr>
          <w:rFonts w:hint="default"/>
        </w:rPr>
      </w:lvl>
    </w:lvlOverride>
    <w:lvlOverride w:ilvl="6">
      <w:lvl w:ilvl="6">
        <w:start w:val="1"/>
        <w:numFmt w:val="decimal"/>
        <w:lvlText w:val="%7."/>
        <w:lvlJc w:val="left"/>
        <w:pPr>
          <w:ind w:left="567" w:hanging="567"/>
        </w:pPr>
        <w:rPr>
          <w:rFonts w:hint="default"/>
        </w:rPr>
      </w:lvl>
    </w:lvlOverride>
    <w:lvlOverride w:ilvl="7">
      <w:lvl w:ilvl="7">
        <w:start w:val="1"/>
        <w:numFmt w:val="lowerLetter"/>
        <w:lvlText w:val="%8."/>
        <w:lvlJc w:val="left"/>
        <w:pPr>
          <w:ind w:left="567" w:hanging="567"/>
        </w:pPr>
        <w:rPr>
          <w:rFonts w:hint="default"/>
        </w:rPr>
      </w:lvl>
    </w:lvlOverride>
    <w:lvlOverride w:ilvl="8">
      <w:lvl w:ilvl="8">
        <w:start w:val="1"/>
        <w:numFmt w:val="lowerRoman"/>
        <w:lvlText w:val="%9."/>
        <w:lvlJc w:val="right"/>
        <w:pPr>
          <w:ind w:left="567" w:hanging="567"/>
        </w:pPr>
        <w:rPr>
          <w:rFonts w:hint="default"/>
        </w:rPr>
      </w:lvl>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ABE"/>
    <w:rsid w:val="0000059E"/>
    <w:rsid w:val="0000066F"/>
    <w:rsid w:val="00021590"/>
    <w:rsid w:val="00025D1B"/>
    <w:rsid w:val="000266C4"/>
    <w:rsid w:val="00053065"/>
    <w:rsid w:val="000542B4"/>
    <w:rsid w:val="000618F3"/>
    <w:rsid w:val="00066D0B"/>
    <w:rsid w:val="000717D2"/>
    <w:rsid w:val="00074A56"/>
    <w:rsid w:val="00080827"/>
    <w:rsid w:val="0008277A"/>
    <w:rsid w:val="000904C1"/>
    <w:rsid w:val="000913B5"/>
    <w:rsid w:val="00093F45"/>
    <w:rsid w:val="000A5BA0"/>
    <w:rsid w:val="000B3924"/>
    <w:rsid w:val="000B3C44"/>
    <w:rsid w:val="000C0412"/>
    <w:rsid w:val="000C4558"/>
    <w:rsid w:val="000E455C"/>
    <w:rsid w:val="000E7803"/>
    <w:rsid w:val="000F0491"/>
    <w:rsid w:val="001233A8"/>
    <w:rsid w:val="0013173D"/>
    <w:rsid w:val="00190D7E"/>
    <w:rsid w:val="001929D2"/>
    <w:rsid w:val="001A6968"/>
    <w:rsid w:val="001C714A"/>
    <w:rsid w:val="001D0EF3"/>
    <w:rsid w:val="001F6FAD"/>
    <w:rsid w:val="00201EA6"/>
    <w:rsid w:val="00203DE1"/>
    <w:rsid w:val="00220618"/>
    <w:rsid w:val="00237A69"/>
    <w:rsid w:val="0026282C"/>
    <w:rsid w:val="00275B23"/>
    <w:rsid w:val="00275B58"/>
    <w:rsid w:val="00284B53"/>
    <w:rsid w:val="002B1FAF"/>
    <w:rsid w:val="002E3FD4"/>
    <w:rsid w:val="002F4595"/>
    <w:rsid w:val="00300AFD"/>
    <w:rsid w:val="003032C0"/>
    <w:rsid w:val="00336B60"/>
    <w:rsid w:val="00344910"/>
    <w:rsid w:val="0035108D"/>
    <w:rsid w:val="003569F9"/>
    <w:rsid w:val="00366721"/>
    <w:rsid w:val="00370990"/>
    <w:rsid w:val="00373229"/>
    <w:rsid w:val="0037698A"/>
    <w:rsid w:val="00392124"/>
    <w:rsid w:val="003937B8"/>
    <w:rsid w:val="003A74E9"/>
    <w:rsid w:val="003C14AC"/>
    <w:rsid w:val="003E55BF"/>
    <w:rsid w:val="003F1C8B"/>
    <w:rsid w:val="003F73D7"/>
    <w:rsid w:val="00411260"/>
    <w:rsid w:val="00434854"/>
    <w:rsid w:val="00437CE0"/>
    <w:rsid w:val="00440ABE"/>
    <w:rsid w:val="00442630"/>
    <w:rsid w:val="0044304D"/>
    <w:rsid w:val="00446CB3"/>
    <w:rsid w:val="00474BB1"/>
    <w:rsid w:val="0048191A"/>
    <w:rsid w:val="00495068"/>
    <w:rsid w:val="004A4D1A"/>
    <w:rsid w:val="004C2DA2"/>
    <w:rsid w:val="004C430D"/>
    <w:rsid w:val="004D0888"/>
    <w:rsid w:val="005019C1"/>
    <w:rsid w:val="00515287"/>
    <w:rsid w:val="005157CF"/>
    <w:rsid w:val="005242F4"/>
    <w:rsid w:val="00531B5A"/>
    <w:rsid w:val="00535FDE"/>
    <w:rsid w:val="00553E9D"/>
    <w:rsid w:val="0055447F"/>
    <w:rsid w:val="00567DFC"/>
    <w:rsid w:val="00572422"/>
    <w:rsid w:val="00577F29"/>
    <w:rsid w:val="005A48A6"/>
    <w:rsid w:val="005B613F"/>
    <w:rsid w:val="005C2BFD"/>
    <w:rsid w:val="00607A21"/>
    <w:rsid w:val="00607A36"/>
    <w:rsid w:val="006156DF"/>
    <w:rsid w:val="00625D8D"/>
    <w:rsid w:val="0063461D"/>
    <w:rsid w:val="006360F9"/>
    <w:rsid w:val="006363F1"/>
    <w:rsid w:val="00642F36"/>
    <w:rsid w:val="00646917"/>
    <w:rsid w:val="00656587"/>
    <w:rsid w:val="00696682"/>
    <w:rsid w:val="006A3FAE"/>
    <w:rsid w:val="006B0030"/>
    <w:rsid w:val="006D413F"/>
    <w:rsid w:val="006F6FE8"/>
    <w:rsid w:val="0070464B"/>
    <w:rsid w:val="00721291"/>
    <w:rsid w:val="007258B1"/>
    <w:rsid w:val="00725C8B"/>
    <w:rsid w:val="00754CA3"/>
    <w:rsid w:val="0076549B"/>
    <w:rsid w:val="00793E18"/>
    <w:rsid w:val="007C0010"/>
    <w:rsid w:val="007D08F7"/>
    <w:rsid w:val="007D480B"/>
    <w:rsid w:val="007E69AF"/>
    <w:rsid w:val="0080517C"/>
    <w:rsid w:val="00824843"/>
    <w:rsid w:val="00832638"/>
    <w:rsid w:val="00863E83"/>
    <w:rsid w:val="00865130"/>
    <w:rsid w:val="00892F53"/>
    <w:rsid w:val="00895341"/>
    <w:rsid w:val="008B22A2"/>
    <w:rsid w:val="008E3B54"/>
    <w:rsid w:val="008F1712"/>
    <w:rsid w:val="008F382A"/>
    <w:rsid w:val="00902E92"/>
    <w:rsid w:val="0090743D"/>
    <w:rsid w:val="00911F4A"/>
    <w:rsid w:val="00916FC3"/>
    <w:rsid w:val="00943779"/>
    <w:rsid w:val="00943B84"/>
    <w:rsid w:val="00974CD6"/>
    <w:rsid w:val="009844EA"/>
    <w:rsid w:val="009C206F"/>
    <w:rsid w:val="009C37F9"/>
    <w:rsid w:val="009C3FA3"/>
    <w:rsid w:val="009C5CE4"/>
    <w:rsid w:val="009D7044"/>
    <w:rsid w:val="009F0693"/>
    <w:rsid w:val="00A04AFD"/>
    <w:rsid w:val="00A109BD"/>
    <w:rsid w:val="00A130F7"/>
    <w:rsid w:val="00A32860"/>
    <w:rsid w:val="00A60120"/>
    <w:rsid w:val="00A62F99"/>
    <w:rsid w:val="00A65D84"/>
    <w:rsid w:val="00A77E8E"/>
    <w:rsid w:val="00A8157A"/>
    <w:rsid w:val="00A90453"/>
    <w:rsid w:val="00AA1D89"/>
    <w:rsid w:val="00AC6A15"/>
    <w:rsid w:val="00AE1E6E"/>
    <w:rsid w:val="00AE40DE"/>
    <w:rsid w:val="00AE4763"/>
    <w:rsid w:val="00B00F94"/>
    <w:rsid w:val="00B0121B"/>
    <w:rsid w:val="00B0455B"/>
    <w:rsid w:val="00B04EF0"/>
    <w:rsid w:val="00B11E02"/>
    <w:rsid w:val="00B3476F"/>
    <w:rsid w:val="00B404AB"/>
    <w:rsid w:val="00B43568"/>
    <w:rsid w:val="00B82095"/>
    <w:rsid w:val="00B90975"/>
    <w:rsid w:val="00B93571"/>
    <w:rsid w:val="00B94CBD"/>
    <w:rsid w:val="00BA2806"/>
    <w:rsid w:val="00BA6C7E"/>
    <w:rsid w:val="00BC321A"/>
    <w:rsid w:val="00BC7783"/>
    <w:rsid w:val="00BD4F8E"/>
    <w:rsid w:val="00BE345B"/>
    <w:rsid w:val="00C20A92"/>
    <w:rsid w:val="00C3468B"/>
    <w:rsid w:val="00C6128D"/>
    <w:rsid w:val="00C73278"/>
    <w:rsid w:val="00C765C8"/>
    <w:rsid w:val="00C82029"/>
    <w:rsid w:val="00C866E2"/>
    <w:rsid w:val="00C9283A"/>
    <w:rsid w:val="00C95039"/>
    <w:rsid w:val="00CA4615"/>
    <w:rsid w:val="00CA7C6F"/>
    <w:rsid w:val="00CD3A6F"/>
    <w:rsid w:val="00CD6263"/>
    <w:rsid w:val="00CE165B"/>
    <w:rsid w:val="00CE7F36"/>
    <w:rsid w:val="00CF7D08"/>
    <w:rsid w:val="00D04A3C"/>
    <w:rsid w:val="00D22097"/>
    <w:rsid w:val="00D36C41"/>
    <w:rsid w:val="00D4039B"/>
    <w:rsid w:val="00D55A85"/>
    <w:rsid w:val="00D750D0"/>
    <w:rsid w:val="00D87480"/>
    <w:rsid w:val="00DA1118"/>
    <w:rsid w:val="00DB71FD"/>
    <w:rsid w:val="00DC453F"/>
    <w:rsid w:val="00DC57F0"/>
    <w:rsid w:val="00DC7406"/>
    <w:rsid w:val="00DE337E"/>
    <w:rsid w:val="00DE546F"/>
    <w:rsid w:val="00DF241E"/>
    <w:rsid w:val="00E129C3"/>
    <w:rsid w:val="00E25A07"/>
    <w:rsid w:val="00E3139E"/>
    <w:rsid w:val="00E333DF"/>
    <w:rsid w:val="00E41D30"/>
    <w:rsid w:val="00E44E91"/>
    <w:rsid w:val="00E83C41"/>
    <w:rsid w:val="00E9781D"/>
    <w:rsid w:val="00EA5D76"/>
    <w:rsid w:val="00EB132D"/>
    <w:rsid w:val="00EC2925"/>
    <w:rsid w:val="00EC5579"/>
    <w:rsid w:val="00EC5C40"/>
    <w:rsid w:val="00EC6861"/>
    <w:rsid w:val="00EC6BB2"/>
    <w:rsid w:val="00ED774B"/>
    <w:rsid w:val="00EE0118"/>
    <w:rsid w:val="00EE49CE"/>
    <w:rsid w:val="00EE7C8D"/>
    <w:rsid w:val="00EF055A"/>
    <w:rsid w:val="00EF24B1"/>
    <w:rsid w:val="00EF3918"/>
    <w:rsid w:val="00F330C3"/>
    <w:rsid w:val="00F3365D"/>
    <w:rsid w:val="00F75F33"/>
    <w:rsid w:val="00F8148E"/>
    <w:rsid w:val="00F84236"/>
    <w:rsid w:val="00FA5566"/>
    <w:rsid w:val="00FC2CE4"/>
    <w:rsid w:val="00FC379E"/>
    <w:rsid w:val="00FC55E0"/>
    <w:rsid w:val="00FD337C"/>
    <w:rsid w:val="00FD3BAE"/>
    <w:rsid w:val="00FD5236"/>
    <w:rsid w:val="00FD7D5B"/>
    <w:rsid w:val="00FE0F23"/>
    <w:rsid w:val="00FF41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8C738"/>
  <w15:docId w15:val="{0D1B0EAB-8D39-4F95-B705-41F3E088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12"/>
    <w:pPr>
      <w:spacing w:after="120" w:line="276" w:lineRule="auto"/>
    </w:pPr>
    <w:rPr>
      <w:rFonts w:asciiTheme="majorHAnsi" w:eastAsiaTheme="minorHAnsi" w:hAnsiTheme="majorHAnsi" w:cstheme="minorBidi"/>
      <w:sz w:val="22"/>
      <w:szCs w:val="22"/>
      <w:lang w:eastAsia="en-US"/>
    </w:rPr>
  </w:style>
  <w:style w:type="paragraph" w:styleId="Heading1">
    <w:name w:val="heading 1"/>
    <w:next w:val="Normal"/>
    <w:link w:val="Heading1Char"/>
    <w:uiPriority w:val="1"/>
    <w:qFormat/>
    <w:pPr>
      <w:widowControl w:val="0"/>
      <w:spacing w:before="360" w:after="240"/>
      <w:contextualSpacing/>
      <w:outlineLvl w:val="0"/>
    </w:pPr>
    <w:rPr>
      <w:rFonts w:ascii="Calibri" w:eastAsiaTheme="minorHAnsi" w:hAnsi="Calibri" w:cstheme="minorBidi"/>
      <w:b/>
      <w:bCs/>
      <w:color w:val="000000"/>
      <w:spacing w:val="5"/>
      <w:kern w:val="28"/>
      <w:sz w:val="40"/>
      <w:szCs w:val="28"/>
      <w:lang w:eastAsia="en-US"/>
    </w:rPr>
  </w:style>
  <w:style w:type="paragraph" w:styleId="Heading2">
    <w:name w:val="heading 2"/>
    <w:basedOn w:val="Normal"/>
    <w:next w:val="Normal"/>
    <w:link w:val="Heading2Char"/>
    <w:uiPriority w:val="3"/>
    <w:rsid w:val="00C6128D"/>
    <w:pPr>
      <w:keepNext/>
      <w:spacing w:before="120" w:line="240" w:lineRule="auto"/>
      <w:ind w:left="720" w:hanging="720"/>
      <w:outlineLvl w:val="1"/>
    </w:pPr>
    <w:rPr>
      <w:rFonts w:ascii="Calibri" w:eastAsiaTheme="minorEastAsia" w:hAnsi="Calibri"/>
      <w:b/>
      <w:bCs/>
      <w:color w:val="5482AB"/>
      <w:sz w:val="28"/>
      <w:szCs w:val="28"/>
      <w:lang w:eastAsia="ja-JP"/>
    </w:rPr>
  </w:style>
  <w:style w:type="paragraph" w:styleId="Heading3">
    <w:name w:val="heading 3"/>
    <w:next w:val="Normal"/>
    <w:link w:val="Heading3Char"/>
    <w:uiPriority w:val="4"/>
    <w:qFormat/>
    <w:rsid w:val="006360F9"/>
    <w:pPr>
      <w:keepNext/>
      <w:keepLines/>
      <w:ind w:left="964" w:hanging="964"/>
      <w:outlineLvl w:val="2"/>
    </w:pPr>
    <w:rPr>
      <w:rFonts w:ascii="Calibri" w:eastAsia="Times New Roman" w:hAnsi="Calibri"/>
      <w:b/>
      <w:bCs/>
      <w:sz w:val="24"/>
      <w:szCs w:val="24"/>
      <w:lang w:eastAsia="en-US"/>
    </w:rPr>
  </w:style>
  <w:style w:type="paragraph" w:styleId="Heading4">
    <w:name w:val="heading 4"/>
    <w:next w:val="Normal"/>
    <w:link w:val="Heading4Char"/>
    <w:uiPriority w:val="5"/>
    <w:qFormat/>
    <w:rsid w:val="001929D2"/>
    <w:pPr>
      <w:keepNext/>
      <w:ind w:left="964" w:hanging="964"/>
      <w:outlineLvl w:val="3"/>
    </w:pPr>
    <w:rPr>
      <w:rFonts w:ascii="Calibri" w:eastAsia="Times New Roman" w:hAnsi="Calibri"/>
      <w:b/>
      <w:bCs/>
      <w:szCs w:val="24"/>
      <w:lang w:eastAsia="en-US"/>
    </w:rPr>
  </w:style>
  <w:style w:type="paragraph" w:styleId="Heading5">
    <w:name w:val="heading 5"/>
    <w:basedOn w:val="Normal"/>
    <w:next w:val="Normal"/>
    <w:link w:val="Heading5Char"/>
    <w:uiPriority w:val="6"/>
    <w:rsid w:val="00474BB1"/>
    <w:pPr>
      <w:keepNext/>
      <w:keepLines/>
      <w:spacing w:after="0" w:line="240" w:lineRule="auto"/>
      <w:outlineLvl w:val="4"/>
    </w:pPr>
    <w:rPr>
      <w:rFonts w:ascii="Calibri" w:hAnsi="Calibri"/>
      <w:b/>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99"/>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line="240" w:lineRule="auto"/>
      <w:jc w:val="center"/>
    </w:pPr>
    <w:rPr>
      <w:rFonts w:ascii="Calibri" w:hAnsi="Calibri"/>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40"/>
      <w:szCs w:val="28"/>
      <w:lang w:eastAsia="en-US"/>
    </w:rPr>
  </w:style>
  <w:style w:type="character" w:customStyle="1" w:styleId="Heading2Char">
    <w:name w:val="Heading 2 Char"/>
    <w:basedOn w:val="DefaultParagraphFont"/>
    <w:link w:val="Heading2"/>
    <w:uiPriority w:val="3"/>
    <w:rsid w:val="00C6128D"/>
    <w:rPr>
      <w:rFonts w:ascii="Calibri" w:eastAsiaTheme="minorEastAsia" w:hAnsi="Calibri" w:cstheme="minorBidi"/>
      <w:b/>
      <w:bCs/>
      <w:color w:val="5482AB"/>
      <w:sz w:val="28"/>
      <w:szCs w:val="28"/>
      <w:lang w:eastAsia="ja-JP"/>
    </w:rPr>
  </w:style>
  <w:style w:type="character" w:customStyle="1" w:styleId="Heading3Char">
    <w:name w:val="Heading 3 Char"/>
    <w:basedOn w:val="DefaultParagraphFont"/>
    <w:link w:val="Heading3"/>
    <w:uiPriority w:val="4"/>
    <w:rsid w:val="006360F9"/>
    <w:rPr>
      <w:rFonts w:ascii="Calibri" w:eastAsia="Times New Roman" w:hAnsi="Calibri"/>
      <w:b/>
      <w:bCs/>
      <w:sz w:val="24"/>
      <w:szCs w:val="24"/>
      <w:lang w:eastAsia="en-US"/>
    </w:rPr>
  </w:style>
  <w:style w:type="character" w:customStyle="1" w:styleId="Heading4Char">
    <w:name w:val="Heading 4 Char"/>
    <w:basedOn w:val="DefaultParagraphFont"/>
    <w:link w:val="Heading4"/>
    <w:uiPriority w:val="5"/>
    <w:rsid w:val="001929D2"/>
    <w:rPr>
      <w:rFonts w:ascii="Calibri" w:eastAsia="Times New Roman" w:hAnsi="Calibri"/>
      <w:b/>
      <w:bCs/>
      <w:szCs w:val="24"/>
      <w:lang w:eastAsia="en-US"/>
    </w:rPr>
  </w:style>
  <w:style w:type="character" w:customStyle="1" w:styleId="Heading5Char">
    <w:name w:val="Heading 5 Char"/>
    <w:basedOn w:val="DefaultParagraphFont"/>
    <w:link w:val="Heading5"/>
    <w:uiPriority w:val="6"/>
    <w:rsid w:val="00474BB1"/>
    <w:rPr>
      <w:rFonts w:ascii="Calibri" w:eastAsiaTheme="minorHAnsi" w:hAnsi="Calibri" w:cstheme="minorBidi"/>
      <w:b/>
      <w:i/>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after="360"/>
    </w:pPr>
    <w:rPr>
      <w:sz w:val="32"/>
      <w:szCs w:val="22"/>
    </w:rPr>
  </w:style>
  <w:style w:type="character" w:customStyle="1" w:styleId="SubtitleChar">
    <w:name w:val="Subtitle Char"/>
    <w:basedOn w:val="DefaultParagraphFont"/>
    <w:link w:val="Subtitle"/>
    <w:uiPriority w:val="23"/>
    <w:rPr>
      <w:rFonts w:ascii="Calibri" w:eastAsiaTheme="minorHAnsi" w:hAnsi="Calibri" w:cstheme="minorBidi"/>
      <w:b/>
      <w:bCs/>
      <w:color w:val="000000"/>
      <w:spacing w:val="5"/>
      <w:kern w:val="28"/>
      <w:sz w:val="32"/>
      <w:szCs w:val="22"/>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pPr>
      <w:tabs>
        <w:tab w:val="right" w:leader="dot" w:pos="9060"/>
      </w:tabs>
      <w:spacing w:before="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5"/>
      </w:numPr>
      <w:spacing w:before="120"/>
    </w:pPr>
  </w:style>
  <w:style w:type="paragraph" w:styleId="ListBullet2">
    <w:name w:val="List Bullet 2"/>
    <w:basedOn w:val="Normal"/>
    <w:uiPriority w:val="8"/>
    <w:qFormat/>
    <w:pPr>
      <w:numPr>
        <w:ilvl w:val="1"/>
        <w:numId w:val="5"/>
      </w:numPr>
      <w:spacing w:before="120"/>
      <w:contextualSpacing/>
    </w:pPr>
  </w:style>
  <w:style w:type="paragraph" w:styleId="ListNumber">
    <w:name w:val="List Number"/>
    <w:basedOn w:val="Normal"/>
    <w:uiPriority w:val="9"/>
    <w:qFormat/>
    <w:pPr>
      <w:numPr>
        <w:numId w:val="24"/>
      </w:numPr>
      <w:tabs>
        <w:tab w:val="left" w:pos="142"/>
      </w:tabs>
      <w:spacing w:before="120"/>
    </w:pPr>
  </w:style>
  <w:style w:type="paragraph" w:styleId="ListNumber2">
    <w:name w:val="List Number 2"/>
    <w:uiPriority w:val="10"/>
    <w:qFormat/>
    <w:rsid w:val="0013173D"/>
    <w:pPr>
      <w:numPr>
        <w:numId w:val="42"/>
      </w:numPr>
      <w:tabs>
        <w:tab w:val="left" w:pos="567"/>
      </w:tabs>
      <w:spacing w:before="120" w:after="120" w:line="264" w:lineRule="auto"/>
      <w:ind w:left="850" w:hanging="425"/>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pPr>
      <w:keepNext/>
      <w:spacing w:before="60" w:after="60" w:line="240" w:lineRule="auto"/>
    </w:pPr>
    <w:rPr>
      <w:b/>
      <w:sz w:val="19"/>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22"/>
    <w:qFormat/>
    <w:rPr>
      <w:b/>
      <w:bCs/>
    </w:rPr>
  </w:style>
  <w:style w:type="paragraph" w:customStyle="1" w:styleId="Glossary">
    <w:name w:val="Glossary"/>
    <w:basedOn w:val="Normal"/>
    <w:link w:val="GlossaryChar"/>
    <w:uiPriority w:val="28"/>
    <w:semiHidden/>
    <w:locked/>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3"/>
      </w:numPr>
      <w:ind w:left="357" w:hanging="357"/>
    </w:pPr>
  </w:style>
  <w:style w:type="paragraph" w:customStyle="1" w:styleId="TableBullet1">
    <w:name w:val="Table Bullet 1"/>
    <w:basedOn w:val="Date"/>
    <w:uiPriority w:val="15"/>
    <w:qFormat/>
    <w:rsid w:val="002B1FAF"/>
    <w:rPr>
      <w:sz w:val="19"/>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8"/>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2B1FAF"/>
    <w:pPr>
      <w:numPr>
        <w:numId w:val="16"/>
      </w:numPr>
      <w:spacing w:before="60" w:after="60"/>
      <w:ind w:left="403"/>
      <w:contextualSpacing/>
    </w:pPr>
    <w:rPr>
      <w:rFonts w:eastAsia="Calibri"/>
      <w:color w:val="000000" w:themeColor="text1"/>
      <w:sz w:val="19"/>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rsid w:val="002B1FAF"/>
    <w:pPr>
      <w:numPr>
        <w:numId w:val="30"/>
      </w:numPr>
      <w:tabs>
        <w:tab w:val="num" w:pos="284"/>
      </w:tabs>
      <w:ind w:left="568" w:hanging="284"/>
    </w:pPr>
  </w:style>
  <w:style w:type="numbering" w:customStyle="1" w:styleId="TableBulletlist">
    <w:name w:val="Table Bullet list"/>
    <w:uiPriority w:val="99"/>
    <w:pPr>
      <w:numPr>
        <w:numId w:val="28"/>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553E9D"/>
    <w:pPr>
      <w:spacing w:before="60" w:after="60"/>
    </w:pPr>
    <w:rPr>
      <w:rFonts w:asciiTheme="majorHAnsi" w:eastAsia="Times New Roman" w:hAnsiTheme="majorHAnsi" w:cs="Arial"/>
      <w:color w:val="000000"/>
      <w:sz w:val="19"/>
      <w:szCs w:val="22"/>
      <w:lang w:val="en-GB"/>
    </w:rPr>
  </w:style>
  <w:style w:type="paragraph" w:styleId="Date">
    <w:name w:val="Date"/>
    <w:aliases w:val="Reference"/>
    <w:basedOn w:val="Normal"/>
    <w:next w:val="Normal"/>
    <w:link w:val="DateChar"/>
    <w:uiPriority w:val="99"/>
    <w:unhideWhenUsed/>
    <w:pPr>
      <w:spacing w:before="600"/>
    </w:pPr>
  </w:style>
  <w:style w:type="character" w:customStyle="1" w:styleId="DateChar">
    <w:name w:val="Date Char"/>
    <w:aliases w:val="Reference Char"/>
    <w:basedOn w:val="DefaultParagraphFont"/>
    <w:link w:val="Date"/>
    <w:uiPriority w:val="99"/>
    <w:rPr>
      <w:rFonts w:asciiTheme="minorHAnsi" w:eastAsiaTheme="minorHAnsi" w:hAnsiTheme="minorHAnsi" w:cstheme="minorBidi"/>
      <w:sz w:val="22"/>
      <w:szCs w:val="22"/>
      <w:lang w:eastAsia="en-US"/>
    </w:rPr>
  </w:style>
  <w:style w:type="paragraph" w:customStyle="1" w:styleId="Default">
    <w:name w:val="Default"/>
    <w:rsid w:val="000618F3"/>
    <w:pPr>
      <w:autoSpaceDE w:val="0"/>
      <w:autoSpaceDN w:val="0"/>
      <w:adjustRightInd w:val="0"/>
    </w:pPr>
    <w:rPr>
      <w:rFonts w:ascii="AHSFVG+Cambria" w:hAnsi="AHSFVG+Cambria" w:cs="AHSFVG+Cambria"/>
      <w:color w:val="000000"/>
      <w:sz w:val="24"/>
      <w:szCs w:val="24"/>
    </w:rPr>
  </w:style>
  <w:style w:type="paragraph" w:customStyle="1" w:styleId="Series">
    <w:name w:val="Series"/>
    <w:qFormat/>
    <w:rsid w:val="00D04A3C"/>
    <w:pPr>
      <w:spacing w:before="120" w:after="120"/>
    </w:pPr>
    <w:rPr>
      <w:rFonts w:asciiTheme="minorHAnsi" w:eastAsiaTheme="minorHAnsi" w:hAnsiTheme="minorHAnsi" w:cstheme="minorBidi"/>
      <w:b/>
      <w:i/>
      <w:color w:val="5482AB"/>
      <w:sz w:val="32"/>
      <w:szCs w:val="22"/>
      <w:lang w:eastAsia="en-US"/>
    </w:rPr>
  </w:style>
  <w:style w:type="character" w:styleId="UnresolvedMention">
    <w:name w:val="Unresolved Mention"/>
    <w:basedOn w:val="DefaultParagraphFont"/>
    <w:uiPriority w:val="99"/>
    <w:semiHidden/>
    <w:unhideWhenUsed/>
    <w:rsid w:val="000E7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4.0/legalcod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hc@agriculture.gov.a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agriculture-land/animal/health/committees/ahc"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Reviewcompleted xmlns="762d8928-0daf-4069-9c35-589ded0002d7" xsi:nil="true"/>
    <lcf76f155ced4ddcb4097134ff3c332f xmlns="762d8928-0daf-4069-9c35-589ded0002d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7E633937122D4C982576F433DC022C" ma:contentTypeVersion="18" ma:contentTypeDescription="Create a new document." ma:contentTypeScope="" ma:versionID="4b6044cdd664f5c5777160cd59b46ba5">
  <xsd:schema xmlns:xsd="http://www.w3.org/2001/XMLSchema" xmlns:xs="http://www.w3.org/2001/XMLSchema" xmlns:p="http://schemas.microsoft.com/office/2006/metadata/properties" xmlns:ns2="762d8928-0daf-4069-9c35-589ded0002d7" xmlns:ns3="8c858643-2136-437b-905a-79b326f4e2e1" xmlns:ns4="81c01dc6-2c49-4730-b140-874c95cac377" targetNamespace="http://schemas.microsoft.com/office/2006/metadata/properties" ma:root="true" ma:fieldsID="ffe07f3b83922d8a33e790bae48db15b" ns2:_="" ns3:_="" ns4:_="">
    <xsd:import namespace="762d8928-0daf-4069-9c35-589ded0002d7"/>
    <xsd:import namespace="8c858643-2136-437b-905a-79b326f4e2e1"/>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Reviewcompleted"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d8928-0daf-4069-9c35-589ded000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Reviewcompleted" ma:index="14" nillable="true" ma:displayName="Review completed" ma:description="Note if review has been completed" ma:format="Dropdown" ma:internalName="Reviewcompleted">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858643-2136-437b-905a-79b326f4e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e718991-70e4-4619-b9b3-86ed41a5f1e9}" ma:internalName="TaxCatchAll" ma:showField="CatchAllData" ma:web="8c858643-2136-437b-905a-79b326f4e2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f0e0db-f490-4122-abae-21917392c748"/>
    <ds:schemaRef ds:uri="http://schemas.microsoft.com/sharepoint/v3"/>
  </ds:schemaRefs>
</ds:datastoreItem>
</file>

<file path=customXml/itemProps2.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1E9F5EAD-4CBB-4A72-A433-1AB48DFE467C}"/>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Fact sheet template</vt:lpstr>
    </vt:vector>
  </TitlesOfParts>
  <Company/>
  <LinksUpToDate>false</LinksUpToDate>
  <CharactersWithSpaces>5742</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 template</dc:title>
  <dc:creator>Parkin, Liz</dc:creator>
  <cp:lastModifiedBy>Riordan, Erin</cp:lastModifiedBy>
  <cp:revision>7</cp:revision>
  <cp:lastPrinted>2022-05-11T23:44:00Z</cp:lastPrinted>
  <dcterms:created xsi:type="dcterms:W3CDTF">2025-12-05T00:30:00Z</dcterms:created>
  <dcterms:modified xsi:type="dcterms:W3CDTF">2025-12-05T00:41:00Z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0x010100C07E633937122D4C982576F433DC022C</vt:lpwstr>
  </property>
  <property fmtid="{D5CDD505-2E9C-101B-9397-08002B2CF9AE}" pid="3" name="ClassificationContentMarkingHeaderShapeIds">
    <vt:lpwstr>385fceb0,14f18c73,33d40563</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54f48627,2310c1d8,4af8aa15</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2025-04-07T06:17:33Z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00333c42-bd24-47e9-bbe7-0c9830bff970</vt:lpwstr>
  </property>
  <property fmtid="{D5CDD505-2E9C-101B-9397-08002B2CF9AE}" pid="15" name="MSIP_Label_933d8be6-3c40-4052-87a2-9c2adcba8759_ContentBits">
    <vt:lpwstr>3</vt:lpwstr>
  </property>
  <property fmtid="{D5CDD505-2E9C-101B-9397-08002B2CF9AE}" pid="16" name="MSIP_Label_933d8be6-3c40-4052-87a2-9c2adcba8759_Tag">
    <vt:lpwstr>10, 0, 1, 1</vt:lpwstr>
  </property>
</Properties>
</file>