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325EA" w14:textId="43E93C27" w:rsidR="00506D05" w:rsidRDefault="00F0006B" w:rsidP="00506D05">
      <w:pPr>
        <w:pStyle w:val="Heading1"/>
      </w:pPr>
      <w:r>
        <w:t xml:space="preserve">Analysis of </w:t>
      </w:r>
      <w:r w:rsidR="001A3DE7">
        <w:t xml:space="preserve">Farm Management Deposits Scheme </w:t>
      </w:r>
      <w:r>
        <w:t>k</w:t>
      </w:r>
      <w:r w:rsidR="00415774">
        <w:t>ey performance indicators</w:t>
      </w:r>
    </w:p>
    <w:p w14:paraId="65823927" w14:textId="7ABD4CFB" w:rsidR="00506D05" w:rsidRDefault="00506D05" w:rsidP="00506D05">
      <w:pPr>
        <w:pStyle w:val="Subtitle"/>
      </w:pPr>
      <w:r>
        <w:t>2022–23 findings</w:t>
      </w:r>
    </w:p>
    <w:p w14:paraId="14D9858D" w14:textId="5EB9225A" w:rsidR="00506D05" w:rsidRPr="007676A8" w:rsidRDefault="00506D05" w:rsidP="007676A8">
      <w:pPr>
        <w:pStyle w:val="AuthorOrganisationAffiliation"/>
      </w:pPr>
      <w:r w:rsidRPr="007676A8">
        <w:t xml:space="preserve">Financial Policy </w:t>
      </w:r>
      <w:r w:rsidR="00EA6250">
        <w:t>and</w:t>
      </w:r>
      <w:r w:rsidRPr="007676A8">
        <w:t xml:space="preserve"> Business Support Branch</w:t>
      </w:r>
    </w:p>
    <w:p w14:paraId="1448CD7B" w14:textId="4A0B8390" w:rsidR="00506D05" w:rsidRDefault="00506D05" w:rsidP="00506D05">
      <w:pPr>
        <w:pStyle w:val="Heading2"/>
        <w:numPr>
          <w:ilvl w:val="0"/>
          <w:numId w:val="0"/>
        </w:numPr>
        <w:ind w:left="720" w:hanging="720"/>
      </w:pPr>
      <w:r>
        <w:t>Background</w:t>
      </w:r>
    </w:p>
    <w:p w14:paraId="7CA38645" w14:textId="34CB3972" w:rsidR="00E926D5" w:rsidRPr="00E926D5" w:rsidRDefault="00E926D5" w:rsidP="00E926D5">
      <w:r w:rsidRPr="00E926D5">
        <w:t>As part of ongoing monitoring and evaluation activities, the department developed revised</w:t>
      </w:r>
      <w:r w:rsidR="00476D49">
        <w:t xml:space="preserve"> key performance indicators</w:t>
      </w:r>
      <w:r w:rsidRPr="00E926D5">
        <w:t xml:space="preserve"> </w:t>
      </w:r>
      <w:r w:rsidR="00476D49">
        <w:t>(</w:t>
      </w:r>
      <w:r w:rsidRPr="00E926D5">
        <w:t>KPIs</w:t>
      </w:r>
      <w:r w:rsidR="00476D49">
        <w:t>)</w:t>
      </w:r>
      <w:r w:rsidRPr="00E926D5">
        <w:t xml:space="preserve"> for the </w:t>
      </w:r>
      <w:r w:rsidR="00476D49">
        <w:t xml:space="preserve">Farm Management Deposits (FMD) </w:t>
      </w:r>
      <w:r w:rsidRPr="00E926D5">
        <w:t xml:space="preserve">Scheme following the </w:t>
      </w:r>
      <w:hyperlink r:id="rId11" w:history="1">
        <w:r w:rsidRPr="00E926D5">
          <w:rPr>
            <w:rStyle w:val="Hyperlink"/>
          </w:rPr>
          <w:t>2021 scheme evaluation</w:t>
        </w:r>
      </w:hyperlink>
      <w:r w:rsidRPr="00E926D5">
        <w:t>:</w:t>
      </w:r>
    </w:p>
    <w:p w14:paraId="2862F77C" w14:textId="006804C6" w:rsidR="00E926D5" w:rsidRDefault="00E926D5" w:rsidP="00106E5D">
      <w:pPr>
        <w:pStyle w:val="ListNumber"/>
        <w:numPr>
          <w:ilvl w:val="0"/>
          <w:numId w:val="2"/>
        </w:numPr>
      </w:pPr>
      <w:r>
        <w:t>Long term, stable rolling averages or increases in number of FMD accounts and total FMD holdi</w:t>
      </w:r>
      <w:r w:rsidRPr="001559EC">
        <w:t>ngs.</w:t>
      </w:r>
    </w:p>
    <w:p w14:paraId="77BD119B" w14:textId="0CC6DAC4" w:rsidR="00E926D5" w:rsidRDefault="00E926D5" w:rsidP="00106E5D">
      <w:pPr>
        <w:pStyle w:val="ListNumber"/>
        <w:numPr>
          <w:ilvl w:val="0"/>
          <w:numId w:val="2"/>
        </w:numPr>
      </w:pPr>
      <w:r>
        <w:t>A ratio that shows a positive relationship, at an industry level, between changes in farm cash income and changes in FMD holdings.</w:t>
      </w:r>
    </w:p>
    <w:p w14:paraId="08CFE11B" w14:textId="6048126C" w:rsidR="00265D45" w:rsidRDefault="00265D45" w:rsidP="00476D49">
      <w:r>
        <w:t>‘Industry level’ refers to industries for which ABARES collects farm cash income data</w:t>
      </w:r>
      <w:r w:rsidR="00AA140E">
        <w:t xml:space="preserve"> for (</w:t>
      </w:r>
      <w:r w:rsidR="00FC7C15">
        <w:t>beef, sheep, cropping</w:t>
      </w:r>
      <w:r w:rsidR="008A4680">
        <w:t>,</w:t>
      </w:r>
      <w:r w:rsidR="00FC7C15">
        <w:t xml:space="preserve"> and dairy</w:t>
      </w:r>
      <w:r w:rsidR="00AA140E">
        <w:t>)</w:t>
      </w:r>
      <w:r>
        <w:t>.</w:t>
      </w:r>
    </w:p>
    <w:p w14:paraId="44491382" w14:textId="4F764F5F" w:rsidR="00476D49" w:rsidRDefault="00476D49" w:rsidP="00476D49">
      <w:r>
        <w:t>The first KPI measure</w:t>
      </w:r>
      <w:r w:rsidR="00C43DD5">
        <w:t>s</w:t>
      </w:r>
      <w:r>
        <w:t xml:space="preserve"> stability or growth in scheme uptake over time. Confirmation of stability or growth shows the scheme provides the agriculture sector with an effective financial buffer and an increased ability for primary producers to manage risks. A 10-year rolling average is used in the calculation to account for fluctuations in scheme use between season</w:t>
      </w:r>
      <w:r w:rsidRPr="00C207AD">
        <w:t>s.</w:t>
      </w:r>
    </w:p>
    <w:p w14:paraId="427E36E5" w14:textId="165FCDB6" w:rsidR="00476D49" w:rsidRDefault="00476D49" w:rsidP="00476D49">
      <w:r>
        <w:t>The second KPI demonstrate</w:t>
      </w:r>
      <w:r w:rsidR="00B06FC6">
        <w:t>s</w:t>
      </w:r>
      <w:r>
        <w:t xml:space="preserve"> that primary producers are using the scheme to suit their individual circumstances to manage financial risk and enhance their financial capacity. The ratio is calculated by dividing the percentage change in annual net FMD holdings by the percentage change in average farm cash income (FCI). The net change is calculated on the difference between 1</w:t>
      </w:r>
      <w:r w:rsidR="00C43DD5">
        <w:t> </w:t>
      </w:r>
      <w:r>
        <w:t>July and 30</w:t>
      </w:r>
      <w:r w:rsidR="00C43DD5">
        <w:t> </w:t>
      </w:r>
      <w:r>
        <w:t>June.</w:t>
      </w:r>
    </w:p>
    <w:p w14:paraId="7F0CD2C5" w14:textId="59A2D2F1" w:rsidR="00476D49" w:rsidRDefault="00476D49" w:rsidP="00476D49">
      <w:r w:rsidRPr="00476D49">
        <w:t>The KPIs are calculated and considered annually, supported by ABARES analysis.</w:t>
      </w:r>
    </w:p>
    <w:p w14:paraId="46223E8E" w14:textId="5EEDF42A" w:rsidR="00E362EF" w:rsidRPr="00C05EA8" w:rsidRDefault="0025765B" w:rsidP="00506D05">
      <w:pPr>
        <w:pStyle w:val="Heading2"/>
        <w:numPr>
          <w:ilvl w:val="0"/>
          <w:numId w:val="0"/>
        </w:numPr>
      </w:pPr>
      <w:r>
        <w:t>KPI 1: FMD accounts and holdings</w:t>
      </w:r>
    </w:p>
    <w:p w14:paraId="1458D15A" w14:textId="52B93B41" w:rsidR="00CC4C6F" w:rsidRDefault="007722D2">
      <w:proofErr w:type="gramStart"/>
      <w:r>
        <w:t>At</w:t>
      </w:r>
      <w:proofErr w:type="gramEnd"/>
      <w:r>
        <w:t xml:space="preserve"> 30 June 2023, the 10-year rolling average of accounts</w:t>
      </w:r>
      <w:r w:rsidR="00DB0604">
        <w:t xml:space="preserve"> r</w:t>
      </w:r>
      <w:r>
        <w:t>emained stable, increasing by 0.1% to 50,047. T</w:t>
      </w:r>
      <w:r w:rsidR="00CC4C6F">
        <w:t xml:space="preserve">he 10-year rolling average of FMD account holdings increased </w:t>
      </w:r>
      <w:r w:rsidR="00CC4C6F" w:rsidRPr="001559EC">
        <w:t>in real terms</w:t>
      </w:r>
      <w:r w:rsidR="00091BF4" w:rsidRPr="001559EC">
        <w:rPr>
          <w:vertAlign w:val="superscript"/>
        </w:rPr>
        <w:t xml:space="preserve"> </w:t>
      </w:r>
      <w:r w:rsidR="00CC4C6F" w:rsidRPr="001559EC">
        <w:t>by</w:t>
      </w:r>
      <w:r w:rsidR="00CC4C6F">
        <w:t xml:space="preserve"> 3.5% to $6.84</w:t>
      </w:r>
      <w:r w:rsidR="001559EC">
        <w:t> </w:t>
      </w:r>
      <w:r w:rsidR="00CC4C6F">
        <w:t xml:space="preserve">billion, </w:t>
      </w:r>
      <w:r w:rsidR="00CC4C6F" w:rsidRPr="003636B1">
        <w:t xml:space="preserve">coinciding with </w:t>
      </w:r>
      <w:r w:rsidR="00CC4C6F">
        <w:t xml:space="preserve">continued </w:t>
      </w:r>
      <w:r w:rsidR="00CC4C6F" w:rsidRPr="003636B1">
        <w:t>strong seasonal conditions and farm performance across much of Australia</w:t>
      </w:r>
      <w:r w:rsidR="00CC4C6F">
        <w:t xml:space="preserve"> in recent years </w:t>
      </w:r>
      <w:r w:rsidR="00BE0566">
        <w:t>(</w:t>
      </w:r>
      <w:r w:rsidR="00BE0566">
        <w:fldChar w:fldCharType="begin"/>
      </w:r>
      <w:r w:rsidR="00BE0566">
        <w:instrText xml:space="preserve"> REF _Ref151038346 \h </w:instrText>
      </w:r>
      <w:r w:rsidR="00BE0566">
        <w:fldChar w:fldCharType="separate"/>
      </w:r>
      <w:r w:rsidR="00A9146E">
        <w:t xml:space="preserve">Figure </w:t>
      </w:r>
      <w:r w:rsidR="00A9146E">
        <w:rPr>
          <w:noProof/>
        </w:rPr>
        <w:t>1</w:t>
      </w:r>
      <w:r w:rsidR="00BE0566">
        <w:fldChar w:fldCharType="end"/>
      </w:r>
      <w:r w:rsidR="00BE0566">
        <w:t>).</w:t>
      </w:r>
    </w:p>
    <w:p w14:paraId="167C2225" w14:textId="3FD17B6B" w:rsidR="00DB0604" w:rsidRDefault="00DB0604">
      <w:r>
        <w:t xml:space="preserve">Note: </w:t>
      </w:r>
      <w:r w:rsidR="00EA6250">
        <w:t>T</w:t>
      </w:r>
      <w:r>
        <w:t xml:space="preserve">he number of accounts does not indicate the number of primary producers participating in the FMD Scheme as a primary producer may hold multiple FMD accounts with different </w:t>
      </w:r>
      <w:r w:rsidR="00EA6250">
        <w:t>authorised deposit-taking institutions (</w:t>
      </w:r>
      <w:r>
        <w:t>ADIs</w:t>
      </w:r>
      <w:r w:rsidR="00EA6250">
        <w:t>)</w:t>
      </w:r>
      <w:r>
        <w:t>.</w:t>
      </w:r>
    </w:p>
    <w:p w14:paraId="059D4698" w14:textId="6B978048" w:rsidR="003A7352" w:rsidRDefault="00FB4106" w:rsidP="00FB4106">
      <w:pPr>
        <w:pStyle w:val="Caption"/>
      </w:pPr>
      <w:bookmarkStart w:id="0" w:name="_Ref151038346"/>
      <w:r>
        <w:lastRenderedPageBreak/>
        <w:t xml:space="preserve">Figure </w:t>
      </w:r>
      <w:fldSimple w:instr=" SEQ Figure \* ARABIC ">
        <w:r w:rsidR="00A9146E">
          <w:rPr>
            <w:noProof/>
          </w:rPr>
          <w:t>1</w:t>
        </w:r>
      </w:fldSimple>
      <w:bookmarkEnd w:id="0"/>
      <w:r w:rsidR="00EA6250">
        <w:rPr>
          <w:noProof/>
        </w:rPr>
        <w:t>:</w:t>
      </w:r>
      <w:r>
        <w:t xml:space="preserve"> 10-year rolling average of FMD account holdings (real terms) and number of FMD accounts, </w:t>
      </w:r>
      <w:proofErr w:type="gramStart"/>
      <w:r>
        <w:t>at</w:t>
      </w:r>
      <w:proofErr w:type="gramEnd"/>
      <w:r>
        <w:t xml:space="preserve"> 30 June each year</w:t>
      </w:r>
    </w:p>
    <w:p w14:paraId="49FB75BB" w14:textId="7C0214C8" w:rsidR="00923DBC" w:rsidRDefault="00923DBC" w:rsidP="00923DBC">
      <w:r>
        <w:rPr>
          <w:noProof/>
        </w:rPr>
        <w:drawing>
          <wp:inline distT="0" distB="0" distL="0" distR="0" wp14:anchorId="09425F65" wp14:editId="0DA8893C">
            <wp:extent cx="5858510" cy="3584575"/>
            <wp:effectExtent l="0" t="0" r="8890" b="0"/>
            <wp:docPr id="1063244048" name="Picture 3" descr="The data presented in this line chart are discussed in the previous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44048" name="Picture 3" descr="The data presented in this line chart are discussed in the previous paragrap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8510" cy="3584575"/>
                    </a:xfrm>
                    <a:prstGeom prst="rect">
                      <a:avLst/>
                    </a:prstGeom>
                    <a:noFill/>
                  </pic:spPr>
                </pic:pic>
              </a:graphicData>
            </a:graphic>
          </wp:inline>
        </w:drawing>
      </w:r>
    </w:p>
    <w:p w14:paraId="10A109D0" w14:textId="3992ED85" w:rsidR="00D13D8A" w:rsidRDefault="00951D18" w:rsidP="00923DBC">
      <w:pPr>
        <w:pStyle w:val="FigureTableNoteSource"/>
        <w:rPr>
          <w:szCs w:val="18"/>
        </w:rPr>
      </w:pPr>
      <w:r w:rsidRPr="00106E5D">
        <w:rPr>
          <w:szCs w:val="18"/>
        </w:rPr>
        <w:t xml:space="preserve">Note: </w:t>
      </w:r>
      <w:r w:rsidRPr="00D13D8A">
        <w:rPr>
          <w:szCs w:val="18"/>
        </w:rPr>
        <w:t xml:space="preserve">Dollar </w:t>
      </w:r>
      <w:r w:rsidRPr="00106E5D">
        <w:t>values</w:t>
      </w:r>
      <w:r w:rsidRPr="00D13D8A">
        <w:rPr>
          <w:szCs w:val="18"/>
        </w:rPr>
        <w:t xml:space="preserve"> are presented in real terms (adjusted to 2022–23 values). Adjusting to real terms removes the effect of inflation and allows financial values across different time periods to be compared in like terms. ABARES adjusts for inflation using the </w:t>
      </w:r>
      <w:hyperlink r:id="rId13" w:history="1">
        <w:r w:rsidRPr="00D13D8A">
          <w:rPr>
            <w:rStyle w:val="Hyperlink"/>
            <w:szCs w:val="18"/>
          </w:rPr>
          <w:t>consumer price index</w:t>
        </w:r>
      </w:hyperlink>
      <w:r w:rsidRPr="00D13D8A">
        <w:rPr>
          <w:szCs w:val="18"/>
        </w:rPr>
        <w:t xml:space="preserve"> supplied by the Australian </w:t>
      </w:r>
      <w:r w:rsidRPr="00106E5D">
        <w:t>Bureau</w:t>
      </w:r>
      <w:r w:rsidRPr="00D13D8A">
        <w:rPr>
          <w:szCs w:val="18"/>
        </w:rPr>
        <w:t xml:space="preserve"> of Statistics.</w:t>
      </w:r>
    </w:p>
    <w:p w14:paraId="24889BEF" w14:textId="3DC873C0" w:rsidR="00091BF4" w:rsidRDefault="00A656D3" w:rsidP="00106E5D">
      <w:pPr>
        <w:pStyle w:val="FigureTableNoteSource"/>
        <w:rPr>
          <w:rStyle w:val="Hyperlink"/>
          <w:szCs w:val="18"/>
        </w:rPr>
      </w:pPr>
      <w:r w:rsidRPr="00106E5D">
        <w:t>Sources</w:t>
      </w:r>
      <w:r w:rsidRPr="00A656D3">
        <w:rPr>
          <w:rFonts w:cstheme="minorHAnsi"/>
          <w:szCs w:val="18"/>
        </w:rPr>
        <w:t>:</w:t>
      </w:r>
      <w:r w:rsidRPr="00A656D3">
        <w:rPr>
          <w:rFonts w:cstheme="minorHAnsi"/>
          <w:b/>
          <w:bCs/>
          <w:szCs w:val="18"/>
        </w:rPr>
        <w:t xml:space="preserve"> </w:t>
      </w:r>
      <w:hyperlink r:id="rId14" w:history="1">
        <w:r w:rsidRPr="00A656D3">
          <w:rPr>
            <w:rStyle w:val="Hyperlink"/>
            <w:szCs w:val="18"/>
          </w:rPr>
          <w:t>Australian Agricultural and Grazing Industries Survey</w:t>
        </w:r>
      </w:hyperlink>
      <w:r w:rsidRPr="00A656D3">
        <w:rPr>
          <w:color w:val="4F81BD" w:themeColor="accent1"/>
          <w:szCs w:val="18"/>
        </w:rPr>
        <w:t xml:space="preserve"> </w:t>
      </w:r>
      <w:r w:rsidRPr="00A656D3">
        <w:rPr>
          <w:szCs w:val="18"/>
        </w:rPr>
        <w:t xml:space="preserve">and </w:t>
      </w:r>
      <w:hyperlink r:id="rId15" w:history="1">
        <w:r w:rsidRPr="00A656D3">
          <w:rPr>
            <w:rStyle w:val="Hyperlink"/>
            <w:szCs w:val="18"/>
          </w:rPr>
          <w:t>Australian Dairy Industry Survey</w:t>
        </w:r>
      </w:hyperlink>
      <w:r w:rsidRPr="00A656D3">
        <w:rPr>
          <w:szCs w:val="18"/>
        </w:rPr>
        <w:t xml:space="preserve">, and </w:t>
      </w:r>
      <w:hyperlink r:id="rId16" w:history="1">
        <w:r w:rsidRPr="00A656D3">
          <w:rPr>
            <w:rStyle w:val="Hyperlink"/>
            <w:szCs w:val="18"/>
          </w:rPr>
          <w:t>DAFF FMD statistics</w:t>
        </w:r>
      </w:hyperlink>
    </w:p>
    <w:p w14:paraId="36F06401" w14:textId="425529FD" w:rsidR="0006211F" w:rsidRDefault="0025765B" w:rsidP="0062708B">
      <w:pPr>
        <w:pStyle w:val="Heading2"/>
        <w:pageBreakBefore/>
        <w:numPr>
          <w:ilvl w:val="0"/>
          <w:numId w:val="0"/>
        </w:numPr>
      </w:pPr>
      <w:bookmarkStart w:id="1" w:name="_Toc430782151"/>
      <w:bookmarkStart w:id="2" w:name="_Toc511376519"/>
      <w:r>
        <w:lastRenderedPageBreak/>
        <w:t xml:space="preserve">KPI 2: </w:t>
      </w:r>
      <w:r w:rsidR="001723FB">
        <w:t>F</w:t>
      </w:r>
      <w:r>
        <w:t>arm cash income and FMD holdings</w:t>
      </w:r>
    </w:p>
    <w:p w14:paraId="0045275F" w14:textId="6D190953" w:rsidR="008F70A7" w:rsidRPr="000C5741" w:rsidRDefault="008F70A7" w:rsidP="008F70A7">
      <w:r w:rsidRPr="000C5741">
        <w:t xml:space="preserve">For 2022–23, a positive relationship between changes in </w:t>
      </w:r>
      <w:r w:rsidR="007C4F07" w:rsidRPr="000C5741">
        <w:t>farm cash income (</w:t>
      </w:r>
      <w:r w:rsidRPr="000C5741">
        <w:t>FCI</w:t>
      </w:r>
      <w:r w:rsidR="007C4F07" w:rsidRPr="000C5741">
        <w:t>)</w:t>
      </w:r>
      <w:r w:rsidRPr="000C5741">
        <w:t xml:space="preserve"> and FMD holdings was observed for each assessed industry</w:t>
      </w:r>
      <w:r w:rsidR="0050440B">
        <w:t xml:space="preserve"> (</w:t>
      </w:r>
      <w:r w:rsidR="0050440B">
        <w:fldChar w:fldCharType="begin"/>
      </w:r>
      <w:r w:rsidR="0050440B">
        <w:instrText xml:space="preserve"> REF _Ref151038727 \h </w:instrText>
      </w:r>
      <w:r w:rsidR="0050440B">
        <w:fldChar w:fldCharType="separate"/>
      </w:r>
      <w:r w:rsidR="00A9146E">
        <w:t xml:space="preserve">Table </w:t>
      </w:r>
      <w:r w:rsidR="00A9146E">
        <w:rPr>
          <w:noProof/>
        </w:rPr>
        <w:t>1</w:t>
      </w:r>
      <w:r w:rsidR="0050440B">
        <w:fldChar w:fldCharType="end"/>
      </w:r>
      <w:r w:rsidR="0050440B">
        <w:t>)</w:t>
      </w:r>
      <w:r w:rsidRPr="000C5741">
        <w:t xml:space="preserve">. </w:t>
      </w:r>
      <w:r w:rsidR="000C5741">
        <w:t>FCI decreased in 5 of the 7 industries. This coincided</w:t>
      </w:r>
      <w:r w:rsidRPr="000C5741">
        <w:t xml:space="preserve"> with a decrease in FMD holdings. </w:t>
      </w:r>
      <w:r w:rsidR="007C4F07" w:rsidRPr="000C5741">
        <w:t>FCI</w:t>
      </w:r>
      <w:r w:rsidRPr="000C5741">
        <w:t xml:space="preserve"> </w:t>
      </w:r>
      <w:r w:rsidR="000C5741">
        <w:t>increased</w:t>
      </w:r>
      <w:r w:rsidRPr="000C5741">
        <w:t xml:space="preserve"> for two industries (cropping and dairy), coinciding with an increase in FMD holdings.</w:t>
      </w:r>
    </w:p>
    <w:p w14:paraId="5136B424" w14:textId="249F1645" w:rsidR="008F70A7" w:rsidRDefault="0050440B" w:rsidP="0050440B">
      <w:pPr>
        <w:pStyle w:val="Caption"/>
      </w:pPr>
      <w:bookmarkStart w:id="3" w:name="_Ref151038727"/>
      <w:r>
        <w:t xml:space="preserve">Table </w:t>
      </w:r>
      <w:fldSimple w:instr=" SEQ Table \* ARABIC ">
        <w:r w:rsidR="00A9146E">
          <w:rPr>
            <w:noProof/>
          </w:rPr>
          <w:t>1</w:t>
        </w:r>
      </w:fldSimple>
      <w:bookmarkEnd w:id="3"/>
      <w:r w:rsidR="00EA6250">
        <w:rPr>
          <w:noProof/>
        </w:rPr>
        <w:t>:</w:t>
      </w:r>
      <w:r>
        <w:t xml:space="preserve"> </w:t>
      </w:r>
      <w:r w:rsidRPr="005A58F3">
        <w:t>Ratio of annual percentage change in FMD holdings to annual percentage change in farm cash income (FCI), 30 June 2023</w:t>
      </w:r>
      <w:r>
        <w:t xml:space="preserve"> </w:t>
      </w:r>
    </w:p>
    <w:tbl>
      <w:tblPr>
        <w:tblW w:w="4910" w:type="pct"/>
        <w:tblBorders>
          <w:top w:val="single" w:sz="6" w:space="0" w:color="auto"/>
          <w:bottom w:val="single" w:sz="4" w:space="0" w:color="auto"/>
          <w:insideH w:val="single" w:sz="4" w:space="0" w:color="auto"/>
        </w:tblBorders>
        <w:tblCellMar>
          <w:left w:w="40" w:type="dxa"/>
          <w:right w:w="40" w:type="dxa"/>
        </w:tblCellMar>
        <w:tblLook w:val="0000" w:firstRow="0" w:lastRow="0" w:firstColumn="0" w:lastColumn="0" w:noHBand="0" w:noVBand="0"/>
        <w:tblDescription w:val="A table showing the ratio of annual pervcentage change in FMD holdings to annual percentage change in farm cash income to 30 June 2023."/>
      </w:tblPr>
      <w:tblGrid>
        <w:gridCol w:w="1255"/>
        <w:gridCol w:w="274"/>
        <w:gridCol w:w="1675"/>
        <w:gridCol w:w="150"/>
        <w:gridCol w:w="2633"/>
        <w:gridCol w:w="164"/>
        <w:gridCol w:w="2756"/>
      </w:tblGrid>
      <w:tr w:rsidR="006435ED" w14:paraId="38F6C5D3" w14:textId="77777777" w:rsidTr="00264909">
        <w:trPr>
          <w:tblHeader/>
        </w:trPr>
        <w:tc>
          <w:tcPr>
            <w:tcW w:w="705" w:type="pct"/>
          </w:tcPr>
          <w:p w14:paraId="6E5CE8AD" w14:textId="38F3FBAA" w:rsidR="006435ED" w:rsidRDefault="006435ED" w:rsidP="00AC4B62">
            <w:pPr>
              <w:pStyle w:val="TableHeading"/>
            </w:pPr>
            <w:r>
              <w:t>Industry</w:t>
            </w:r>
          </w:p>
        </w:tc>
        <w:tc>
          <w:tcPr>
            <w:tcW w:w="1094" w:type="pct"/>
            <w:gridSpan w:val="2"/>
            <w:tcMar>
              <w:left w:w="108" w:type="dxa"/>
              <w:right w:w="108" w:type="dxa"/>
            </w:tcMar>
          </w:tcPr>
          <w:p w14:paraId="7D571CC5" w14:textId="7774F642" w:rsidR="006435ED" w:rsidRDefault="006435ED" w:rsidP="00F23A37">
            <w:pPr>
              <w:pStyle w:val="TableHeading"/>
              <w:jc w:val="right"/>
            </w:pPr>
            <w:r>
              <w:t>Annual % change in FCI</w:t>
            </w:r>
          </w:p>
        </w:tc>
        <w:tc>
          <w:tcPr>
            <w:tcW w:w="1562" w:type="pct"/>
            <w:gridSpan w:val="2"/>
            <w:tcMar>
              <w:left w:w="108" w:type="dxa"/>
              <w:right w:w="108" w:type="dxa"/>
            </w:tcMar>
          </w:tcPr>
          <w:p w14:paraId="11F7AF60" w14:textId="6B7EC62C" w:rsidR="006435ED" w:rsidRDefault="006435ED" w:rsidP="00F23A37">
            <w:pPr>
              <w:pStyle w:val="TableHeading"/>
              <w:jc w:val="right"/>
            </w:pPr>
            <w:r>
              <w:t>Annual % change in FMD holdings</w:t>
            </w:r>
          </w:p>
        </w:tc>
        <w:tc>
          <w:tcPr>
            <w:tcW w:w="1639" w:type="pct"/>
            <w:gridSpan w:val="2"/>
            <w:tcMar>
              <w:left w:w="108" w:type="dxa"/>
              <w:right w:w="108" w:type="dxa"/>
            </w:tcMar>
          </w:tcPr>
          <w:p w14:paraId="660FA873" w14:textId="14E9BE37" w:rsidR="006435ED" w:rsidRDefault="006435ED" w:rsidP="00F23A37">
            <w:pPr>
              <w:pStyle w:val="TableHeading"/>
              <w:jc w:val="right"/>
            </w:pPr>
            <w:r>
              <w:t>Ratio of annual % change in FMD holdings to annual % change in FCI</w:t>
            </w:r>
          </w:p>
        </w:tc>
      </w:tr>
      <w:tr w:rsidR="006435ED" w14:paraId="28840E6B" w14:textId="77777777" w:rsidTr="00264909">
        <w:tc>
          <w:tcPr>
            <w:tcW w:w="859" w:type="pct"/>
            <w:gridSpan w:val="2"/>
            <w:tcMar>
              <w:left w:w="108" w:type="dxa"/>
              <w:right w:w="108" w:type="dxa"/>
            </w:tcMar>
          </w:tcPr>
          <w:p w14:paraId="251C4A92" w14:textId="07219D04" w:rsidR="006435ED" w:rsidRDefault="006435ED" w:rsidP="00F23A37">
            <w:pPr>
              <w:pStyle w:val="TableText"/>
            </w:pPr>
            <w:r>
              <w:t>Beef</w:t>
            </w:r>
          </w:p>
        </w:tc>
        <w:tc>
          <w:tcPr>
            <w:tcW w:w="1024" w:type="pct"/>
            <w:gridSpan w:val="2"/>
            <w:tcMar>
              <w:left w:w="108" w:type="dxa"/>
              <w:right w:w="108" w:type="dxa"/>
            </w:tcMar>
          </w:tcPr>
          <w:p w14:paraId="49658F64" w14:textId="6CBA52F9" w:rsidR="006435ED" w:rsidRDefault="004430B2" w:rsidP="00F23A37">
            <w:pPr>
              <w:pStyle w:val="TableText"/>
              <w:jc w:val="right"/>
            </w:pPr>
            <w:r>
              <w:t>−</w:t>
            </w:r>
            <w:r w:rsidR="006435ED">
              <w:t>14.7%</w:t>
            </w:r>
          </w:p>
        </w:tc>
        <w:tc>
          <w:tcPr>
            <w:tcW w:w="1570" w:type="pct"/>
            <w:gridSpan w:val="2"/>
            <w:tcMar>
              <w:left w:w="108" w:type="dxa"/>
              <w:right w:w="108" w:type="dxa"/>
            </w:tcMar>
          </w:tcPr>
          <w:p w14:paraId="583ACCB0" w14:textId="0813E3D2" w:rsidR="006435ED" w:rsidRDefault="004430B2" w:rsidP="00F23A37">
            <w:pPr>
              <w:pStyle w:val="TableText"/>
              <w:jc w:val="right"/>
            </w:pPr>
            <w:r>
              <w:t>−</w:t>
            </w:r>
            <w:r w:rsidR="006435ED">
              <w:t>1.3%</w:t>
            </w:r>
          </w:p>
        </w:tc>
        <w:tc>
          <w:tcPr>
            <w:tcW w:w="1547" w:type="pct"/>
            <w:tcMar>
              <w:left w:w="108" w:type="dxa"/>
              <w:right w:w="108" w:type="dxa"/>
            </w:tcMar>
          </w:tcPr>
          <w:p w14:paraId="62CB6236" w14:textId="006294D6" w:rsidR="006435ED" w:rsidRDefault="006435ED" w:rsidP="00F23A37">
            <w:pPr>
              <w:pStyle w:val="TableText"/>
              <w:jc w:val="right"/>
            </w:pPr>
            <w:r>
              <w:t>0.09</w:t>
            </w:r>
          </w:p>
        </w:tc>
      </w:tr>
      <w:tr w:rsidR="006435ED" w14:paraId="5B2715ED" w14:textId="77777777" w:rsidTr="00264909">
        <w:tc>
          <w:tcPr>
            <w:tcW w:w="859" w:type="pct"/>
            <w:gridSpan w:val="2"/>
            <w:tcMar>
              <w:left w:w="108" w:type="dxa"/>
              <w:right w:w="108" w:type="dxa"/>
            </w:tcMar>
          </w:tcPr>
          <w:p w14:paraId="7B37B251" w14:textId="42855757" w:rsidR="006435ED" w:rsidRDefault="006435ED" w:rsidP="00F23A37">
            <w:pPr>
              <w:pStyle w:val="TableText"/>
            </w:pPr>
            <w:r>
              <w:t>Sheep</w:t>
            </w:r>
          </w:p>
        </w:tc>
        <w:tc>
          <w:tcPr>
            <w:tcW w:w="1024" w:type="pct"/>
            <w:gridSpan w:val="2"/>
            <w:tcMar>
              <w:left w:w="108" w:type="dxa"/>
              <w:right w:w="108" w:type="dxa"/>
            </w:tcMar>
          </w:tcPr>
          <w:p w14:paraId="22C0C10B" w14:textId="7ADBE947" w:rsidR="006435ED" w:rsidRDefault="004430B2" w:rsidP="00F23A37">
            <w:pPr>
              <w:pStyle w:val="TableText"/>
              <w:jc w:val="right"/>
            </w:pPr>
            <w:r>
              <w:t>−</w:t>
            </w:r>
            <w:r w:rsidR="006435ED">
              <w:t>20.7%</w:t>
            </w:r>
          </w:p>
        </w:tc>
        <w:tc>
          <w:tcPr>
            <w:tcW w:w="1570" w:type="pct"/>
            <w:gridSpan w:val="2"/>
            <w:tcMar>
              <w:left w:w="108" w:type="dxa"/>
              <w:right w:w="108" w:type="dxa"/>
            </w:tcMar>
          </w:tcPr>
          <w:p w14:paraId="57BA80F6" w14:textId="157A4DC6" w:rsidR="006435ED" w:rsidRDefault="004430B2" w:rsidP="00F23A37">
            <w:pPr>
              <w:pStyle w:val="TableText"/>
              <w:jc w:val="right"/>
            </w:pPr>
            <w:r>
              <w:t>−</w:t>
            </w:r>
            <w:r w:rsidR="006435ED">
              <w:t>11.4%</w:t>
            </w:r>
          </w:p>
        </w:tc>
        <w:tc>
          <w:tcPr>
            <w:tcW w:w="1547" w:type="pct"/>
            <w:tcMar>
              <w:left w:w="108" w:type="dxa"/>
              <w:right w:w="108" w:type="dxa"/>
            </w:tcMar>
          </w:tcPr>
          <w:p w14:paraId="28F23F86" w14:textId="5FB0FE43" w:rsidR="006435ED" w:rsidRDefault="006435ED" w:rsidP="00F23A37">
            <w:pPr>
              <w:pStyle w:val="TableText"/>
              <w:jc w:val="right"/>
            </w:pPr>
            <w:r>
              <w:t>0.55</w:t>
            </w:r>
          </w:p>
        </w:tc>
      </w:tr>
      <w:tr w:rsidR="006435ED" w14:paraId="60569357" w14:textId="77777777" w:rsidTr="00264909">
        <w:tc>
          <w:tcPr>
            <w:tcW w:w="859" w:type="pct"/>
            <w:gridSpan w:val="2"/>
            <w:tcMar>
              <w:left w:w="108" w:type="dxa"/>
              <w:right w:w="108" w:type="dxa"/>
            </w:tcMar>
          </w:tcPr>
          <w:p w14:paraId="40DDCD91" w14:textId="58AF3E20" w:rsidR="006435ED" w:rsidRDefault="006435ED" w:rsidP="00F23A37">
            <w:pPr>
              <w:pStyle w:val="TableText"/>
            </w:pPr>
            <w:r>
              <w:t xml:space="preserve">Cropping </w:t>
            </w:r>
            <w:r w:rsidR="00017A82">
              <w:rPr>
                <w:vertAlign w:val="superscript"/>
              </w:rPr>
              <w:t>a</w:t>
            </w:r>
          </w:p>
        </w:tc>
        <w:tc>
          <w:tcPr>
            <w:tcW w:w="1024" w:type="pct"/>
            <w:gridSpan w:val="2"/>
            <w:tcMar>
              <w:left w:w="108" w:type="dxa"/>
              <w:right w:w="108" w:type="dxa"/>
            </w:tcMar>
          </w:tcPr>
          <w:p w14:paraId="18240A39" w14:textId="25341F36" w:rsidR="006435ED" w:rsidRDefault="00CF51F2" w:rsidP="00F23A37">
            <w:pPr>
              <w:pStyle w:val="TableText"/>
              <w:jc w:val="right"/>
            </w:pPr>
            <w:r>
              <w:t>+</w:t>
            </w:r>
            <w:r w:rsidR="006435ED">
              <w:t>11.8%</w:t>
            </w:r>
          </w:p>
        </w:tc>
        <w:tc>
          <w:tcPr>
            <w:tcW w:w="1570" w:type="pct"/>
            <w:gridSpan w:val="2"/>
            <w:tcMar>
              <w:left w:w="108" w:type="dxa"/>
              <w:right w:w="108" w:type="dxa"/>
            </w:tcMar>
          </w:tcPr>
          <w:p w14:paraId="39A8D851" w14:textId="6358D35C" w:rsidR="006435ED" w:rsidRDefault="00CF51F2" w:rsidP="00F23A37">
            <w:pPr>
              <w:pStyle w:val="TableText"/>
              <w:jc w:val="right"/>
            </w:pPr>
            <w:r>
              <w:t>+</w:t>
            </w:r>
            <w:r w:rsidR="006435ED">
              <w:t>8.1%</w:t>
            </w:r>
          </w:p>
        </w:tc>
        <w:tc>
          <w:tcPr>
            <w:tcW w:w="1547" w:type="pct"/>
            <w:tcMar>
              <w:left w:w="108" w:type="dxa"/>
              <w:right w:w="108" w:type="dxa"/>
            </w:tcMar>
          </w:tcPr>
          <w:p w14:paraId="1D7F6A54" w14:textId="2C372717" w:rsidR="006435ED" w:rsidRDefault="006435ED" w:rsidP="00F23A37">
            <w:pPr>
              <w:pStyle w:val="TableText"/>
              <w:jc w:val="right"/>
            </w:pPr>
            <w:r>
              <w:t>0.69</w:t>
            </w:r>
          </w:p>
        </w:tc>
      </w:tr>
      <w:tr w:rsidR="006435ED" w14:paraId="149BBAAD" w14:textId="77777777" w:rsidTr="00264909">
        <w:tc>
          <w:tcPr>
            <w:tcW w:w="859" w:type="pct"/>
            <w:gridSpan w:val="2"/>
            <w:tcMar>
              <w:left w:w="108" w:type="dxa"/>
              <w:right w:w="108" w:type="dxa"/>
            </w:tcMar>
          </w:tcPr>
          <w:p w14:paraId="551777C7" w14:textId="40BE61A3" w:rsidR="006435ED" w:rsidRDefault="006435ED" w:rsidP="00F23A37">
            <w:pPr>
              <w:pStyle w:val="TableText"/>
            </w:pPr>
            <w:r>
              <w:t>Sheep-beef</w:t>
            </w:r>
          </w:p>
        </w:tc>
        <w:tc>
          <w:tcPr>
            <w:tcW w:w="1024" w:type="pct"/>
            <w:gridSpan w:val="2"/>
            <w:tcMar>
              <w:left w:w="108" w:type="dxa"/>
              <w:right w:w="108" w:type="dxa"/>
            </w:tcMar>
          </w:tcPr>
          <w:p w14:paraId="005AF359" w14:textId="3C6C2977" w:rsidR="006435ED" w:rsidRDefault="004430B2" w:rsidP="00F23A37">
            <w:pPr>
              <w:pStyle w:val="TableText"/>
              <w:jc w:val="right"/>
            </w:pPr>
            <w:r>
              <w:t>−</w:t>
            </w:r>
            <w:r w:rsidR="006435ED">
              <w:t>26.0%</w:t>
            </w:r>
          </w:p>
        </w:tc>
        <w:tc>
          <w:tcPr>
            <w:tcW w:w="1570" w:type="pct"/>
            <w:gridSpan w:val="2"/>
            <w:tcMar>
              <w:left w:w="108" w:type="dxa"/>
              <w:right w:w="108" w:type="dxa"/>
            </w:tcMar>
          </w:tcPr>
          <w:p w14:paraId="3C365FF2" w14:textId="27734B73" w:rsidR="006435ED" w:rsidRDefault="004430B2" w:rsidP="00F23A37">
            <w:pPr>
              <w:pStyle w:val="TableText"/>
              <w:jc w:val="right"/>
            </w:pPr>
            <w:r>
              <w:t>−</w:t>
            </w:r>
            <w:r w:rsidR="006435ED">
              <w:t>8.3%</w:t>
            </w:r>
          </w:p>
        </w:tc>
        <w:tc>
          <w:tcPr>
            <w:tcW w:w="1547" w:type="pct"/>
            <w:tcMar>
              <w:left w:w="108" w:type="dxa"/>
              <w:right w:w="108" w:type="dxa"/>
            </w:tcMar>
          </w:tcPr>
          <w:p w14:paraId="0D0B8CC1" w14:textId="62C6A7A6" w:rsidR="006435ED" w:rsidRDefault="006435ED" w:rsidP="00F23A37">
            <w:pPr>
              <w:pStyle w:val="TableText"/>
              <w:jc w:val="right"/>
            </w:pPr>
            <w:r>
              <w:t>0.32</w:t>
            </w:r>
          </w:p>
        </w:tc>
      </w:tr>
      <w:tr w:rsidR="006435ED" w14:paraId="755256F4" w14:textId="77777777" w:rsidTr="00264909">
        <w:tc>
          <w:tcPr>
            <w:tcW w:w="859" w:type="pct"/>
            <w:gridSpan w:val="2"/>
            <w:tcMar>
              <w:left w:w="108" w:type="dxa"/>
              <w:right w:w="108" w:type="dxa"/>
            </w:tcMar>
          </w:tcPr>
          <w:p w14:paraId="22E54FE4" w14:textId="5315A965" w:rsidR="006435ED" w:rsidRDefault="006435ED" w:rsidP="00F23A37">
            <w:pPr>
              <w:pStyle w:val="TableText"/>
            </w:pPr>
            <w:r>
              <w:t xml:space="preserve">Mixed livestock and cropping </w:t>
            </w:r>
            <w:r w:rsidR="00017A82">
              <w:rPr>
                <w:vertAlign w:val="superscript"/>
              </w:rPr>
              <w:t>b</w:t>
            </w:r>
          </w:p>
        </w:tc>
        <w:tc>
          <w:tcPr>
            <w:tcW w:w="1024" w:type="pct"/>
            <w:gridSpan w:val="2"/>
            <w:tcMar>
              <w:left w:w="108" w:type="dxa"/>
              <w:right w:w="108" w:type="dxa"/>
            </w:tcMar>
          </w:tcPr>
          <w:p w14:paraId="5236AF6D" w14:textId="02A809AB" w:rsidR="006435ED" w:rsidRDefault="004430B2" w:rsidP="00F23A37">
            <w:pPr>
              <w:pStyle w:val="TableText"/>
              <w:jc w:val="right"/>
            </w:pPr>
            <w:r>
              <w:t>−</w:t>
            </w:r>
            <w:r w:rsidR="006435ED">
              <w:t>15.0%</w:t>
            </w:r>
          </w:p>
        </w:tc>
        <w:tc>
          <w:tcPr>
            <w:tcW w:w="1570" w:type="pct"/>
            <w:gridSpan w:val="2"/>
            <w:tcMar>
              <w:left w:w="108" w:type="dxa"/>
              <w:right w:w="108" w:type="dxa"/>
            </w:tcMar>
          </w:tcPr>
          <w:p w14:paraId="16F4BB06" w14:textId="544F0827" w:rsidR="006435ED" w:rsidRDefault="00CF51F2" w:rsidP="00F23A37">
            <w:pPr>
              <w:pStyle w:val="TableText"/>
              <w:jc w:val="right"/>
            </w:pPr>
            <w:r>
              <w:t>+</w:t>
            </w:r>
            <w:r w:rsidR="006435ED">
              <w:t>6.2%</w:t>
            </w:r>
          </w:p>
        </w:tc>
        <w:tc>
          <w:tcPr>
            <w:tcW w:w="1547" w:type="pct"/>
            <w:tcMar>
              <w:left w:w="108" w:type="dxa"/>
              <w:right w:w="108" w:type="dxa"/>
            </w:tcMar>
          </w:tcPr>
          <w:p w14:paraId="45B7812A" w14:textId="0227AD96" w:rsidR="006435ED" w:rsidRDefault="006435ED" w:rsidP="00F23A37">
            <w:pPr>
              <w:pStyle w:val="TableText"/>
              <w:jc w:val="right"/>
            </w:pPr>
            <w:r>
              <w:t>0.32</w:t>
            </w:r>
          </w:p>
        </w:tc>
      </w:tr>
      <w:tr w:rsidR="006435ED" w14:paraId="5CF343FA" w14:textId="77777777" w:rsidTr="00264909">
        <w:tc>
          <w:tcPr>
            <w:tcW w:w="859" w:type="pct"/>
            <w:gridSpan w:val="2"/>
            <w:tcMar>
              <w:left w:w="108" w:type="dxa"/>
              <w:right w:w="108" w:type="dxa"/>
            </w:tcMar>
          </w:tcPr>
          <w:p w14:paraId="28A5D6C4" w14:textId="3C53793E" w:rsidR="006435ED" w:rsidRPr="00017A82" w:rsidRDefault="006435ED" w:rsidP="006435ED">
            <w:pPr>
              <w:pStyle w:val="TableText"/>
              <w:rPr>
                <w:b/>
                <w:bCs/>
              </w:rPr>
            </w:pPr>
            <w:r w:rsidRPr="00017A82">
              <w:rPr>
                <w:b/>
                <w:bCs/>
              </w:rPr>
              <w:t>Total broadacre</w:t>
            </w:r>
            <w:r w:rsidR="00D13D8A">
              <w:rPr>
                <w:b/>
                <w:bCs/>
              </w:rPr>
              <w:t xml:space="preserve"> </w:t>
            </w:r>
            <w:r w:rsidR="00017A82" w:rsidRPr="00017A82">
              <w:rPr>
                <w:b/>
                <w:bCs/>
                <w:vertAlign w:val="superscript"/>
              </w:rPr>
              <w:t>c</w:t>
            </w:r>
          </w:p>
        </w:tc>
        <w:tc>
          <w:tcPr>
            <w:tcW w:w="1024" w:type="pct"/>
            <w:gridSpan w:val="2"/>
            <w:tcMar>
              <w:left w:w="108" w:type="dxa"/>
              <w:right w:w="108" w:type="dxa"/>
            </w:tcMar>
          </w:tcPr>
          <w:p w14:paraId="7D2CF5FD" w14:textId="769841CD" w:rsidR="006435ED" w:rsidRDefault="004430B2" w:rsidP="006435ED">
            <w:pPr>
              <w:pStyle w:val="TableText"/>
              <w:jc w:val="right"/>
            </w:pPr>
            <w:r>
              <w:t>−</w:t>
            </w:r>
            <w:r w:rsidR="006435ED">
              <w:t>6.4%</w:t>
            </w:r>
          </w:p>
        </w:tc>
        <w:tc>
          <w:tcPr>
            <w:tcW w:w="1570" w:type="pct"/>
            <w:gridSpan w:val="2"/>
            <w:tcMar>
              <w:left w:w="108" w:type="dxa"/>
              <w:right w:w="108" w:type="dxa"/>
            </w:tcMar>
          </w:tcPr>
          <w:p w14:paraId="40E5F47B" w14:textId="15011DE4" w:rsidR="006435ED" w:rsidRDefault="004430B2" w:rsidP="006435ED">
            <w:pPr>
              <w:pStyle w:val="TableText"/>
              <w:jc w:val="right"/>
            </w:pPr>
            <w:r>
              <w:t>−</w:t>
            </w:r>
            <w:r w:rsidR="006435ED">
              <w:t>1.4%</w:t>
            </w:r>
          </w:p>
        </w:tc>
        <w:tc>
          <w:tcPr>
            <w:tcW w:w="1547" w:type="pct"/>
            <w:tcMar>
              <w:left w:w="108" w:type="dxa"/>
              <w:right w:w="108" w:type="dxa"/>
            </w:tcMar>
          </w:tcPr>
          <w:p w14:paraId="50E0D90A" w14:textId="68238BFD" w:rsidR="006435ED" w:rsidRDefault="006435ED" w:rsidP="006435ED">
            <w:pPr>
              <w:pStyle w:val="TableText"/>
              <w:jc w:val="right"/>
            </w:pPr>
            <w:r>
              <w:t>0.22</w:t>
            </w:r>
          </w:p>
        </w:tc>
      </w:tr>
      <w:tr w:rsidR="006435ED" w14:paraId="4B51B538" w14:textId="77777777" w:rsidTr="00264909">
        <w:tc>
          <w:tcPr>
            <w:tcW w:w="859" w:type="pct"/>
            <w:gridSpan w:val="2"/>
            <w:tcMar>
              <w:left w:w="108" w:type="dxa"/>
              <w:right w:w="108" w:type="dxa"/>
            </w:tcMar>
          </w:tcPr>
          <w:p w14:paraId="4183C26F" w14:textId="3B8B016E" w:rsidR="006435ED" w:rsidRDefault="006435ED" w:rsidP="006435ED">
            <w:pPr>
              <w:pStyle w:val="TableText"/>
            </w:pPr>
            <w:r>
              <w:t>Dairy</w:t>
            </w:r>
          </w:p>
        </w:tc>
        <w:tc>
          <w:tcPr>
            <w:tcW w:w="1024" w:type="pct"/>
            <w:gridSpan w:val="2"/>
            <w:tcMar>
              <w:left w:w="108" w:type="dxa"/>
              <w:right w:w="108" w:type="dxa"/>
            </w:tcMar>
          </w:tcPr>
          <w:p w14:paraId="76C6E0E1" w14:textId="41CC199E" w:rsidR="006435ED" w:rsidRDefault="00CF51F2" w:rsidP="006435ED">
            <w:pPr>
              <w:pStyle w:val="TableText"/>
              <w:jc w:val="right"/>
            </w:pPr>
            <w:r>
              <w:t>+</w:t>
            </w:r>
            <w:r w:rsidR="006435ED">
              <w:t>19.3%</w:t>
            </w:r>
          </w:p>
        </w:tc>
        <w:tc>
          <w:tcPr>
            <w:tcW w:w="1570" w:type="pct"/>
            <w:gridSpan w:val="2"/>
            <w:tcMar>
              <w:left w:w="108" w:type="dxa"/>
              <w:right w:w="108" w:type="dxa"/>
            </w:tcMar>
          </w:tcPr>
          <w:p w14:paraId="46AE1FA8" w14:textId="33F241EC" w:rsidR="006435ED" w:rsidRDefault="00CF51F2" w:rsidP="006435ED">
            <w:pPr>
              <w:pStyle w:val="TableText"/>
              <w:jc w:val="right"/>
            </w:pPr>
            <w:r>
              <w:t>+</w:t>
            </w:r>
            <w:r w:rsidR="006435ED">
              <w:t>6.2%</w:t>
            </w:r>
          </w:p>
        </w:tc>
        <w:tc>
          <w:tcPr>
            <w:tcW w:w="1547" w:type="pct"/>
            <w:tcMar>
              <w:left w:w="108" w:type="dxa"/>
              <w:right w:w="108" w:type="dxa"/>
            </w:tcMar>
          </w:tcPr>
          <w:p w14:paraId="21015D0E" w14:textId="4ED62070" w:rsidR="006435ED" w:rsidRDefault="006435ED" w:rsidP="006435ED">
            <w:pPr>
              <w:pStyle w:val="TableText"/>
              <w:jc w:val="right"/>
            </w:pPr>
            <w:r>
              <w:t>0.32</w:t>
            </w:r>
          </w:p>
        </w:tc>
      </w:tr>
    </w:tbl>
    <w:p w14:paraId="01B15001" w14:textId="69AE8510" w:rsidR="00CF51F2" w:rsidRPr="000C5741" w:rsidRDefault="00D0493B" w:rsidP="00CF51F2">
      <w:pPr>
        <w:pStyle w:val="FigureTableNoteSource"/>
      </w:pPr>
      <w:r w:rsidRPr="000C5741">
        <w:rPr>
          <w:rStyle w:val="Strong"/>
        </w:rPr>
        <w:t>a</w:t>
      </w:r>
      <w:r w:rsidR="00A53280" w:rsidRPr="000C5741">
        <w:t xml:space="preserve"> </w:t>
      </w:r>
      <w:r w:rsidR="00CF51F2" w:rsidRPr="000C5741">
        <w:t>Cropping is reported as ‘grain’ in monthly FMD statistics</w:t>
      </w:r>
      <w:r w:rsidR="0050440B" w:rsidRPr="0050440B">
        <w:rPr>
          <w:rStyle w:val="Strong"/>
        </w:rPr>
        <w:t xml:space="preserve"> </w:t>
      </w:r>
      <w:r w:rsidR="0050440B" w:rsidRPr="000C5741">
        <w:rPr>
          <w:rStyle w:val="Strong"/>
        </w:rPr>
        <w:t xml:space="preserve">b </w:t>
      </w:r>
      <w:r w:rsidR="0050440B" w:rsidRPr="000C5741">
        <w:t>Mixed livestock and cropping is reported as ‘grain-sheep/beef’ in monthly FMD statistics</w:t>
      </w:r>
      <w:r w:rsidR="00CF51F2" w:rsidRPr="000C5741">
        <w:t>.</w:t>
      </w:r>
      <w:r w:rsidR="00CF51F2" w:rsidRPr="000C5741">
        <w:rPr>
          <w:rStyle w:val="Strong"/>
        </w:rPr>
        <w:t xml:space="preserve"> c</w:t>
      </w:r>
      <w:r w:rsidR="00CF51F2" w:rsidRPr="000C5741">
        <w:t xml:space="preserve"> </w:t>
      </w:r>
      <w:r w:rsidR="00A53280" w:rsidRPr="000C5741">
        <w:t xml:space="preserve">Broadacre </w:t>
      </w:r>
      <w:proofErr w:type="gramStart"/>
      <w:r w:rsidR="00A53280" w:rsidRPr="000C5741">
        <w:t>comprises:</w:t>
      </w:r>
      <w:proofErr w:type="gramEnd"/>
      <w:r w:rsidR="00A53280" w:rsidRPr="000C5741">
        <w:t xml:space="preserve"> beef, sheep, cropping, sheep-beef, and mixed livestock and cropping.</w:t>
      </w:r>
      <w:r w:rsidR="00CF51F2" w:rsidRPr="000C5741">
        <w:t xml:space="preserve"> </w:t>
      </w:r>
    </w:p>
    <w:p w14:paraId="4A0BFBD5" w14:textId="7253394D" w:rsidR="00035BDF" w:rsidRPr="00A53280" w:rsidRDefault="00035BDF" w:rsidP="00A53280">
      <w:pPr>
        <w:pStyle w:val="FigureTableNoteSource"/>
      </w:pPr>
      <w:r w:rsidRPr="000C5741">
        <w:t>Sources</w:t>
      </w:r>
      <w:r w:rsidRPr="000C5741">
        <w:rPr>
          <w:rFonts w:cstheme="minorHAnsi"/>
          <w:szCs w:val="18"/>
        </w:rPr>
        <w:t>:</w:t>
      </w:r>
      <w:r w:rsidRPr="000C5741">
        <w:rPr>
          <w:rFonts w:cstheme="minorHAnsi"/>
          <w:b/>
          <w:bCs/>
          <w:szCs w:val="18"/>
        </w:rPr>
        <w:t xml:space="preserve"> </w:t>
      </w:r>
      <w:hyperlink r:id="rId17" w:history="1">
        <w:r w:rsidRPr="00831A68">
          <w:rPr>
            <w:rStyle w:val="Hyperlink"/>
            <w:szCs w:val="18"/>
          </w:rPr>
          <w:t>Australian Agricultural and Grazing Industries Survey and Australian Dairy Industry Survey</w:t>
        </w:r>
      </w:hyperlink>
      <w:r w:rsidRPr="000C5741">
        <w:rPr>
          <w:szCs w:val="18"/>
        </w:rPr>
        <w:t xml:space="preserve">, and </w:t>
      </w:r>
      <w:hyperlink r:id="rId18" w:history="1">
        <w:r w:rsidRPr="000C5741">
          <w:rPr>
            <w:rStyle w:val="Hyperlink"/>
            <w:szCs w:val="18"/>
          </w:rPr>
          <w:t>DAFF FMD statistics</w:t>
        </w:r>
      </w:hyperlink>
    </w:p>
    <w:p w14:paraId="129BEA49" w14:textId="7FF2B3F9" w:rsidR="006C6899" w:rsidRPr="00DB0604" w:rsidRDefault="006C6899" w:rsidP="006C6899">
      <w:r w:rsidRPr="00DB0604">
        <w:t xml:space="preserve">In addition, ABARES </w:t>
      </w:r>
      <w:r w:rsidRPr="000C5741">
        <w:t>used a log-log linear regression model</w:t>
      </w:r>
      <w:r w:rsidR="00DB0604" w:rsidRPr="000C5741">
        <w:t xml:space="preserve"> </w:t>
      </w:r>
      <w:r w:rsidRPr="000C5741">
        <w:t xml:space="preserve">to test that the relationship between FCI and FMDs holds over time and is statistically significant. </w:t>
      </w:r>
      <w:r w:rsidR="00DB0604" w:rsidRPr="000C5741">
        <w:t>ABARES conducted a log-log linear regression on data for broad</w:t>
      </w:r>
      <w:r w:rsidR="00DB0604" w:rsidRPr="00DB0604">
        <w:t xml:space="preserve">acre, cropping, mixed livestock and cropping, beef, sheep, and sheep-beef from 2002. A log-log linear regression is a statistical method that finds the relationships between a dependent variable and one or more independent variables. The inputs to the linear regression model were the dependent variable (value of FMD holdings) and the independent variable (value of FCI), by industry. The FCI data for these industries are sourced from </w:t>
      </w:r>
      <w:hyperlink r:id="rId19" w:history="1">
        <w:r w:rsidR="00DB0604" w:rsidRPr="00831A68">
          <w:rPr>
            <w:rStyle w:val="Hyperlink"/>
          </w:rPr>
          <w:t>Australian Agricultural and Grazing Industries Survey and Australian Dairy Industry Survey</w:t>
        </w:r>
      </w:hyperlink>
      <w:r w:rsidR="00DB0604" w:rsidRPr="00DB0604">
        <w:t>, which are run annually by ABARES. The value of FMD holdings was sourced from monthly data provided to DAFF by ADIs.</w:t>
      </w:r>
    </w:p>
    <w:p w14:paraId="025BCF53" w14:textId="3A3412F6" w:rsidR="000C5741" w:rsidRDefault="006C6899" w:rsidP="0062438E">
      <w:pPr>
        <w:spacing w:after="0"/>
        <w:rPr>
          <w:lang w:eastAsia="ja-JP"/>
        </w:rPr>
      </w:pPr>
      <w:r w:rsidRPr="000C5741">
        <w:t>The results</w:t>
      </w:r>
      <w:r w:rsidR="000C5741">
        <w:t xml:space="preserve"> </w:t>
      </w:r>
      <w:r w:rsidRPr="000C5741">
        <w:t>from the model</w:t>
      </w:r>
      <w:r w:rsidRPr="000C5741">
        <w:rPr>
          <w:color w:val="4F81BD" w:themeColor="accent1"/>
        </w:rPr>
        <w:t xml:space="preserve"> </w:t>
      </w:r>
      <w:r w:rsidRPr="000C5741">
        <w:t xml:space="preserve">show evidence that a positive, long-term relationship exists at the industry level, excluding dairy, between FMD holdings and FCI. </w:t>
      </w:r>
      <w:hyperlink r:id="rId20" w:history="1">
        <w:r w:rsidRPr="000C5741">
          <w:rPr>
            <w:rStyle w:val="Hyperlink"/>
          </w:rPr>
          <w:t>Previous ABARES analysis</w:t>
        </w:r>
      </w:hyperlink>
      <w:r w:rsidRPr="000C5741">
        <w:rPr>
          <w:color w:val="4F81BD" w:themeColor="accent1"/>
        </w:rPr>
        <w:t xml:space="preserve"> </w:t>
      </w:r>
      <w:r w:rsidRPr="000C5741">
        <w:t xml:space="preserve">highlighted that individuals use FMDs to suit their </w:t>
      </w:r>
      <w:proofErr w:type="gramStart"/>
      <w:r w:rsidRPr="000C5741">
        <w:t>particular circumstances</w:t>
      </w:r>
      <w:proofErr w:type="gramEnd"/>
      <w:r w:rsidRPr="000C5741">
        <w:t>, with usage varying by industry, location and farm size. Dairy producers typically experience more consistent cashflow than broadacre farmers, which may contribute to the way they use the FMD Scheme.</w:t>
      </w:r>
    </w:p>
    <w:bookmarkEnd w:id="1"/>
    <w:bookmarkEnd w:id="2"/>
    <w:p w14:paraId="2260AC0D" w14:textId="2E8E03F3" w:rsidR="00262394" w:rsidRDefault="00262394" w:rsidP="00F776B5">
      <w:pPr>
        <w:pStyle w:val="Normalsmall"/>
        <w:spacing w:before="200"/>
      </w:pPr>
      <w:r>
        <w:t>© Commonwealth of Australia 202</w:t>
      </w:r>
      <w:r w:rsidR="00340820">
        <w:t>3</w:t>
      </w:r>
    </w:p>
    <w:p w14:paraId="51C79854" w14:textId="07C8B257" w:rsidR="00262394" w:rsidRDefault="00262394" w:rsidP="00262394">
      <w:pPr>
        <w:pStyle w:val="Normalsmall"/>
      </w:pPr>
      <w:r>
        <w:t>Unless otherwise noted, copyright (and any other intellectual property rights) in this publication is owned by the Commonwealth of Australia (referred to as the Commonwealth).</w:t>
      </w:r>
      <w:r w:rsidR="00B10817">
        <w:t xml:space="preserve"> </w:t>
      </w:r>
      <w:r>
        <w:t xml:space="preserve">All material in this publication is licensed under a </w:t>
      </w:r>
      <w:hyperlink r:id="rId21" w:history="1">
        <w:r>
          <w:rPr>
            <w:rStyle w:val="Hyperlink"/>
          </w:rPr>
          <w:t>Creative Commons Attribution 4.0 International Licence</w:t>
        </w:r>
      </w:hyperlink>
      <w:r>
        <w:t xml:space="preserve"> except content supplied by third parties, logos and the Commonwealth Coat of Arms.</w:t>
      </w:r>
    </w:p>
    <w:p w14:paraId="712BBED5"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xml:space="preserve">, its employees and advisers disclaim all liability, including liability for negligence and for any loss, damage, injury, </w:t>
      </w:r>
      <w:proofErr w:type="gramStart"/>
      <w:r>
        <w:t>expense</w:t>
      </w:r>
      <w:proofErr w:type="gramEnd"/>
      <w:r>
        <w:t xml:space="preserve"> or cost incurred by any person as a result of accessing, using or relying on any of the information or data in this publication to the maximum extent permitted by law.</w:t>
      </w:r>
    </w:p>
    <w:sectPr w:rsidR="00262394">
      <w:headerReference w:type="default" r:id="rId22"/>
      <w:footerReference w:type="default" r:id="rId23"/>
      <w:headerReference w:type="first" r:id="rId24"/>
      <w:footerReference w:type="first" r:id="rId25"/>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26861" w14:textId="77777777" w:rsidR="00911CC7" w:rsidRDefault="00911CC7">
      <w:r>
        <w:separator/>
      </w:r>
    </w:p>
    <w:p w14:paraId="06DB58DD" w14:textId="77777777" w:rsidR="00911CC7" w:rsidRDefault="00911CC7"/>
    <w:p w14:paraId="27ECC112" w14:textId="77777777" w:rsidR="00911CC7" w:rsidRDefault="00911CC7"/>
  </w:endnote>
  <w:endnote w:type="continuationSeparator" w:id="0">
    <w:p w14:paraId="5F48F2A9" w14:textId="77777777" w:rsidR="00911CC7" w:rsidRDefault="00911CC7">
      <w:r>
        <w:continuationSeparator/>
      </w:r>
    </w:p>
    <w:p w14:paraId="0C922CE4" w14:textId="77777777" w:rsidR="00911CC7" w:rsidRDefault="00911CC7"/>
    <w:p w14:paraId="5ED0E518" w14:textId="77777777" w:rsidR="00911CC7" w:rsidRDefault="00911CC7"/>
  </w:endnote>
  <w:endnote w:type="continuationNotice" w:id="1">
    <w:p w14:paraId="66C91A5F" w14:textId="77777777" w:rsidR="00911CC7" w:rsidRDefault="00911CC7">
      <w:pPr>
        <w:pStyle w:val="Footer"/>
      </w:pPr>
    </w:p>
    <w:p w14:paraId="4C058C52" w14:textId="77777777" w:rsidR="00911CC7" w:rsidRDefault="00911CC7"/>
    <w:p w14:paraId="0BE50F84" w14:textId="77777777" w:rsidR="00911CC7" w:rsidRDefault="00911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30FEB" w14:textId="77777777" w:rsidR="002A193C" w:rsidRDefault="007B1F92">
    <w:pPr>
      <w:pStyle w:val="Footer"/>
    </w:pPr>
    <w:r w:rsidRPr="007B1F92">
      <w:t>Department of Agriculture, Fisheries and Forestry</w:t>
    </w:r>
  </w:p>
  <w:p w14:paraId="5D767F90"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3CFE8" w14:textId="77777777" w:rsidR="002A193C" w:rsidRDefault="002A193C">
    <w:pPr>
      <w:pStyle w:val="Footer"/>
    </w:pPr>
    <w:r>
      <w:t xml:space="preserve">Department of Agriculture, </w:t>
    </w:r>
    <w:r w:rsidR="00A9002C">
      <w:t>Fisheries and Forestry</w:t>
    </w:r>
  </w:p>
  <w:p w14:paraId="771BCEDF"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5CE59" w14:textId="77777777" w:rsidR="00911CC7" w:rsidRDefault="00911CC7">
      <w:r>
        <w:separator/>
      </w:r>
    </w:p>
    <w:p w14:paraId="6B09F28A" w14:textId="77777777" w:rsidR="00911CC7" w:rsidRDefault="00911CC7"/>
    <w:p w14:paraId="77AA7989" w14:textId="77777777" w:rsidR="00911CC7" w:rsidRDefault="00911CC7"/>
  </w:footnote>
  <w:footnote w:type="continuationSeparator" w:id="0">
    <w:p w14:paraId="085BA56A" w14:textId="77777777" w:rsidR="00911CC7" w:rsidRDefault="00911CC7">
      <w:r>
        <w:continuationSeparator/>
      </w:r>
    </w:p>
    <w:p w14:paraId="3EE581D0" w14:textId="77777777" w:rsidR="00911CC7" w:rsidRDefault="00911CC7"/>
    <w:p w14:paraId="05B1EC25" w14:textId="77777777" w:rsidR="00911CC7" w:rsidRDefault="00911CC7"/>
  </w:footnote>
  <w:footnote w:type="continuationNotice" w:id="1">
    <w:p w14:paraId="10402089" w14:textId="77777777" w:rsidR="00911CC7" w:rsidRDefault="00911CC7">
      <w:pPr>
        <w:pStyle w:val="Footer"/>
      </w:pPr>
    </w:p>
    <w:p w14:paraId="072CD9FA" w14:textId="77777777" w:rsidR="00911CC7" w:rsidRDefault="00911CC7"/>
    <w:p w14:paraId="5EB2F3C1" w14:textId="77777777" w:rsidR="00911CC7" w:rsidRDefault="00911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27826" w14:textId="0625C433" w:rsidR="002A193C" w:rsidRDefault="00221741">
    <w:pPr>
      <w:pStyle w:val="Header"/>
    </w:pPr>
    <w:r w:rsidRPr="00221741">
      <w:t>Analysis of Farm Management Deposits Scheme key performance indicators</w:t>
    </w:r>
    <w:r w:rsidR="003A7E60" w:rsidRPr="000C5741">
      <w:t xml:space="preserve">: 2022–23 findings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A940D" w14:textId="2F15905C" w:rsidR="002A193C" w:rsidRDefault="00D36729">
    <w:pPr>
      <w:pStyle w:val="Header"/>
      <w:jc w:val="left"/>
    </w:pPr>
    <w:r>
      <w:rPr>
        <w:noProof/>
        <w:lang w:eastAsia="en-AU"/>
      </w:rPr>
      <w:drawing>
        <wp:inline distT="0" distB="0" distL="0" distR="0" wp14:anchorId="177EB7B3" wp14:editId="735A0DCA">
          <wp:extent cx="2542599" cy="738943"/>
          <wp:effectExtent l="0" t="0" r="0" b="4445"/>
          <wp:docPr id="1" name="Picture 1"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542599" cy="738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B5D96"/>
    <w:multiLevelType w:val="hybridMultilevel"/>
    <w:tmpl w:val="62E09E78"/>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86800B4"/>
    <w:multiLevelType w:val="multilevel"/>
    <w:tmpl w:val="A0241B28"/>
    <w:numStyleLink w:val="List1"/>
  </w:abstractNum>
  <w:abstractNum w:abstractNumId="5"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8"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0"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1"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7268471">
    <w:abstractNumId w:val="9"/>
  </w:num>
  <w:num w:numId="2" w16cid:durableId="1355770275">
    <w:abstractNumId w:val="10"/>
  </w:num>
  <w:num w:numId="3" w16cid:durableId="1882862685">
    <w:abstractNumId w:val="3"/>
  </w:num>
  <w:num w:numId="4" w16cid:durableId="360508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6162399">
    <w:abstractNumId w:val="6"/>
  </w:num>
  <w:num w:numId="6" w16cid:durableId="1314989398">
    <w:abstractNumId w:val="8"/>
  </w:num>
  <w:num w:numId="7" w16cid:durableId="951480071">
    <w:abstractNumId w:val="5"/>
  </w:num>
  <w:num w:numId="8" w16cid:durableId="844629787">
    <w:abstractNumId w:val="3"/>
    <w:lvlOverride w:ilvl="0">
      <w:lvl w:ilvl="0">
        <w:start w:val="1"/>
        <w:numFmt w:val="decimal"/>
        <w:pStyle w:val="Heading2"/>
        <w:lvlText w:val="%1"/>
        <w:lvlJc w:val="left"/>
        <w:pPr>
          <w:ind w:left="720" w:hanging="720"/>
        </w:pPr>
      </w:lvl>
    </w:lvlOverride>
  </w:num>
  <w:num w:numId="9" w16cid:durableId="1698308952">
    <w:abstractNumId w:val="9"/>
  </w:num>
  <w:num w:numId="10" w16cid:durableId="547035718">
    <w:abstractNumId w:val="10"/>
  </w:num>
  <w:num w:numId="11" w16cid:durableId="1145393031">
    <w:abstractNumId w:val="2"/>
  </w:num>
  <w:num w:numId="12" w16cid:durableId="919363984">
    <w:abstractNumId w:val="7"/>
  </w:num>
  <w:num w:numId="13" w16cid:durableId="645671681">
    <w:abstractNumId w:val="11"/>
  </w:num>
  <w:num w:numId="14" w16cid:durableId="599609956">
    <w:abstractNumId w:val="0"/>
  </w:num>
  <w:num w:numId="15" w16cid:durableId="465703016">
    <w:abstractNumId w:val="3"/>
    <w:lvlOverride w:ilvl="0">
      <w:lvl w:ilvl="0">
        <w:start w:val="1"/>
        <w:numFmt w:val="decimal"/>
        <w:pStyle w:val="Heading2"/>
        <w:lvlText w:val="%1"/>
        <w:lvlJc w:val="left"/>
        <w:pPr>
          <w:ind w:left="720" w:hanging="720"/>
        </w:pPr>
      </w:lvl>
    </w:lvlOverride>
  </w:num>
  <w:num w:numId="16" w16cid:durableId="2114667953">
    <w:abstractNumId w:val="3"/>
    <w:lvlOverride w:ilvl="0">
      <w:lvl w:ilvl="0">
        <w:start w:val="1"/>
        <w:numFmt w:val="decimal"/>
        <w:pStyle w:val="Heading2"/>
        <w:lvlText w:val="%1"/>
        <w:lvlJc w:val="left"/>
        <w:pPr>
          <w:ind w:left="720" w:hanging="720"/>
        </w:pPr>
      </w:lvl>
    </w:lvlOverride>
  </w:num>
  <w:num w:numId="17" w16cid:durableId="584074121">
    <w:abstractNumId w:val="3"/>
    <w:lvlOverride w:ilvl="0">
      <w:lvl w:ilvl="0">
        <w:start w:val="1"/>
        <w:numFmt w:val="decimal"/>
        <w:pStyle w:val="Heading2"/>
        <w:lvlText w:val="%1"/>
        <w:lvlJc w:val="left"/>
        <w:pPr>
          <w:ind w:left="720" w:hanging="720"/>
        </w:pPr>
      </w:lvl>
    </w:lvlOverride>
  </w:num>
  <w:num w:numId="18" w16cid:durableId="19015584">
    <w:abstractNumId w:val="1"/>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1215552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8F"/>
    <w:rsid w:val="000002AA"/>
    <w:rsid w:val="00017A82"/>
    <w:rsid w:val="00035BDF"/>
    <w:rsid w:val="0006211F"/>
    <w:rsid w:val="00091BF4"/>
    <w:rsid w:val="000C5741"/>
    <w:rsid w:val="000D6DD8"/>
    <w:rsid w:val="00106E5D"/>
    <w:rsid w:val="00112B86"/>
    <w:rsid w:val="0011478D"/>
    <w:rsid w:val="00140602"/>
    <w:rsid w:val="001559EC"/>
    <w:rsid w:val="001567E9"/>
    <w:rsid w:val="001723FB"/>
    <w:rsid w:val="00183612"/>
    <w:rsid w:val="001A1F79"/>
    <w:rsid w:val="001A3DE7"/>
    <w:rsid w:val="001B1009"/>
    <w:rsid w:val="001C3583"/>
    <w:rsid w:val="001D77BC"/>
    <w:rsid w:val="001E1C4C"/>
    <w:rsid w:val="00201500"/>
    <w:rsid w:val="00204017"/>
    <w:rsid w:val="00221741"/>
    <w:rsid w:val="00257447"/>
    <w:rsid w:val="0025765B"/>
    <w:rsid w:val="00262394"/>
    <w:rsid w:val="00264909"/>
    <w:rsid w:val="00265284"/>
    <w:rsid w:val="00265D45"/>
    <w:rsid w:val="00284A8F"/>
    <w:rsid w:val="002A193C"/>
    <w:rsid w:val="002B2BCE"/>
    <w:rsid w:val="00305911"/>
    <w:rsid w:val="00331115"/>
    <w:rsid w:val="00337D5F"/>
    <w:rsid w:val="00340820"/>
    <w:rsid w:val="00357095"/>
    <w:rsid w:val="00362353"/>
    <w:rsid w:val="00381D23"/>
    <w:rsid w:val="00396339"/>
    <w:rsid w:val="003A4B4A"/>
    <w:rsid w:val="003A7352"/>
    <w:rsid w:val="003A7E60"/>
    <w:rsid w:val="003D3CE1"/>
    <w:rsid w:val="003D44DC"/>
    <w:rsid w:val="00402404"/>
    <w:rsid w:val="00406AC2"/>
    <w:rsid w:val="00415774"/>
    <w:rsid w:val="00442A01"/>
    <w:rsid w:val="004430B2"/>
    <w:rsid w:val="00460750"/>
    <w:rsid w:val="004705F2"/>
    <w:rsid w:val="00473964"/>
    <w:rsid w:val="00474C59"/>
    <w:rsid w:val="00476787"/>
    <w:rsid w:val="00476D49"/>
    <w:rsid w:val="004803E4"/>
    <w:rsid w:val="0048060A"/>
    <w:rsid w:val="004837B1"/>
    <w:rsid w:val="0048569E"/>
    <w:rsid w:val="00486C20"/>
    <w:rsid w:val="00490E7F"/>
    <w:rsid w:val="004C6362"/>
    <w:rsid w:val="004C6C47"/>
    <w:rsid w:val="004F30DA"/>
    <w:rsid w:val="00501D52"/>
    <w:rsid w:val="0050440B"/>
    <w:rsid w:val="00506D05"/>
    <w:rsid w:val="00513FA6"/>
    <w:rsid w:val="00540EF0"/>
    <w:rsid w:val="005E323D"/>
    <w:rsid w:val="005F0E4D"/>
    <w:rsid w:val="00611DA7"/>
    <w:rsid w:val="0062438E"/>
    <w:rsid w:val="0062708B"/>
    <w:rsid w:val="0063483A"/>
    <w:rsid w:val="006416D4"/>
    <w:rsid w:val="006435ED"/>
    <w:rsid w:val="0064380F"/>
    <w:rsid w:val="00654CD4"/>
    <w:rsid w:val="006712CF"/>
    <w:rsid w:val="006B40A3"/>
    <w:rsid w:val="006C22AA"/>
    <w:rsid w:val="006C6899"/>
    <w:rsid w:val="006E699B"/>
    <w:rsid w:val="007002F8"/>
    <w:rsid w:val="00723675"/>
    <w:rsid w:val="00730F00"/>
    <w:rsid w:val="00737427"/>
    <w:rsid w:val="007405CB"/>
    <w:rsid w:val="00745D6F"/>
    <w:rsid w:val="00763828"/>
    <w:rsid w:val="007676A8"/>
    <w:rsid w:val="007722D2"/>
    <w:rsid w:val="007A2B4D"/>
    <w:rsid w:val="007B1F92"/>
    <w:rsid w:val="007B7462"/>
    <w:rsid w:val="007C4F07"/>
    <w:rsid w:val="007C5B94"/>
    <w:rsid w:val="007D5CD6"/>
    <w:rsid w:val="008153FE"/>
    <w:rsid w:val="008166D5"/>
    <w:rsid w:val="00816C0C"/>
    <w:rsid w:val="0082249A"/>
    <w:rsid w:val="00831A68"/>
    <w:rsid w:val="00833933"/>
    <w:rsid w:val="00860E97"/>
    <w:rsid w:val="00882F8B"/>
    <w:rsid w:val="008A3190"/>
    <w:rsid w:val="008A4680"/>
    <w:rsid w:val="008D1B48"/>
    <w:rsid w:val="008D3C3B"/>
    <w:rsid w:val="008E42CC"/>
    <w:rsid w:val="008F70A7"/>
    <w:rsid w:val="0090774C"/>
    <w:rsid w:val="00911CC7"/>
    <w:rsid w:val="009227C7"/>
    <w:rsid w:val="00923DBC"/>
    <w:rsid w:val="00951D18"/>
    <w:rsid w:val="009679F4"/>
    <w:rsid w:val="00984D0D"/>
    <w:rsid w:val="00991227"/>
    <w:rsid w:val="00A26D23"/>
    <w:rsid w:val="00A2734D"/>
    <w:rsid w:val="00A443CD"/>
    <w:rsid w:val="00A512A7"/>
    <w:rsid w:val="00A53280"/>
    <w:rsid w:val="00A56654"/>
    <w:rsid w:val="00A656D3"/>
    <w:rsid w:val="00A86048"/>
    <w:rsid w:val="00A9002C"/>
    <w:rsid w:val="00A9146E"/>
    <w:rsid w:val="00AA140E"/>
    <w:rsid w:val="00AA70E3"/>
    <w:rsid w:val="00AB0FBE"/>
    <w:rsid w:val="00AC1AB1"/>
    <w:rsid w:val="00AC4B62"/>
    <w:rsid w:val="00AE5C8E"/>
    <w:rsid w:val="00AF1EB9"/>
    <w:rsid w:val="00AF5211"/>
    <w:rsid w:val="00B01FB8"/>
    <w:rsid w:val="00B06FC6"/>
    <w:rsid w:val="00B10817"/>
    <w:rsid w:val="00B24B5A"/>
    <w:rsid w:val="00B35721"/>
    <w:rsid w:val="00B43A41"/>
    <w:rsid w:val="00B51A71"/>
    <w:rsid w:val="00B5453F"/>
    <w:rsid w:val="00B854A1"/>
    <w:rsid w:val="00BA0AFF"/>
    <w:rsid w:val="00BB6ACE"/>
    <w:rsid w:val="00BC1CF7"/>
    <w:rsid w:val="00BC6BA3"/>
    <w:rsid w:val="00BD2275"/>
    <w:rsid w:val="00BE0566"/>
    <w:rsid w:val="00C00AAC"/>
    <w:rsid w:val="00C0385A"/>
    <w:rsid w:val="00C05EA8"/>
    <w:rsid w:val="00C06619"/>
    <w:rsid w:val="00C131F1"/>
    <w:rsid w:val="00C207AD"/>
    <w:rsid w:val="00C43DD5"/>
    <w:rsid w:val="00C51E35"/>
    <w:rsid w:val="00C74A16"/>
    <w:rsid w:val="00C759F8"/>
    <w:rsid w:val="00C959DB"/>
    <w:rsid w:val="00CB4BC3"/>
    <w:rsid w:val="00CC4C6F"/>
    <w:rsid w:val="00CE2717"/>
    <w:rsid w:val="00CF51F2"/>
    <w:rsid w:val="00D0493B"/>
    <w:rsid w:val="00D06356"/>
    <w:rsid w:val="00D13D8A"/>
    <w:rsid w:val="00D166D2"/>
    <w:rsid w:val="00D27C93"/>
    <w:rsid w:val="00D36729"/>
    <w:rsid w:val="00D45274"/>
    <w:rsid w:val="00D45E0E"/>
    <w:rsid w:val="00D50F36"/>
    <w:rsid w:val="00D6591C"/>
    <w:rsid w:val="00D666DC"/>
    <w:rsid w:val="00D912A7"/>
    <w:rsid w:val="00DB0604"/>
    <w:rsid w:val="00DC0A42"/>
    <w:rsid w:val="00E05D92"/>
    <w:rsid w:val="00E362EF"/>
    <w:rsid w:val="00E732BE"/>
    <w:rsid w:val="00E863D5"/>
    <w:rsid w:val="00E926D5"/>
    <w:rsid w:val="00E96E54"/>
    <w:rsid w:val="00EA4007"/>
    <w:rsid w:val="00EA6250"/>
    <w:rsid w:val="00EB7656"/>
    <w:rsid w:val="00EC42B6"/>
    <w:rsid w:val="00F0006B"/>
    <w:rsid w:val="00F35EE8"/>
    <w:rsid w:val="00F65DFD"/>
    <w:rsid w:val="00F776B5"/>
    <w:rsid w:val="00F90D42"/>
    <w:rsid w:val="00FB088E"/>
    <w:rsid w:val="00FB4106"/>
    <w:rsid w:val="00FB6115"/>
    <w:rsid w:val="00FC7C15"/>
    <w:rsid w:val="00FD11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82C1D"/>
  <w15:docId w15:val="{79BCC5AF-DEE5-4AF2-8D5A-2B032413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8"/>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8"/>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8"/>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BB6ACE"/>
    <w:rPr>
      <w:sz w:val="20"/>
      <w:szCs w:val="20"/>
    </w:rPr>
  </w:style>
  <w:style w:type="character" w:customStyle="1" w:styleId="CommentTextChar">
    <w:name w:val="Comment Text Char"/>
    <w:basedOn w:val="DefaultParagraphFont"/>
    <w:link w:val="CommentText"/>
    <w:uiPriority w:val="99"/>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9"/>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9"/>
      </w:numPr>
      <w:spacing w:before="120" w:after="120"/>
      <w:contextualSpacing/>
    </w:pPr>
  </w:style>
  <w:style w:type="paragraph" w:styleId="ListNumber">
    <w:name w:val="List Number"/>
    <w:basedOn w:val="Normal"/>
    <w:uiPriority w:val="9"/>
    <w:qFormat/>
    <w:rsid w:val="00BB6ACE"/>
    <w:pPr>
      <w:numPr>
        <w:numId w:val="10"/>
      </w:numPr>
      <w:tabs>
        <w:tab w:val="left" w:pos="142"/>
      </w:tabs>
      <w:spacing w:before="120" w:after="120"/>
    </w:pPr>
  </w:style>
  <w:style w:type="paragraph" w:styleId="ListNumber2">
    <w:name w:val="List Number 2"/>
    <w:uiPriority w:val="10"/>
    <w:qFormat/>
    <w:rsid w:val="00BB6ACE"/>
    <w:pPr>
      <w:numPr>
        <w:ilvl w:val="1"/>
        <w:numId w:val="10"/>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10"/>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7"/>
      </w:numPr>
      <w:ind w:left="357" w:hanging="357"/>
    </w:pPr>
  </w:style>
  <w:style w:type="paragraph" w:customStyle="1" w:styleId="TableBullet1">
    <w:name w:val="Table Bullet 1"/>
    <w:basedOn w:val="TableText"/>
    <w:uiPriority w:val="15"/>
    <w:qFormat/>
    <w:rsid w:val="003D3CE1"/>
    <w:pPr>
      <w:numPr>
        <w:numId w:val="6"/>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1"/>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2"/>
      </w:numPr>
    </w:pPr>
  </w:style>
  <w:style w:type="numbering" w:customStyle="1" w:styleId="Headinglist">
    <w:name w:val="Heading list"/>
    <w:uiPriority w:val="99"/>
    <w:rsid w:val="00BB6ACE"/>
    <w:pPr>
      <w:numPr>
        <w:numId w:val="3"/>
      </w:numPr>
    </w:pPr>
  </w:style>
  <w:style w:type="paragraph" w:customStyle="1" w:styleId="Normalsmall">
    <w:name w:val="Normal small"/>
    <w:qFormat/>
    <w:rsid w:val="00A56654"/>
    <w:pPr>
      <w:spacing w:after="120" w:line="276" w:lineRule="auto"/>
    </w:pPr>
    <w:rPr>
      <w:rFonts w:asciiTheme="minorHAnsi" w:eastAsiaTheme="minorHAnsi" w:hAnsiTheme="minorHAnsi" w:cstheme="minorBidi"/>
      <w:sz w:val="16"/>
      <w:szCs w:val="18"/>
      <w:lang w:eastAsia="en-US"/>
    </w:rPr>
  </w:style>
  <w:style w:type="paragraph" w:styleId="ListBullet3">
    <w:name w:val="List Bullet 3"/>
    <w:basedOn w:val="Normal"/>
    <w:uiPriority w:val="99"/>
    <w:rsid w:val="00BB6ACE"/>
    <w:pPr>
      <w:numPr>
        <w:ilvl w:val="2"/>
        <w:numId w:val="9"/>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12"/>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11"/>
      </w:numPr>
      <w:tabs>
        <w:tab w:val="num" w:pos="462"/>
      </w:tabs>
      <w:ind w:left="604" w:hanging="445"/>
    </w:pPr>
  </w:style>
  <w:style w:type="numbering" w:customStyle="1" w:styleId="TableBulletlist">
    <w:name w:val="Table Bullet list"/>
    <w:uiPriority w:val="99"/>
    <w:rsid w:val="00BB6ACE"/>
    <w:pPr>
      <w:numPr>
        <w:numId w:val="5"/>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paragraph" w:styleId="Revision">
    <w:name w:val="Revision"/>
    <w:hidden/>
    <w:uiPriority w:val="99"/>
    <w:semiHidden/>
    <w:rsid w:val="00D0493B"/>
    <w:rPr>
      <w:rFonts w:asciiTheme="minorHAnsi" w:eastAsiaTheme="minorHAnsi" w:hAnsiTheme="minorHAnsi" w:cstheme="minorBidi"/>
      <w:sz w:val="22"/>
      <w:szCs w:val="22"/>
      <w:lang w:eastAsia="en-US"/>
    </w:rPr>
  </w:style>
  <w:style w:type="character" w:customStyle="1" w:styleId="cf01">
    <w:name w:val="cf01"/>
    <w:basedOn w:val="DefaultParagraphFont"/>
    <w:rsid w:val="00C43DD5"/>
    <w:rPr>
      <w:rFonts w:ascii="Segoe UI" w:hAnsi="Segoe UI" w:cs="Segoe UI" w:hint="default"/>
      <w:sz w:val="18"/>
      <w:szCs w:val="18"/>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bs.gov.au/statistics/economy/price-indexes-and-inflation/consumer-price-index-australia" TargetMode="External"/><Relationship Id="rId18" Type="http://schemas.openxmlformats.org/officeDocument/2006/relationships/hyperlink" Target="https://www.agriculture.gov.au/agriculture-land/farm-food-drought/drought/assistance/fmd/statistic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reativecommons.org/licenses/by/4.0/legalcode"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agriculture.gov.au/abares/data/farm-data-porta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agriculture.gov.au/agriculture-land/farm-food-drought/drought/assistance/fmd/statistics" TargetMode="External"/><Relationship Id="rId20" Type="http://schemas.openxmlformats.org/officeDocument/2006/relationships/hyperlink" Target="https://daff.ent.sirsidynix.net.au/client/en_AU/search/asset/103334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agriculture-land/farm-food-drought/drought/assistance/fmd/review"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agriculture.gov.au/abares/data/farm-data-portal"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griculture.gov.au/abares/data/farm-data-port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abares/data/farm-data-portal" TargetMode="External"/><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Short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982D4D3ABBAF49949BEA620E23A834" ma:contentTypeVersion="4" ma:contentTypeDescription="Create a new document." ma:contentTypeScope="" ma:versionID="f374f3fd611c020db4947175bcd96ecd">
  <xsd:schema xmlns:xsd="http://www.w3.org/2001/XMLSchema" xmlns:xs="http://www.w3.org/2001/XMLSchema" xmlns:p="http://schemas.microsoft.com/office/2006/metadata/properties" xmlns:ns2="c527c9b7-9ec8-4c5f-a515-89657b782942" targetNamespace="http://schemas.microsoft.com/office/2006/metadata/properties" ma:root="true" ma:fieldsID="2be0c18765adb54922965d8ad70be306" ns2:_="">
    <xsd:import namespace="c527c9b7-9ec8-4c5f-a515-89657b7829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c9b7-9ec8-4c5f-a515-89657b7829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6AE07D-167B-4759-BBD5-1650BA7B1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c9b7-9ec8-4c5f-a515-89657b782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4.xml><?xml version="1.0" encoding="utf-8"?>
<ds:datastoreItem xmlns:ds="http://schemas.openxmlformats.org/officeDocument/2006/customXml" ds:itemID="{9D1CAD33-3B39-4665-A5E6-666D035120E9}">
  <ds:schemaRefs>
    <ds:schemaRef ds:uri="http://purl.org/dc/elements/1.1/"/>
    <ds:schemaRef ds:uri="http://purl.org/dc/dcmitype/"/>
    <ds:schemaRef ds:uri="http://schemas.microsoft.com/office/infopath/2007/PartnerControls"/>
    <ds:schemaRef ds:uri="http://schemas.microsoft.com/office/2006/metadata/properties"/>
    <ds:schemaRef ds:uri="http://schemas.microsoft.com/office/2006/documentManagement/types"/>
    <ds:schemaRef ds:uri="http://www.w3.org/XML/1998/namespace"/>
    <ds:schemaRef ds:uri="c527c9b7-9ec8-4c5f-a515-89657b782942"/>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Short_document_template</Template>
  <TotalTime>9</TotalTime>
  <Pages>3</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Analysis-of-Farm-Management-Deposits-Scheme-key-performance-indicators-2022-2023-findings</vt:lpstr>
    </vt:vector>
  </TitlesOfParts>
  <Company/>
  <LinksUpToDate>false</LinksUpToDate>
  <CharactersWithSpaces>7239</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Analysis-of-Farm-Management-Deposits-Scheme-key-performance-indicators-2022-2023-findings</dc:title>
  <dc:creator>Department of Agriculture;Fisheries and Forestry</dc:creator>
  <cp:lastModifiedBy>Mayo, Andrew</cp:lastModifiedBy>
  <cp:revision>4</cp:revision>
  <cp:lastPrinted>2023-11-22T06:11:00Z</cp:lastPrinted>
  <dcterms:created xsi:type="dcterms:W3CDTF">2023-11-22T06:01:00Z</dcterms:created>
  <dcterms:modified xsi:type="dcterms:W3CDTF">2023-11-22T06:11:00Z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0x0101002C982D4D3ABBAF49949BEA620E23A834</vt:lpwstr>
  </property>
  <property fmtid="{D5CDD505-2E9C-101B-9397-08002B2CF9AE}" pid="3" name="_DocHome">
    <vt:i4>986778056</vt:i4>
  </property>
</Properties>
</file>