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C4A6" w14:textId="77777777" w:rsidR="00DC6E7C" w:rsidRPr="00837E50" w:rsidRDefault="00DC6E7C" w:rsidP="00837E50">
      <w:pPr>
        <w:pStyle w:val="Heading1"/>
      </w:pPr>
      <w:r w:rsidRPr="00837E50">
        <w:t xml:space="preserve">Animal Welfare Standards and Guidelines for Livestock at Processing Facilities and Establishments </w:t>
      </w:r>
    </w:p>
    <w:p w14:paraId="714AD351" w14:textId="77777777" w:rsidR="00DC6E7C" w:rsidRPr="00837E50" w:rsidRDefault="00DC6E7C" w:rsidP="00DC6E7C">
      <w:pPr>
        <w:rPr>
          <w:b/>
          <w:bCs/>
        </w:rPr>
      </w:pPr>
    </w:p>
    <w:p w14:paraId="3B7C14D9" w14:textId="626900A6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b/>
          <w:bCs/>
          <w:sz w:val="24"/>
          <w:szCs w:val="24"/>
        </w:rPr>
        <w:t>Independent Facilitator:</w:t>
      </w:r>
      <w:r w:rsidRPr="00837E5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37E50">
        <w:rPr>
          <w:rFonts w:asciiTheme="minorHAnsi" w:hAnsiTheme="minorHAnsi" w:cstheme="minorHAnsi"/>
          <w:sz w:val="24"/>
          <w:szCs w:val="24"/>
        </w:rPr>
        <w:t>Articulous</w:t>
      </w:r>
      <w:proofErr w:type="spellEnd"/>
    </w:p>
    <w:p w14:paraId="2238AEF6" w14:textId="5B6FCB40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b/>
          <w:bCs/>
          <w:sz w:val="24"/>
          <w:szCs w:val="24"/>
        </w:rPr>
        <w:t>Stakeholder Advisory Group (SAG) support:</w:t>
      </w:r>
      <w:r w:rsidRPr="00837E50">
        <w:rPr>
          <w:rFonts w:asciiTheme="minorHAnsi" w:hAnsiTheme="minorHAnsi" w:cstheme="minorHAnsi"/>
          <w:sz w:val="24"/>
          <w:szCs w:val="24"/>
        </w:rPr>
        <w:t xml:space="preserve"> Department of Agriculture and Fisheries (Queensland)</w:t>
      </w:r>
    </w:p>
    <w:p w14:paraId="739CDCF2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</w:p>
    <w:p w14:paraId="63D517FD" w14:textId="77777777" w:rsidR="00DC6E7C" w:rsidRPr="00837E50" w:rsidRDefault="00DC6E7C" w:rsidP="00DC6E7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837E50">
        <w:rPr>
          <w:rFonts w:asciiTheme="minorHAnsi" w:hAnsiTheme="minorHAnsi" w:cstheme="minorHAnsi"/>
          <w:b/>
          <w:bCs/>
          <w:sz w:val="24"/>
          <w:szCs w:val="24"/>
        </w:rPr>
        <w:t>SAG Members:</w:t>
      </w:r>
    </w:p>
    <w:p w14:paraId="01062A4B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 xml:space="preserve">Animal Welfare Science Centre </w:t>
      </w:r>
    </w:p>
    <w:p w14:paraId="64912981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Animals Australia</w:t>
      </w:r>
    </w:p>
    <w:p w14:paraId="2FF224CA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AUS-MEAT</w:t>
      </w:r>
    </w:p>
    <w:p w14:paraId="777A200A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Australian Chicken Meat Federation</w:t>
      </w:r>
    </w:p>
    <w:p w14:paraId="232C047D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 xml:space="preserve">Australian Food Sovereignty Alliance </w:t>
      </w:r>
    </w:p>
    <w:p w14:paraId="6AB4F5C4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 xml:space="preserve">Australian Meat Processors Corporation </w:t>
      </w:r>
    </w:p>
    <w:p w14:paraId="3B454F8C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Australian Pork Limited</w:t>
      </w:r>
    </w:p>
    <w:p w14:paraId="6D09848D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 xml:space="preserve">Australian Veterinary Association </w:t>
      </w:r>
    </w:p>
    <w:p w14:paraId="212EF522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Meat and Livestock Association</w:t>
      </w:r>
    </w:p>
    <w:p w14:paraId="217EE003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MINTRAC Ltd</w:t>
      </w:r>
    </w:p>
    <w:p w14:paraId="1B649195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Pet Food Industry Association Australia</w:t>
      </w:r>
    </w:p>
    <w:p w14:paraId="7C31C755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 xml:space="preserve">Red Meat Advisory Council </w:t>
      </w:r>
    </w:p>
    <w:p w14:paraId="1CB90FA7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 xml:space="preserve">Australian Meat Industry Council </w:t>
      </w:r>
    </w:p>
    <w:p w14:paraId="029A323E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RSPCA Australia</w:t>
      </w:r>
    </w:p>
    <w:p w14:paraId="70862D51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>Consumers' Federation of Australia</w:t>
      </w:r>
    </w:p>
    <w:p w14:paraId="6685707D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sz w:val="24"/>
          <w:szCs w:val="24"/>
        </w:rPr>
        <w:t xml:space="preserve">Australian Government Department of Agriculture, </w:t>
      </w:r>
      <w:proofErr w:type="gramStart"/>
      <w:r w:rsidRPr="00837E50">
        <w:rPr>
          <w:rFonts w:asciiTheme="minorHAnsi" w:hAnsiTheme="minorHAnsi" w:cstheme="minorHAnsi"/>
          <w:sz w:val="24"/>
          <w:szCs w:val="24"/>
        </w:rPr>
        <w:t>Water</w:t>
      </w:r>
      <w:proofErr w:type="gramEnd"/>
      <w:r w:rsidRPr="00837E50">
        <w:rPr>
          <w:rFonts w:asciiTheme="minorHAnsi" w:hAnsiTheme="minorHAnsi" w:cstheme="minorHAnsi"/>
          <w:sz w:val="24"/>
          <w:szCs w:val="24"/>
        </w:rPr>
        <w:t xml:space="preserve"> and the Environment</w:t>
      </w:r>
    </w:p>
    <w:p w14:paraId="28396A1E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</w:p>
    <w:p w14:paraId="3DA8BA4B" w14:textId="77777777" w:rsidR="00DC6E7C" w:rsidRPr="00837E50" w:rsidRDefault="00DC6E7C" w:rsidP="00DC6E7C">
      <w:pPr>
        <w:rPr>
          <w:rFonts w:asciiTheme="minorHAnsi" w:hAnsiTheme="minorHAnsi" w:cstheme="minorHAnsi"/>
          <w:sz w:val="24"/>
          <w:szCs w:val="24"/>
        </w:rPr>
      </w:pPr>
      <w:r w:rsidRPr="00837E50">
        <w:rPr>
          <w:rFonts w:asciiTheme="minorHAnsi" w:hAnsiTheme="minorHAnsi" w:cstheme="minorHAnsi"/>
          <w:b/>
          <w:bCs/>
          <w:sz w:val="24"/>
          <w:szCs w:val="24"/>
        </w:rPr>
        <w:t>Note:</w:t>
      </w:r>
      <w:r w:rsidRPr="00837E50">
        <w:rPr>
          <w:rFonts w:asciiTheme="minorHAnsi" w:hAnsiTheme="minorHAnsi" w:cstheme="minorHAnsi"/>
          <w:sz w:val="24"/>
          <w:szCs w:val="24"/>
        </w:rPr>
        <w:t xml:space="preserve"> The SAG is one part of an overall consultation strategy which will include direct consultation with other interested stakeholders, and public consultation on a Regulatory Impact Statement.</w:t>
      </w:r>
    </w:p>
    <w:p w14:paraId="0CFFAE55" w14:textId="77777777" w:rsidR="00DC6E7C" w:rsidRDefault="00DC6E7C" w:rsidP="00DC6E7C"/>
    <w:p w14:paraId="52614B0A" w14:textId="77777777" w:rsidR="00E95C9B" w:rsidRDefault="000B2F32"/>
    <w:sectPr w:rsidR="00E95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7C"/>
    <w:rsid w:val="00683AD8"/>
    <w:rsid w:val="007E1E29"/>
    <w:rsid w:val="00837E50"/>
    <w:rsid w:val="00B0721C"/>
    <w:rsid w:val="00DC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4DE3"/>
  <w15:chartTrackingRefBased/>
  <w15:docId w15:val="{7F556F55-7D6C-4CDD-B18D-0E50AF30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E7C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next w:val="Normal"/>
    <w:link w:val="Heading1Char"/>
    <w:uiPriority w:val="1"/>
    <w:qFormat/>
    <w:rsid w:val="00837E50"/>
    <w:pPr>
      <w:widowControl w:val="0"/>
      <w:spacing w:after="300" w:line="240" w:lineRule="auto"/>
      <w:contextualSpacing/>
      <w:outlineLvl w:val="0"/>
    </w:pPr>
    <w:rPr>
      <w:rFonts w:ascii="Calibri" w:hAnsi="Calibri"/>
      <w:bCs/>
      <w:color w:val="2F5496" w:themeColor="accent1" w:themeShade="BF"/>
      <w:spacing w:val="5"/>
      <w:kern w:val="28"/>
      <w:sz w:val="5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37E50"/>
    <w:rPr>
      <w:rFonts w:ascii="Calibri" w:hAnsi="Calibri"/>
      <w:bCs/>
      <w:color w:val="2F5496" w:themeColor="accent1" w:themeShade="BF"/>
      <w:spacing w:val="5"/>
      <w:kern w:val="28"/>
      <w:sz w:val="5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6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6FD6131ACCD942B99EE496FC609FF4" ma:contentTypeVersion="14" ma:contentTypeDescription="Create a new document." ma:contentTypeScope="" ma:versionID="5ac5b7171d34391e02205fbe47fc11af">
  <xsd:schema xmlns:xsd="http://www.w3.org/2001/XMLSchema" xmlns:xs="http://www.w3.org/2001/XMLSchema" xmlns:p="http://schemas.microsoft.com/office/2006/metadata/properties" xmlns:ns2="ac7ce04e-ea5d-4d46-bab0-39b1fa6a6f36" xmlns:ns3="425a5c30-4c2f-474f-aa2f-443e46b3d189" targetNamespace="http://schemas.microsoft.com/office/2006/metadata/properties" ma:root="true" ma:fieldsID="91d6c043d6d31e4249bddbe0bc290ad9" ns2:_="" ns3:_="">
    <xsd:import namespace="ac7ce04e-ea5d-4d46-bab0-39b1fa6a6f36"/>
    <xsd:import namespace="425a5c30-4c2f-474f-aa2f-443e46b3d1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Embargoed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ce04e-ea5d-4d46-bab0-39b1fa6a6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Embargoed" ma:index="10" nillable="true" ma:displayName="Embargoed" ma:default="0" ma:description="Is this file under embargo?" ma:format="Dropdown" ma:internalName="Embargoed">
      <xsd:simpleType>
        <xsd:restriction base="dms:Boolea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a5c30-4c2f-474f-aa2f-443e46b3d189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bargoed xmlns="ac7ce04e-ea5d-4d46-bab0-39b1fa6a6f36">false</Embargo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DB35A0-D348-4B35-8517-DBEA929ACE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ce04e-ea5d-4d46-bab0-39b1fa6a6f36"/>
    <ds:schemaRef ds:uri="425a5c30-4c2f-474f-aa2f-443e46b3d1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E7E9A0-06AB-433A-82B8-96934A3DED30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425a5c30-4c2f-474f-aa2f-443e46b3d189"/>
    <ds:schemaRef ds:uri="http://purl.org/dc/elements/1.1/"/>
    <ds:schemaRef ds:uri="ac7ce04e-ea5d-4d46-bab0-39b1fa6a6f36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682BAEB-86FC-46A0-A487-827643CCFF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Animal Welfare Standards and Guidelines for Livestock at Processing Facilities and Establishments </vt:lpstr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Welfare Standards and Guidelines for Livestock at Processing Facilities and Establishments </dc:title>
  <dc:subject/>
  <dc:creator>Department of Agriculture, Water and the Environment</dc:creator>
  <cp:keywords/>
  <dc:description/>
  <cp:lastModifiedBy>Fiona Goggins</cp:lastModifiedBy>
  <cp:revision>4</cp:revision>
  <dcterms:created xsi:type="dcterms:W3CDTF">2022-01-10T08:20:00Z</dcterms:created>
  <dcterms:modified xsi:type="dcterms:W3CDTF">2022-01-11T05:18:00Z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0x0101004B6FD6131ACCD942B99EE496FC609FF4</vt:lpwstr>
  </property>
</Properties>
</file>