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krd45xi4emz" w:id="0"/>
      <w:bookmarkEnd w:id="0"/>
      <w:r w:rsidDel="00000000" w:rsidR="00000000" w:rsidRPr="00000000">
        <w:rPr>
          <w:rtl w:val="0"/>
        </w:rPr>
        <w:t xml:space="preserve">Strategic Plan for Collection Management: Excellence in Heritage Safeguarding #### 1. Institutional Foundations and Ethical Framework The strategic alignment between collection management and an institution's "Plano Diretor" (Master Plan) is the definitive mandate for modern museology. According to the 2022 ICOM definition, a museum is a permanent, non-profit institution at the service of society. By integrating technical management with the Master Plan, the institution transcends the role of a "passive deposit" to become an active agent of social development. This transformation ensures that heritage is not merely stored but interpreted and communicated through the active participation of communities, fostering diversity and sustainability while providing experiences for education, fruition, and reflection. The following five institutional pillars, synthesized from the ICOM Code of Ethics, establish the framework for institutional credibility and legal safety: * </w:t>
      </w:r>
      <w:r w:rsidDel="00000000" w:rsidR="00000000" w:rsidRPr="00000000">
        <w:rPr>
          <w:b w:val="1"/>
          <w:bCs w:val="1"/>
          <w:rtl w:val="0"/>
        </w:rPr>
        <w:t xml:space="preserve">Institutional Permanence and Legal Sovereignty:</w:t>
      </w:r>
      <w:r w:rsidDel="00000000" w:rsidR="00000000" w:rsidRPr="00000000">
        <w:rPr>
          <w:rtl w:val="0"/>
        </w:rPr>
        <w:t xml:space="preserve"> The museum operates as a stable, non-profit entity. This status acts as a legal safety net, ensuring that heritage is held in public trust and protected from commercial liquidation or private interests. * </w:t>
      </w:r>
      <w:r w:rsidDel="00000000" w:rsidR="00000000" w:rsidRPr="00000000">
        <w:rPr>
          <w:b w:val="1"/>
          <w:bCs w:val="1"/>
          <w:rtl w:val="0"/>
        </w:rPr>
        <w:t xml:space="preserve">Democratization and Social Inclusion:</w:t>
      </w:r>
      <w:r w:rsidDel="00000000" w:rsidR="00000000" w:rsidRPr="00000000">
        <w:rPr>
          <w:rtl w:val="0"/>
        </w:rPr>
        <w:t xml:space="preserve"> All management actions must be oriented toward serving society, ensuring that the collection is accessible to diverse audiences and reflects the pluralism of human experience. * </w:t>
      </w:r>
      <w:r w:rsidDel="00000000" w:rsidR="00000000" w:rsidRPr="00000000">
        <w:rPr>
          <w:b w:val="1"/>
          <w:bCs w:val="1"/>
          <w:rtl w:val="0"/>
        </w:rPr>
        <w:t xml:space="preserve">Scientific Professionalism:</w:t>
      </w:r>
      <w:r w:rsidDel="00000000" w:rsidR="00000000" w:rsidRPr="00000000">
        <w:rPr>
          <w:rtl w:val="0"/>
        </w:rPr>
        <w:t xml:space="preserve"> Operations must adhere to rigorous technical standards. Research and interpretation are not arbitrary but grounded in evidence-based museology and information science. * </w:t>
      </w:r>
      <w:r w:rsidDel="00000000" w:rsidR="00000000" w:rsidRPr="00000000">
        <w:rPr>
          <w:b w:val="1"/>
          <w:bCs w:val="1"/>
          <w:rtl w:val="0"/>
        </w:rPr>
        <w:t xml:space="preserve">Ethical Acquisition and Provenance Security:</w:t>
      </w:r>
      <w:r w:rsidDel="00000000" w:rsidR="00000000" w:rsidRPr="00000000">
        <w:rPr>
          <w:rtl w:val="0"/>
        </w:rPr>
        <w:t xml:space="preserve"> Guaranteeing the clear legal status and ethical origin of every item protects the institution from international legal disputes and reputational damage. * </w:t>
      </w:r>
      <w:r w:rsidDel="00000000" w:rsidR="00000000" w:rsidRPr="00000000">
        <w:rPr>
          <w:b w:val="1"/>
          <w:bCs w:val="1"/>
          <w:rtl w:val="0"/>
        </w:rPr>
        <w:t xml:space="preserve">Active Mediation and Knowledge Sharing:</w:t>
      </w:r>
      <w:r w:rsidDel="00000000" w:rsidR="00000000" w:rsidRPr="00000000">
        <w:rPr>
          <w:rtl w:val="0"/>
        </w:rPr>
        <w:t xml:space="preserve"> Prioritizing the educational function through mediation, ensuring that the collection fulfills its social role as a catalyst for community reflection. ##### Mission Statement Template </w:t>
      </w:r>
      <w:r w:rsidDel="00000000" w:rsidR="00000000" w:rsidRPr="00000000">
        <w:rPr>
          <w:i w:val="1"/>
          <w:iCs w:val="1"/>
          <w:rtl w:val="0"/>
        </w:rPr>
        <w:t xml:space="preserve">"To serve as a sustainable and inclusive bridge between cultures and generations, this institution researches, preserves, and communicates the Insert Type of Heritage through the active participation of communities, ensuring that our professional management serves as an instrument for democratization, reflection, and social development for all."</w:t>
      </w:r>
      <w:r w:rsidDel="00000000" w:rsidR="00000000" w:rsidRPr="00000000">
        <w:rPr>
          <w:rtl w:val="0"/>
        </w:rPr>
        <w:t xml:space="preserve"> Ethical foundations, however, are only as effective as the qualified professional structure designed to execute them. #### 2. Professional Human Capital: Roles and Competencies In the information era, the strategic management of cultural heritage necessitates a transition from traditional custodial roles to multidisciplinary "Information Professionals." The complexity of modern collections requires a team capable of managing the intersection of material preservation and complex digital architectures. ##### Ideal Team Profile | Role Title | Core Competencies | Strategic Impact on the Collection | | ------ | ------ | ------ | | </w:t>
      </w:r>
      <w:r w:rsidDel="00000000" w:rsidR="00000000" w:rsidRPr="00000000">
        <w:rPr>
          <w:b w:val="1"/>
          <w:bCs w:val="1"/>
          <w:rtl w:val="0"/>
        </w:rPr>
        <w:t xml:space="preserve">Assistant Curator</w:t>
      </w:r>
      <w:r w:rsidDel="00000000" w:rsidR="00000000" w:rsidRPr="00000000">
        <w:rPr>
          <w:rtl w:val="0"/>
        </w:rPr>
        <w:t xml:space="preserve"> | Degree in Humanities/Social Sciences; familiarity with Social Museology and Indigenous Heritage; proficiency in database systems (e.g., SophiA). | Safeguards physical and intellectual integrity; manages the specific ethical nuances of material and immaterial heritage. | | </w:t>
      </w:r>
      <w:r w:rsidDel="00000000" w:rsidR="00000000" w:rsidRPr="00000000">
        <w:rPr>
          <w:b w:val="1"/>
          <w:bCs w:val="1"/>
          <w:rtl w:val="0"/>
        </w:rPr>
        <w:t xml:space="preserve">Iconography Assistant</w:t>
      </w:r>
      <w:r w:rsidDel="00000000" w:rsidR="00000000" w:rsidRPr="00000000">
        <w:rPr>
          <w:rtl w:val="0"/>
        </w:rPr>
        <w:t xml:space="preserve"> | Proficiency in Apple OSX and Adobe Creative Suite; experience in treatment of analog and digital materials; knowledge of metadata standards. | Ensures the technical quality of visual memory; manages the complex lifecycle of digital assets from capture to long-term storage. | | </w:t>
      </w:r>
      <w:r w:rsidDel="00000000" w:rsidR="00000000" w:rsidRPr="00000000">
        <w:rPr>
          <w:b w:val="1"/>
          <w:bCs w:val="1"/>
          <w:rtl w:val="0"/>
        </w:rPr>
        <w:t xml:space="preserve">Cultural Mediator</w:t>
      </w:r>
      <w:r w:rsidDel="00000000" w:rsidR="00000000" w:rsidRPr="00000000">
        <w:rPr>
          <w:rtl w:val="0"/>
        </w:rPr>
        <w:t xml:space="preserve"> | Expertise in non-formal education; ability to facilitate "affective experiences"; community engagement; avoid "academic replication" of formal schooling. | Acts as the vital bridge between the object and the public; transforms technical data into accessible, resonant social knowledge. | ##### Responsibility Matrix: Assistant Curator (Acervo) Operational excellence is maintained through a rigorous four-stage sequence of responsibility: 1. </w:t>
      </w:r>
      <w:r w:rsidDel="00000000" w:rsidR="00000000" w:rsidRPr="00000000">
        <w:rPr>
          <w:b w:val="1"/>
          <w:bCs w:val="1"/>
          <w:rtl w:val="0"/>
        </w:rPr>
        <w:t xml:space="preserve">Movement Management:</w:t>
      </w:r>
      <w:r w:rsidDel="00000000" w:rsidR="00000000" w:rsidRPr="00000000">
        <w:rPr>
          <w:rtl w:val="0"/>
        </w:rPr>
        <w:t xml:space="preserve"> Oversight of the specialized transport and handling of items, ensuring safety protocols are met during transitions between technical reserves and exhibition spaces. 2. </w:t>
      </w:r>
      <w:r w:rsidDel="00000000" w:rsidR="00000000" w:rsidRPr="00000000">
        <w:rPr>
          <w:b w:val="1"/>
          <w:bCs w:val="1"/>
          <w:rtl w:val="0"/>
        </w:rPr>
        <w:t xml:space="preserve">Topographic Control:</w:t>
      </w:r>
      <w:r w:rsidDel="00000000" w:rsidR="00000000" w:rsidRPr="00000000">
        <w:rPr>
          <w:rtl w:val="0"/>
        </w:rPr>
        <w:t xml:space="preserve"> Maintenance of the "mapa topográfico" (location map) to ensure immediate retrieval and organizational logic within the technical reserves. 3. </w:t>
      </w:r>
      <w:r w:rsidDel="00000000" w:rsidR="00000000" w:rsidRPr="00000000">
        <w:rPr>
          <w:b w:val="1"/>
          <w:bCs w:val="1"/>
          <w:rtl w:val="0"/>
        </w:rPr>
        <w:t xml:space="preserve">Environmental Monitoring:</w:t>
      </w:r>
      <w:r w:rsidDel="00000000" w:rsidR="00000000" w:rsidRPr="00000000">
        <w:rPr>
          <w:rtl w:val="0"/>
        </w:rPr>
        <w:t xml:space="preserve"> Daily tracking of climatization parameters (Temperature/Humidity) in all storage and display areas to mitigate degradation risks. 4. </w:t>
      </w:r>
      <w:r w:rsidDel="00000000" w:rsidR="00000000" w:rsidRPr="00000000">
        <w:rPr>
          <w:b w:val="1"/>
          <w:bCs w:val="1"/>
          <w:rtl w:val="0"/>
        </w:rPr>
        <w:t xml:space="preserve">Technical Reporting:</w:t>
      </w:r>
      <w:r w:rsidDel="00000000" w:rsidR="00000000" w:rsidRPr="00000000">
        <w:rPr>
          <w:rtl w:val="0"/>
        </w:rPr>
        <w:t xml:space="preserve"> Drafting of formal documentation and state-of-conservation reports to support institutional decision-making and transparency. This professional expertise ensures that every item entering the institution is handled with precision, beginning with the rigorous protocols of acquisition and ethical entry. #### 3. Policy for Ethical Acquisition and Deaccession The strategic risk of "dilettante" acquisitions—those lacking scientific criteria—can compromise institutional identity and sustainability. Professional management requires a strict policy to define the "face" of the collection, ensuring every acquisition aligns with the institutional mandate. ##### Acquisition Flow * </w:t>
      </w:r>
      <w:r w:rsidDel="00000000" w:rsidR="00000000" w:rsidRPr="00000000">
        <w:rPr>
          <w:b w:val="1"/>
          <w:bCs w:val="1"/>
          <w:rtl w:val="0"/>
        </w:rPr>
        <w:t xml:space="preserve">Technical Evaluation:</w:t>
      </w:r>
      <w:r w:rsidDel="00000000" w:rsidR="00000000" w:rsidRPr="00000000">
        <w:rPr>
          <w:rtl w:val="0"/>
        </w:rPr>
        <w:t xml:space="preserve"> Every potential entry (purchase, donation, or field collection) undergoes multidisciplinary review for authenticity, provenance, and legal status. This includes a mandatory evaluation of copyright and imaging rights to prevent future legal liability. * </w:t>
      </w:r>
      <w:r w:rsidDel="00000000" w:rsidR="00000000" w:rsidRPr="00000000">
        <w:rPr>
          <w:b w:val="1"/>
          <w:bCs w:val="1"/>
          <w:rtl w:val="0"/>
        </w:rPr>
        <w:t xml:space="preserve">Quarantine and Sanitization:</w:t>
      </w:r>
      <w:r w:rsidDel="00000000" w:rsidR="00000000" w:rsidRPr="00000000">
        <w:rPr>
          <w:rtl w:val="0"/>
        </w:rPr>
        <w:t xml:space="preserve"> Upon arrival, items must enter a "Quarantine Period" in a dedicated space to monitor for biological agents and pests (e.g., fungi, insects). Technical disinfection is mandatory before integration into the main reserve. * </w:t>
      </w:r>
      <w:r w:rsidDel="00000000" w:rsidR="00000000" w:rsidRPr="00000000">
        <w:rPr>
          <w:b w:val="1"/>
          <w:bCs w:val="1"/>
          <w:rtl w:val="0"/>
        </w:rPr>
        <w:t xml:space="preserve">Legal Formalization:</w:t>
      </w:r>
      <w:r w:rsidDel="00000000" w:rsidR="00000000" w:rsidRPr="00000000">
        <w:rPr>
          <w:rtl w:val="0"/>
        </w:rPr>
        <w:t xml:space="preserve"> Execution of transfer-of-ownership documents, ensuring the institution has the sovereign right to research, preserve, and display the item. ##### Deaccession Ethics Scientific deaccession is as vital as acquisition for long-term sustainability. The permanent removal or transfer of an item must be justified by specific criteria (e.g., extreme physical degradation, repatriation requirements, or lack of relevance to the mission). This process prevents the institution from becoming an unmanageable "passive deposit" and focuses resources on heritage of higher significance. Once an object is ethically acquired, it must be transformed into recoverable data through documentation. #### 4. Documentation Systems and Metadata Architecture Documentation is the "birth certificate" of the museum item and the primary tool for democratizing access through information recovery. ##### The Ledger (Livro-Tombo) vs. Informatized Systems The </w:t>
      </w:r>
      <w:r w:rsidDel="00000000" w:rsidR="00000000" w:rsidRPr="00000000">
        <w:rPr>
          <w:b w:val="1"/>
          <w:bCs w:val="1"/>
          <w:rtl w:val="0"/>
        </w:rPr>
        <w:t xml:space="preserve">Livro-Tombo</w:t>
      </w:r>
      <w:r w:rsidDel="00000000" w:rsidR="00000000" w:rsidRPr="00000000">
        <w:rPr>
          <w:rtl w:val="0"/>
        </w:rPr>
        <w:t xml:space="preserve"> is a permanent, legal document. To ensure legal safety and institutional memory, all entries must be made in </w:t>
      </w:r>
      <w:r w:rsidDel="00000000" w:rsidR="00000000" w:rsidRPr="00000000">
        <w:rPr>
          <w:b w:val="1"/>
          <w:bCs w:val="1"/>
          <w:rtl w:val="0"/>
        </w:rPr>
        <w:t xml:space="preserve">indelible ink</w:t>
      </w:r>
      <w:r w:rsidDel="00000000" w:rsidR="00000000" w:rsidRPr="00000000">
        <w:rPr>
          <w:rtl w:val="0"/>
        </w:rPr>
        <w:t xml:space="preserve"> . Non-negotiable fields include: * </w:t>
      </w:r>
      <w:r w:rsidDel="00000000" w:rsidR="00000000" w:rsidRPr="00000000">
        <w:rPr>
          <w:b w:val="1"/>
          <w:bCs w:val="1"/>
          <w:rtl w:val="0"/>
        </w:rPr>
        <w:t xml:space="preserve">Tombo Number:</w:t>
      </w:r>
      <w:r w:rsidDel="00000000" w:rsidR="00000000" w:rsidRPr="00000000">
        <w:rPr>
          <w:rtl w:val="0"/>
        </w:rPr>
        <w:t xml:space="preserve"> Unique, sequential identification. * </w:t>
      </w:r>
      <w:r w:rsidDel="00000000" w:rsidR="00000000" w:rsidRPr="00000000">
        <w:rPr>
          <w:b w:val="1"/>
          <w:bCs w:val="1"/>
          <w:rtl w:val="0"/>
        </w:rPr>
        <w:t xml:space="preserve">Author/Creator:</w:t>
      </w:r>
      <w:r w:rsidDel="00000000" w:rsidR="00000000" w:rsidRPr="00000000">
        <w:rPr>
          <w:rtl w:val="0"/>
        </w:rPr>
        <w:t xml:space="preserve"> Primary responsibility. * </w:t>
      </w:r>
      <w:r w:rsidDel="00000000" w:rsidR="00000000" w:rsidRPr="00000000">
        <w:rPr>
          <w:b w:val="1"/>
          <w:bCs w:val="1"/>
          <w:rtl w:val="0"/>
        </w:rPr>
        <w:t xml:space="preserve">Title/Identification:</w:t>
      </w:r>
      <w:r w:rsidDel="00000000" w:rsidR="00000000" w:rsidRPr="00000000">
        <w:rPr>
          <w:rtl w:val="0"/>
        </w:rPr>
        <w:t xml:space="preserve"> Formal name or description. * </w:t>
      </w:r>
      <w:r w:rsidDel="00000000" w:rsidR="00000000" w:rsidRPr="00000000">
        <w:rPr>
          <w:b w:val="1"/>
          <w:bCs w:val="1"/>
          <w:rtl w:val="0"/>
        </w:rPr>
        <w:t xml:space="preserve">Dimensions:</w:t>
      </w:r>
      <w:r w:rsidDel="00000000" w:rsidR="00000000" w:rsidRPr="00000000">
        <w:rPr>
          <w:rtl w:val="0"/>
        </w:rPr>
        <w:t xml:space="preserve"> Precise physical measurements. * </w:t>
      </w:r>
      <w:r w:rsidDel="00000000" w:rsidR="00000000" w:rsidRPr="00000000">
        <w:rPr>
          <w:b w:val="1"/>
          <w:bCs w:val="1"/>
          <w:rtl w:val="0"/>
        </w:rPr>
        <w:t xml:space="preserve">Form of Entry:</w:t>
      </w:r>
      <w:r w:rsidDel="00000000" w:rsidR="00000000" w:rsidRPr="00000000">
        <w:rPr>
          <w:rtl w:val="0"/>
        </w:rPr>
        <w:t xml:space="preserve"> Detailed origin (e.g., donation, purchase). ##### Metadata Mapping: BNDigital Model To ensure interoperability and digital sovereignty, the following mapping of MARC21 tags to Dublin Core elements is mandated: | MARC21 Tag | Description | Dublin Core Element | | ------ | ------ | ------ | | </w:t>
      </w:r>
      <w:r w:rsidDel="00000000" w:rsidR="00000000" w:rsidRPr="00000000">
        <w:rPr>
          <w:b w:val="1"/>
          <w:bCs w:val="1"/>
          <w:rtl w:val="0"/>
        </w:rPr>
        <w:t xml:space="preserve">094</w:t>
      </w:r>
      <w:r w:rsidDel="00000000" w:rsidR="00000000" w:rsidRPr="00000000">
        <w:rPr>
          <w:rtl w:val="0"/>
        </w:rPr>
        <w:t xml:space="preserve"> | Digital Object (OD) ID (Sector Code + Number) | | | </w:t>
      </w:r>
      <w:r w:rsidDel="00000000" w:rsidR="00000000" w:rsidRPr="00000000">
        <w:rPr>
          <w:b w:val="1"/>
          <w:bCs w:val="1"/>
          <w:rtl w:val="0"/>
        </w:rPr>
        <w:t xml:space="preserve">082</w:t>
      </w:r>
      <w:r w:rsidDel="00000000" w:rsidR="00000000" w:rsidRPr="00000000">
        <w:rPr>
          <w:rtl w:val="0"/>
        </w:rPr>
        <w:t xml:space="preserve"> | Dewey Decimal Classification (CDD) | | | </w:t>
      </w:r>
      <w:r w:rsidDel="00000000" w:rsidR="00000000" w:rsidRPr="00000000">
        <w:rPr>
          <w:b w:val="1"/>
          <w:bCs w:val="1"/>
          <w:rtl w:val="0"/>
        </w:rPr>
        <w:t xml:space="preserve">1XX / 7XX</w:t>
      </w:r>
      <w:r w:rsidDel="00000000" w:rsidR="00000000" w:rsidRPr="00000000">
        <w:rPr>
          <w:rtl w:val="0"/>
        </w:rPr>
        <w:t xml:space="preserve"> | Main/Secondary Author (Personal/Corporate) | | | </w:t>
      </w:r>
      <w:r w:rsidDel="00000000" w:rsidR="00000000" w:rsidRPr="00000000">
        <w:rPr>
          <w:b w:val="1"/>
          <w:bCs w:val="1"/>
          <w:rtl w:val="0"/>
        </w:rPr>
        <w:t xml:space="preserve">130 / 24X</w:t>
      </w:r>
      <w:r w:rsidDel="00000000" w:rsidR="00000000" w:rsidRPr="00000000">
        <w:rPr>
          <w:rtl w:val="0"/>
        </w:rPr>
        <w:t xml:space="preserve"> | Uniform/Principal/Variant Titles | | | </w:t>
      </w:r>
      <w:r w:rsidDel="00000000" w:rsidR="00000000" w:rsidRPr="00000000">
        <w:rPr>
          <w:b w:val="1"/>
          <w:bCs w:val="1"/>
          <w:rtl w:val="0"/>
        </w:rPr>
        <w:t xml:space="preserve">260</w:t>
      </w:r>
      <w:r w:rsidDel="00000000" w:rsidR="00000000" w:rsidRPr="00000000">
        <w:rPr>
          <w:rtl w:val="0"/>
        </w:rPr>
        <w:t xml:space="preserve"> | Imprenta (Local, Publisher, Date) | / | | </w:t>
      </w:r>
      <w:r w:rsidDel="00000000" w:rsidR="00000000" w:rsidRPr="00000000">
        <w:rPr>
          <w:b w:val="1"/>
          <w:bCs w:val="1"/>
          <w:rtl w:val="0"/>
        </w:rPr>
        <w:t xml:space="preserve">300 / 500</w:t>
      </w:r>
      <w:r w:rsidDel="00000000" w:rsidR="00000000" w:rsidRPr="00000000">
        <w:rPr>
          <w:rtl w:val="0"/>
        </w:rPr>
        <w:t xml:space="preserve"> | Physical Description and General Notes | | | </w:t>
      </w:r>
      <w:r w:rsidDel="00000000" w:rsidR="00000000" w:rsidRPr="00000000">
        <w:rPr>
          <w:b w:val="1"/>
          <w:bCs w:val="1"/>
          <w:rtl w:val="0"/>
        </w:rPr>
        <w:t xml:space="preserve">540</w:t>
      </w:r>
      <w:r w:rsidDel="00000000" w:rsidR="00000000" w:rsidRPr="00000000">
        <w:rPr>
          <w:rtl w:val="0"/>
        </w:rPr>
        <w:t xml:space="preserve"> | Rights and Usage Notes (Copyright) | | </w:t>
      </w:r>
      <w:r w:rsidDel="00000000" w:rsidR="00000000" w:rsidRPr="00000000">
        <w:rPr>
          <w:i w:val="1"/>
          <w:iCs w:val="1"/>
          <w:rtl w:val="0"/>
        </w:rPr>
        <w:t xml:space="preserve">Tag 082 (CDD) is a strategic requirement for future information dissemination and cross-institutional research.</w:t>
      </w:r>
      <w:r w:rsidDel="00000000" w:rsidR="00000000" w:rsidRPr="00000000">
        <w:rPr>
          <w:rtl w:val="0"/>
        </w:rPr>
        <w:t xml:space="preserve"> ##### Management Software Standards The institution utilizes platforms like </w:t>
      </w:r>
      <w:r w:rsidDel="00000000" w:rsidR="00000000" w:rsidRPr="00000000">
        <w:rPr>
          <w:i w:val="1"/>
          <w:iCs w:val="1"/>
          <w:rtl w:val="0"/>
        </w:rPr>
        <w:t xml:space="preserve">SophiA Acervo</w:t>
      </w:r>
      <w:r w:rsidDel="00000000" w:rsidR="00000000" w:rsidRPr="00000000">
        <w:rPr>
          <w:rtl w:val="0"/>
        </w:rPr>
        <w:t xml:space="preserve"> and </w:t>
      </w:r>
      <w:r w:rsidDel="00000000" w:rsidR="00000000" w:rsidRPr="00000000">
        <w:rPr>
          <w:i w:val="1"/>
          <w:iCs w:val="1"/>
          <w:rtl w:val="0"/>
        </w:rPr>
        <w:t xml:space="preserve">Sylloge</w:t>
      </w:r>
      <w:r w:rsidDel="00000000" w:rsidR="00000000" w:rsidRPr="00000000">
        <w:rPr>
          <w:rtl w:val="0"/>
        </w:rPr>
        <w:t xml:space="preserve"> to mitigate data loss. A key strategic differentiator for </w:t>
      </w:r>
      <w:r w:rsidDel="00000000" w:rsidR="00000000" w:rsidRPr="00000000">
        <w:rPr>
          <w:b w:val="1"/>
          <w:bCs w:val="1"/>
          <w:rtl w:val="0"/>
        </w:rPr>
        <w:t xml:space="preserve">Sylloge</w:t>
      </w:r>
      <w:r w:rsidDel="00000000" w:rsidR="00000000" w:rsidRPr="00000000">
        <w:rPr>
          <w:rtl w:val="0"/>
        </w:rPr>
        <w:t xml:space="preserve"> is the provision of </w:t>
      </w:r>
      <w:r w:rsidDel="00000000" w:rsidR="00000000" w:rsidRPr="00000000">
        <w:rPr>
          <w:b w:val="1"/>
          <w:bCs w:val="1"/>
          <w:rtl w:val="0"/>
        </w:rPr>
        <w:t xml:space="preserve">7 personalized cataloging sheets</w:t>
      </w:r>
      <w:r w:rsidDel="00000000" w:rsidR="00000000" w:rsidRPr="00000000">
        <w:rPr>
          <w:rtl w:val="0"/>
        </w:rPr>
        <w:t xml:space="preserve"> , whereas competitors typically offer only 1 or 2. Security protocols must include Bcrypt encryption and SQL Injection protection to maintain information integrity. #### 5. Physical Safeguarding and Preventive Conservation Preventive conservation is a scientific discipline aimed at the "eternal extension" of the item's life through environmental stability. ##### Climate and Lighting Parameter Matrix | Material Type | Ideal Temperature | Humidity (RH%) | Lighting Limit (Lux) | | ------ | ------ | ------ | ------ | | </w:t>
      </w:r>
      <w:r w:rsidDel="00000000" w:rsidR="00000000" w:rsidRPr="00000000">
        <w:rPr>
          <w:b w:val="1"/>
          <w:bCs w:val="1"/>
          <w:rtl w:val="0"/>
        </w:rPr>
        <w:t xml:space="preserve">Mixed Collection</w:t>
      </w:r>
      <w:r w:rsidDel="00000000" w:rsidR="00000000" w:rsidRPr="00000000">
        <w:rPr>
          <w:rtl w:val="0"/>
        </w:rPr>
        <w:t xml:space="preserve"> | 17°C – 20°C | 30% – 50% | Variable | | </w:t>
      </w:r>
      <w:r w:rsidDel="00000000" w:rsidR="00000000" w:rsidRPr="00000000">
        <w:rPr>
          <w:b w:val="1"/>
          <w:bCs w:val="1"/>
          <w:rtl w:val="0"/>
        </w:rPr>
        <w:t xml:space="preserve">Sensitive Paper</w:t>
      </w:r>
      <w:r w:rsidDel="00000000" w:rsidR="00000000" w:rsidRPr="00000000">
        <w:rPr>
          <w:rtl w:val="0"/>
        </w:rPr>
        <w:t xml:space="preserve"> | 12°C – 20°C | 50% | Max 50 Lux | | </w:t>
      </w:r>
      <w:r w:rsidDel="00000000" w:rsidR="00000000" w:rsidRPr="00000000">
        <w:rPr>
          <w:b w:val="1"/>
          <w:bCs w:val="1"/>
          <w:rtl w:val="0"/>
        </w:rPr>
        <w:t xml:space="preserve">Color Photos</w:t>
      </w:r>
      <w:r w:rsidDel="00000000" w:rsidR="00000000" w:rsidRPr="00000000">
        <w:rPr>
          <w:rtl w:val="0"/>
        </w:rPr>
        <w:t xml:space="preserve"> | 2°C | 30% | Max 50 Lux | | </w:t>
      </w:r>
      <w:r w:rsidDel="00000000" w:rsidR="00000000" w:rsidRPr="00000000">
        <w:rPr>
          <w:b w:val="1"/>
          <w:bCs w:val="1"/>
          <w:rtl w:val="0"/>
        </w:rPr>
        <w:t xml:space="preserve">Metals</w:t>
      </w:r>
      <w:r w:rsidDel="00000000" w:rsidR="00000000" w:rsidRPr="00000000">
        <w:rPr>
          <w:rtl w:val="0"/>
        </w:rPr>
        <w:t xml:space="preserve"> | Stable | </w:t>
      </w:r>
      <w:r w:rsidDel="00000000" w:rsidR="00000000" w:rsidRPr="00000000">
        <w:rPr>
          <w:b w:val="1"/>
          <w:bCs w:val="1"/>
          <w:rtl w:val="0"/>
        </w:rPr>
        <w:t xml:space="preserve">Below 35%</w:t>
      </w:r>
      <w:r w:rsidDel="00000000" w:rsidR="00000000" w:rsidRPr="00000000">
        <w:rPr>
          <w:rtl w:val="0"/>
        </w:rPr>
        <w:t xml:space="preserve"> | No limit (if unpigmented) | </w:t>
      </w:r>
      <w:r w:rsidDel="00000000" w:rsidR="00000000" w:rsidRPr="00000000">
        <w:rPr>
          <w:b w:val="1"/>
          <w:bCs w:val="1"/>
          <w:rtl w:val="0"/>
        </w:rPr>
        <w:t xml:space="preserve">The 10°C Reaction Rule:</w:t>
      </w:r>
      <w:r w:rsidDel="00000000" w:rsidR="00000000" w:rsidRPr="00000000">
        <w:rPr>
          <w:rtl w:val="0"/>
        </w:rPr>
        <w:t xml:space="preserve"> Strategic climate control is governed by the principle that for every 10°C increase in temperature, the speed of chemical degradation reactions doubles. Furthermore, daily humidity fluctuations must not exceed </w:t>
      </w:r>
      <w:r w:rsidDel="00000000" w:rsidR="00000000" w:rsidRPr="00000000">
        <w:rPr>
          <w:b w:val="1"/>
          <w:bCs w:val="1"/>
          <w:rtl w:val="0"/>
        </w:rPr>
        <w:t xml:space="preserve">5%</w:t>
      </w:r>
      <w:r w:rsidDel="00000000" w:rsidR="00000000" w:rsidRPr="00000000">
        <w:rPr>
          <w:rtl w:val="0"/>
        </w:rPr>
        <w:t xml:space="preserve"> , as variation is often more damaging than absolute levels. UV filters are mandatory for all light sources. ##### Standard Handling Protocol * </w:t>
      </w:r>
      <w:r w:rsidDel="00000000" w:rsidR="00000000" w:rsidRPr="00000000">
        <w:rPr>
          <w:b w:val="1"/>
          <w:bCs w:val="1"/>
          <w:rtl w:val="0"/>
        </w:rPr>
        <w:t xml:space="preserve">Minimum Manipulation:</w:t>
      </w:r>
      <w:r w:rsidDel="00000000" w:rsidR="00000000" w:rsidRPr="00000000">
        <w:rPr>
          <w:rtl w:val="0"/>
        </w:rPr>
        <w:t xml:space="preserve"> Objects should only be handled when strictly necessary. * </w:t>
      </w:r>
      <w:r w:rsidDel="00000000" w:rsidR="00000000" w:rsidRPr="00000000">
        <w:rPr>
          <w:b w:val="1"/>
          <w:bCs w:val="1"/>
          <w:rtl w:val="0"/>
        </w:rPr>
        <w:t xml:space="preserve">PPE Requirement:</w:t>
      </w:r>
      <w:r w:rsidDel="00000000" w:rsidR="00000000" w:rsidRPr="00000000">
        <w:rPr>
          <w:rtl w:val="0"/>
        </w:rPr>
        <w:t xml:space="preserve"> Use of gloves and masks is mandatory to prevent the transfer of oils, acids, and moisture from human skin, which cause irreversible chemical damage. * </w:t>
      </w:r>
      <w:r w:rsidDel="00000000" w:rsidR="00000000" w:rsidRPr="00000000">
        <w:rPr>
          <w:b w:val="1"/>
          <w:bCs w:val="1"/>
          <w:rtl w:val="0"/>
        </w:rPr>
        <w:t xml:space="preserve">Specialized Transport:</w:t>
      </w:r>
      <w:r w:rsidDel="00000000" w:rsidR="00000000" w:rsidRPr="00000000">
        <w:rPr>
          <w:rtl w:val="0"/>
        </w:rPr>
        <w:t xml:space="preserve"> Use of appropriate trays and supports to mitigate mechanical stress. #### 6. Digital Preservation and Cyber-Security The institution’s reach extends into "ciberespaço" (cyberspace). Digital preservation ensures that virtual heritage remains accessible and secure. ##### Digital Resource Management * </w:t>
      </w:r>
      <w:r w:rsidDel="00000000" w:rsidR="00000000" w:rsidRPr="00000000">
        <w:rPr>
          <w:b w:val="1"/>
          <w:bCs w:val="1"/>
          <w:rtl w:val="0"/>
        </w:rPr>
        <w:t xml:space="preserve">Equipment:</w:t>
      </w:r>
      <w:r w:rsidDel="00000000" w:rsidR="00000000" w:rsidRPr="00000000">
        <w:rPr>
          <w:rtl w:val="0"/>
        </w:rPr>
        <w:t xml:space="preserve"> Use of </w:t>
      </w:r>
      <w:r w:rsidDel="00000000" w:rsidR="00000000" w:rsidRPr="00000000">
        <w:rPr>
          <w:b w:val="1"/>
          <w:bCs w:val="1"/>
          <w:rtl w:val="0"/>
        </w:rPr>
        <w:t xml:space="preserve">Zeutschel planetary scanners</w:t>
      </w:r>
      <w:r w:rsidDel="00000000" w:rsidR="00000000" w:rsidRPr="00000000">
        <w:rPr>
          <w:rtl w:val="0"/>
        </w:rPr>
        <w:t xml:space="preserve"> for bound textual materials to ensure structural safety and high-fidelity reproduction. * </w:t>
      </w:r>
      <w:r w:rsidDel="00000000" w:rsidR="00000000" w:rsidRPr="00000000">
        <w:rPr>
          <w:b w:val="1"/>
          <w:bCs w:val="1"/>
          <w:rtl w:val="0"/>
        </w:rPr>
        <w:t xml:space="preserve">Quality Metrics:</w:t>
      </w:r>
      <w:r w:rsidDel="00000000" w:rsidR="00000000" w:rsidRPr="00000000">
        <w:rPr>
          <w:rtl w:val="0"/>
        </w:rPr>
        <w:t xml:space="preserve"> Mandatory checks for </w:t>
      </w:r>
      <w:r w:rsidDel="00000000" w:rsidR="00000000" w:rsidRPr="00000000">
        <w:rPr>
          <w:b w:val="1"/>
          <w:bCs w:val="1"/>
          <w:rtl w:val="0"/>
        </w:rPr>
        <w:t xml:space="preserve">Color Accuracy, Focus, and Framing</w:t>
      </w:r>
      <w:r w:rsidDel="00000000" w:rsidR="00000000" w:rsidRPr="00000000">
        <w:rPr>
          <w:rtl w:val="0"/>
        </w:rPr>
        <w:t xml:space="preserve"> before finalizing assets. * </w:t>
      </w:r>
      <w:r w:rsidDel="00000000" w:rsidR="00000000" w:rsidRPr="00000000">
        <w:rPr>
          <w:b w:val="1"/>
          <w:bCs w:val="1"/>
          <w:rtl w:val="0"/>
        </w:rPr>
        <w:t xml:space="preserve">Storage Architecture:</w:t>
      </w:r>
      <w:r w:rsidDel="00000000" w:rsidR="00000000" w:rsidRPr="00000000">
        <w:rPr>
          <w:rtl w:val="0"/>
        </w:rPr>
        <w:t xml:space="preserve"> Strict adherence to the BNDigital folder structure: * </w:t>
      </w:r>
      <w:r w:rsidDel="00000000" w:rsidR="00000000" w:rsidRPr="00000000">
        <w:rPr>
          <w:b w:val="1"/>
          <w:bCs w:val="1"/>
          <w:rtl w:val="0"/>
        </w:rPr>
        <w:t xml:space="preserve">"digitalizados_mestre"</w:t>
      </w:r>
      <w:r w:rsidDel="00000000" w:rsidR="00000000" w:rsidRPr="00000000">
        <w:rPr>
          <w:rtl w:val="0"/>
        </w:rPr>
        <w:t xml:space="preserve"> : High-resolution Master Files (TIFF). * </w:t>
      </w:r>
      <w:r w:rsidDel="00000000" w:rsidR="00000000" w:rsidRPr="00000000">
        <w:rPr>
          <w:b w:val="1"/>
          <w:bCs w:val="1"/>
          <w:rtl w:val="0"/>
        </w:rPr>
        <w:t xml:space="preserve">"digitalizados_reproducao"</w:t>
      </w:r>
      <w:r w:rsidDel="00000000" w:rsidR="00000000" w:rsidRPr="00000000">
        <w:rPr>
          <w:rtl w:val="0"/>
        </w:rPr>
        <w:t xml:space="preserve"> : Compressed files for daily use (JPG). * </w:t>
      </w:r>
      <w:r w:rsidDel="00000000" w:rsidR="00000000" w:rsidRPr="00000000">
        <w:rPr>
          <w:b w:val="1"/>
          <w:bCs w:val="1"/>
          <w:rtl w:val="0"/>
        </w:rPr>
        <w:t xml:space="preserve">3-2-1 Backup Strategy:</w:t>
      </w:r>
      <w:r w:rsidDel="00000000" w:rsidR="00000000" w:rsidRPr="00000000">
        <w:rPr>
          <w:rtl w:val="0"/>
        </w:rPr>
        <w:t xml:space="preserve"> Maintain three copies of data on two different media types, with one copy stored off-site or in the cloud. ##### Preservation Metadata Technical specifications recorded in management systems must include: * </w:t>
      </w:r>
      <w:r w:rsidDel="00000000" w:rsidR="00000000" w:rsidRPr="00000000">
        <w:rPr>
          <w:b w:val="1"/>
          <w:bCs w:val="1"/>
          <w:rtl w:val="0"/>
        </w:rPr>
        <w:t xml:space="preserve">Scanner/Software Version</w:t>
      </w:r>
      <w:r w:rsidDel="00000000" w:rsidR="00000000" w:rsidRPr="00000000">
        <w:rPr>
          <w:rtl w:val="0"/>
        </w:rPr>
        <w:t xml:space="preserve"> * </w:t>
      </w:r>
      <w:r w:rsidDel="00000000" w:rsidR="00000000" w:rsidRPr="00000000">
        <w:rPr>
          <w:b w:val="1"/>
          <w:bCs w:val="1"/>
          <w:rtl w:val="0"/>
        </w:rPr>
        <w:t xml:space="preserve">Resolution (Min. 300dpi)</w:t>
      </w:r>
      <w:r w:rsidDel="00000000" w:rsidR="00000000" w:rsidRPr="00000000">
        <w:rPr>
          <w:rtl w:val="0"/>
        </w:rPr>
        <w:t xml:space="preserve"> * </w:t>
      </w:r>
      <w:r w:rsidDel="00000000" w:rsidR="00000000" w:rsidRPr="00000000">
        <w:rPr>
          <w:b w:val="1"/>
          <w:bCs w:val="1"/>
          <w:rtl w:val="0"/>
        </w:rPr>
        <w:t xml:space="preserve">Bit Depth</w:t>
      </w:r>
      <w:r w:rsidDel="00000000" w:rsidR="00000000" w:rsidRPr="00000000">
        <w:rPr>
          <w:rtl w:val="0"/>
        </w:rPr>
        <w:t xml:space="preserve"> * </w:t>
      </w:r>
      <w:r w:rsidDel="00000000" w:rsidR="00000000" w:rsidRPr="00000000">
        <w:rPr>
          <w:b w:val="1"/>
          <w:bCs w:val="1"/>
          <w:rtl w:val="0"/>
        </w:rPr>
        <w:t xml:space="preserve">Thumbnail Generation</w:t>
      </w:r>
      <w:r w:rsidDel="00000000" w:rsidR="00000000" w:rsidRPr="00000000">
        <w:rPr>
          <w:rtl w:val="0"/>
        </w:rPr>
        <w:t xml:space="preserve"> for database previewing. #### 7. Public Mediation, Education, and Social Function The ultimate metric of technical management is the fulfillment of the museum's social function: transforming data into "Education, Fruition, and Reflection." ##### Mediation: The Affective Experience As documented in the Bibliohub and ICOM standards, a Cultural Mediator facilitates a non-formal educational experience. Unlike a traditional teacher bound by formal curricula, the mediator acts as a facilitator. Recruitment focuses on the capacity for empathy, as </w:t>
      </w:r>
      <w:r w:rsidDel="00000000" w:rsidR="00000000" w:rsidRPr="00000000">
        <w:rPr>
          <w:b w:val="1"/>
          <w:bCs w:val="1"/>
          <w:rtl w:val="0"/>
        </w:rPr>
        <w:t xml:space="preserve">"a visit to a museum is first and foremost an affective experience."</w:t>
      </w:r>
      <w:r w:rsidDel="00000000" w:rsidR="00000000" w:rsidRPr="00000000">
        <w:rPr>
          <w:rtl w:val="0"/>
        </w:rPr>
        <w:t xml:space="preserve"> Mediation avoids "academic replication," serving instead as a bridge between the object and the visitor's own reality. ##### Visitor Etiquette and Safety Protocol Preservation is a shared institutional and public responsibility. Visitor regulations are scientifically justified: * </w:t>
      </w:r>
      <w:r w:rsidDel="00000000" w:rsidR="00000000" w:rsidRPr="00000000">
        <w:rPr>
          <w:b w:val="1"/>
          <w:bCs w:val="1"/>
          <w:rtl w:val="0"/>
        </w:rPr>
        <w:t xml:space="preserve">No Touching:</w:t>
      </w:r>
      <w:r w:rsidDel="00000000" w:rsidR="00000000" w:rsidRPr="00000000">
        <w:rPr>
          <w:rtl w:val="0"/>
        </w:rPr>
        <w:t xml:space="preserve"> Prevents the transfer of oils, acids, and moisture that degrade surfaces. * </w:t>
      </w:r>
      <w:r w:rsidDel="00000000" w:rsidR="00000000" w:rsidRPr="00000000">
        <w:rPr>
          <w:b w:val="1"/>
          <w:bCs w:val="1"/>
          <w:rtl w:val="0"/>
        </w:rPr>
        <w:t xml:space="preserve">No Food/Drink:</w:t>
      </w:r>
      <w:r w:rsidDel="00000000" w:rsidR="00000000" w:rsidRPr="00000000">
        <w:rPr>
          <w:rtl w:val="0"/>
        </w:rPr>
        <w:t xml:space="preserve"> Mitigates the risk of attracting biological pests and accidental chemical staining. * </w:t>
      </w:r>
      <w:r w:rsidDel="00000000" w:rsidR="00000000" w:rsidRPr="00000000">
        <w:rPr>
          <w:b w:val="1"/>
          <w:bCs w:val="1"/>
          <w:rtl w:val="0"/>
        </w:rPr>
        <w:t xml:space="preserve">No Large Bags:</w:t>
      </w:r>
      <w:r w:rsidDel="00000000" w:rsidR="00000000" w:rsidRPr="00000000">
        <w:rPr>
          <w:rtl w:val="0"/>
        </w:rPr>
        <w:t xml:space="preserve"> Reduces the risk of accidental mechanical impact in congested galleries. A professional Collection Management Plan is the essential </w:t>
      </w:r>
      <w:r w:rsidDel="00000000" w:rsidR="00000000" w:rsidRPr="00000000">
        <w:rPr>
          <w:b w:val="1"/>
          <w:bCs w:val="1"/>
          <w:rtl w:val="0"/>
        </w:rPr>
        <w:t xml:space="preserve">bridge between worlds, times, and cultures</w:t>
      </w:r>
      <w:r w:rsidDel="00000000" w:rsidR="00000000" w:rsidRPr="00000000">
        <w:rPr>
          <w:rtl w:val="0"/>
        </w:rPr>
        <w:t xml:space="preserve"> . By aligning ethical rigor with technical precision, we ensure the voices of the past remain resonant for the future.</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