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80" w:after="80"/>
      </w:pPr>
      <w:r>
        <w:t xml:space="preserve"/>
      </w:r>
    </w:p>
    <w:p>
      <w:pPr>
        <w:spacing w:before="400" w:after="80"/>
        <w:jc w:val="center"/>
      </w:pPr>
      <w:r>
        <w:rPr>
          <w:rFonts w:ascii="Arial" w:cs="Arial" w:eastAsia="Arial" w:hAnsi="Arial"/>
          <w:b/>
          <w:bCs/>
          <w:color w:val="1B4F8A"/>
          <w:sz w:val="112"/>
          <w:szCs w:val="112"/>
        </w:rPr>
        <w:t xml:space="preserve">ProtMind</w:t>
      </w:r>
    </w:p>
    <w:p>
      <w:pPr>
        <w:spacing w:before="60" w:after="40"/>
        <w:jc w:val="center"/>
      </w:pPr>
      <w:r>
        <w:rPr>
          <w:rFonts w:ascii="Arial" w:cs="Arial" w:eastAsia="Arial" w:hAnsi="Arial"/>
          <w:color w:val="2E75B6"/>
          <w:sz w:val="32"/>
          <w:szCs w:val="32"/>
        </w:rPr>
        <w:t xml:space="preserve">Software Requirements Specification</w:t>
      </w:r>
    </w:p>
    <w:p>
      <w:pPr>
        <w:spacing w:before="20" w:after="20"/>
        <w:jc w:val="center"/>
      </w:pPr>
      <w:r>
        <w:rPr>
          <w:rFonts w:ascii="Arial" w:cs="Arial" w:eastAsia="Arial" w:hAnsi="Arial"/>
          <w:i/>
          <w:iCs/>
          <w:color w:val="666666"/>
          <w:sz w:val="26"/>
          <w:szCs w:val="26"/>
        </w:rPr>
        <w:t xml:space="preserve">Unified Intelligent Medical Bioinformatics Platform</w:t>
      </w:r>
    </w:p>
    <w:p>
      <w:pPr>
        <w:pBdr>
          <w:bottom w:val="single" w:color="2E75B6" w:sz="6" w:space="8"/>
        </w:pBdr>
        <w:spacing w:before="40" w:after="40"/>
        <w:jc w:val="center"/>
      </w:pPr>
      <w:r>
        <w:t xml:space="preserve"/>
      </w:r>
    </w:p>
    <w:p>
      <w:pPr>
        <w:spacing w:before="80" w:after="8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Borders>
              <w:top w:val="single" w:color="2E75B6" w:sz="1"/>
              <w:left w:val="none"/>
              <w:bottom w:val="single" w:color="2E75B6" w:sz="1"/>
              <w:right w:val="none"/>
            </w:tcBorders>
            <w:shd w:fill="EBF3FB" w:val="clear"/>
            <w:tcMar>
              <w:top w:type="dxa" w:w="200"/>
              <w:left w:type="dxa" w:w="300"/>
              <w:bottom w:type="dxa" w:w="200"/>
              <w:right w:type="dxa" w:w="300"/>
            </w:tcMar>
          </w:tcPr>
          <w:p>
            <w:pPr>
              <w:jc w:val="center"/>
            </w:pPr>
            <w:r>
              <w:rPr>
                <w:rFonts w:ascii="Arial" w:cs="Arial" w:eastAsia="Arial" w:hAnsi="Arial"/>
                <w:b/>
                <w:bCs/>
                <w:color w:val="1B4F8A"/>
                <w:sz w:val="24"/>
                <w:szCs w:val="24"/>
              </w:rPr>
              <w:t xml:space="preserve">Version 1.0</w:t>
            </w:r>
          </w:p>
          <w:p>
            <w:pPr>
              <w:jc w:val="center"/>
            </w:pPr>
            <w:r>
              <w:rPr>
                <w:rFonts w:ascii="Arial" w:cs="Arial" w:eastAsia="Arial" w:hAnsi="Arial"/>
                <w:color w:val="666666"/>
                <w:sz w:val="22"/>
                <w:szCs w:val="22"/>
              </w:rPr>
              <w:t xml:space="preserve">SRS Document  ·  2026</w:t>
            </w:r>
          </w:p>
          <w:p>
            <w:pPr>
              <w:jc w:val="center"/>
            </w:pPr>
            <w:r>
              <w:rPr>
                <w:rFonts w:ascii="Arial" w:cs="Arial" w:eastAsia="Arial" w:hAnsi="Arial"/>
                <w:i/>
                <w:iCs/>
                <w:color w:val="666666"/>
                <w:sz w:val="20"/>
                <w:szCs w:val="20"/>
              </w:rPr>
              <w:t xml:space="preserve">Protein Research &amp; AI Bioinformatics</w:t>
            </w:r>
          </w:p>
        </w:tc>
      </w:tr>
    </w:tbl>
    <w:p>
      <w:pPr>
        <w:spacing w:before="80" w:after="8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Property</w:t>
            </w:r>
          </w:p>
        </w:tc>
        <w:tc>
          <w:tcPr>
            <w:tcW w:type="dxa" w:w="67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Details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Project Name</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ProtMind — Unified Intelligent Medical Bioinformatics Platform</w:t>
            </w:r>
          </w:p>
        </w:tc>
      </w:tr>
      <w:tr>
        <w:tc>
          <w:tcPr>
            <w:tcW w:type="dxa" w:w="2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Document Type</w:t>
            </w:r>
          </w:p>
        </w:tc>
        <w:tc>
          <w:tcPr>
            <w:tcW w:type="dxa" w:w="67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Software Requirements Specification (SRS)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Version</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1.0</w:t>
            </w:r>
          </w:p>
        </w:tc>
      </w:tr>
      <w:tr>
        <w:tc>
          <w:tcPr>
            <w:tcW w:type="dxa" w:w="2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Domain</w:t>
            </w:r>
          </w:p>
        </w:tc>
        <w:tc>
          <w:tcPr>
            <w:tcW w:type="dxa" w:w="67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Medical Bioinformatics / AI-Assisted Protein Research</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Anchor Disease</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Cholangiocarcinoma (CCA) — Bile Duct Cancer</w:t>
            </w:r>
          </w:p>
        </w:tc>
      </w:tr>
      <w:tr>
        <w:tc>
          <w:tcPr>
            <w:tcW w:type="dxa" w:w="2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Target Users</w:t>
            </w:r>
          </w:p>
        </w:tc>
        <w:tc>
          <w:tcPr>
            <w:tcW w:type="dxa" w:w="67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Biomedical Researchers, Clinicians, Bioinformaticians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Document Status</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Complete — All Phases Covered</w:t>
            </w:r>
          </w:p>
        </w:tc>
      </w:tr>
    </w:tbl>
    <w:p>
      <w:r>
        <w:br w:type="page"/>
      </w:r>
    </w:p>
    <w:p>
      <w:pPr>
        <w:pStyle w:val="Heading1"/>
        <w:pBdr>
          <w:bottom w:val="single" w:color="2E75B6" w:sz="8" w:space="6"/>
        </w:pBdr>
        <w:spacing w:before="360" w:after="160"/>
      </w:pPr>
      <w:r>
        <w:rPr>
          <w:rFonts w:ascii="Arial" w:cs="Arial" w:eastAsia="Arial" w:hAnsi="Arial"/>
          <w:b/>
          <w:bCs/>
          <w:color w:val="1B4F8A"/>
          <w:sz w:val="36"/>
          <w:szCs w:val="36"/>
        </w:rPr>
        <w:t xml:space="preserve">Table of Contents</w:t>
      </w:r>
    </w:p>
    <w:p>
      <w:pPr>
        <w:spacing w:before="40" w:after="40"/>
      </w:pPr>
      <w:r>
        <w:rPr>
          <w:rFonts w:ascii="Arial" w:cs="Arial" w:eastAsia="Arial" w:hAnsi="Arial"/>
          <w:b/>
          <w:bCs/>
          <w:color w:val="1B4F8A"/>
          <w:sz w:val="20"/>
          <w:szCs w:val="20"/>
        </w:rPr>
        <w:t xml:space="preserve">Chapter 1: Introduction</w:t>
      </w:r>
    </w:p>
    <w:p>
      <w:pPr>
        <w:spacing w:before="40" w:after="40"/>
      </w:pPr>
      <w:r>
        <w:rPr>
          <w:rFonts w:ascii="Arial" w:cs="Arial" w:eastAsia="Arial" w:hAnsi="Arial"/>
          <w:b w:val="false"/>
          <w:bCs w:val="false"/>
          <w:color w:val="1A1A2E"/>
          <w:sz w:val="20"/>
          <w:szCs w:val="20"/>
        </w:rPr>
        <w:t xml:space="preserve">    1.1  Purpose</w:t>
      </w:r>
    </w:p>
    <w:p>
      <w:pPr>
        <w:spacing w:before="40" w:after="40"/>
      </w:pPr>
      <w:r>
        <w:rPr>
          <w:rFonts w:ascii="Arial" w:cs="Arial" w:eastAsia="Arial" w:hAnsi="Arial"/>
          <w:b w:val="false"/>
          <w:bCs w:val="false"/>
          <w:color w:val="1A1A2E"/>
          <w:sz w:val="20"/>
          <w:szCs w:val="20"/>
        </w:rPr>
        <w:t xml:space="preserve">    1.2  Document Conventions</w:t>
      </w:r>
    </w:p>
    <w:p>
      <w:pPr>
        <w:spacing w:before="40" w:after="40"/>
      </w:pPr>
      <w:r>
        <w:rPr>
          <w:rFonts w:ascii="Arial" w:cs="Arial" w:eastAsia="Arial" w:hAnsi="Arial"/>
          <w:b w:val="false"/>
          <w:bCs w:val="false"/>
          <w:color w:val="1A1A2E"/>
          <w:sz w:val="20"/>
          <w:szCs w:val="20"/>
        </w:rPr>
        <w:t xml:space="preserve">    1.3  Intended Audience and Reading Suggestions</w:t>
      </w:r>
    </w:p>
    <w:p>
      <w:pPr>
        <w:spacing w:before="40" w:after="40"/>
      </w:pPr>
      <w:r>
        <w:rPr>
          <w:rFonts w:ascii="Arial" w:cs="Arial" w:eastAsia="Arial" w:hAnsi="Arial"/>
          <w:b w:val="false"/>
          <w:bCs w:val="false"/>
          <w:color w:val="1A1A2E"/>
          <w:sz w:val="20"/>
          <w:szCs w:val="20"/>
        </w:rPr>
        <w:t xml:space="preserve">    1.4  General Background</w:t>
      </w:r>
    </w:p>
    <w:p>
      <w:pPr>
        <w:spacing w:before="40" w:after="40"/>
      </w:pPr>
      <w:r>
        <w:rPr>
          <w:rFonts w:ascii="Arial" w:cs="Arial" w:eastAsia="Arial" w:hAnsi="Arial"/>
          <w:b w:val="false"/>
          <w:bCs w:val="false"/>
          <w:color w:val="1A1A2E"/>
          <w:sz w:val="20"/>
          <w:szCs w:val="20"/>
        </w:rPr>
        <w:t xml:space="preserve">    1.5  Research Problem</w:t>
      </w:r>
    </w:p>
    <w:p>
      <w:pPr>
        <w:spacing w:before="40" w:after="40"/>
      </w:pPr>
      <w:r>
        <w:rPr>
          <w:rFonts w:ascii="Arial" w:cs="Arial" w:eastAsia="Arial" w:hAnsi="Arial"/>
          <w:b w:val="false"/>
          <w:bCs w:val="false"/>
          <w:color w:val="1A1A2E"/>
          <w:sz w:val="20"/>
          <w:szCs w:val="20"/>
        </w:rPr>
        <w:t xml:space="preserve">    1.6  Product Scope</w:t>
      </w:r>
    </w:p>
    <w:p>
      <w:pPr>
        <w:spacing w:before="40" w:after="40"/>
      </w:pPr>
      <w:r>
        <w:rPr>
          <w:rFonts w:ascii="Arial" w:cs="Arial" w:eastAsia="Arial" w:hAnsi="Arial"/>
          <w:b w:val="false"/>
          <w:bCs w:val="false"/>
          <w:color w:val="1A1A2E"/>
          <w:sz w:val="20"/>
          <w:szCs w:val="20"/>
        </w:rPr>
        <w:t xml:space="preserve">    1.7  Project Objectives</w:t>
      </w:r>
    </w:p>
    <w:p>
      <w:pPr>
        <w:spacing w:before="40" w:after="40"/>
      </w:pPr>
      <w:r>
        <w:rPr>
          <w:rFonts w:ascii="Arial" w:cs="Arial" w:eastAsia="Arial" w:hAnsi="Arial"/>
          <w:b w:val="false"/>
          <w:bCs w:val="false"/>
          <w:color w:val="1A1A2E"/>
          <w:sz w:val="20"/>
          <w:szCs w:val="20"/>
        </w:rPr>
        <w:t xml:space="preserve">    1.8  References</w:t>
      </w:r>
    </w:p>
    <w:p>
      <w:pPr>
        <w:spacing w:before="40" w:after="40"/>
      </w:pPr>
      <w:r>
        <w:rPr>
          <w:rFonts w:ascii="Arial" w:cs="Arial" w:eastAsia="Arial" w:hAnsi="Arial"/>
          <w:b/>
          <w:bCs/>
          <w:color w:val="1B4F8A"/>
          <w:sz w:val="20"/>
          <w:szCs w:val="20"/>
        </w:rPr>
        <w:t xml:space="preserve">Chapter 2: Overall Description</w:t>
      </w:r>
    </w:p>
    <w:p>
      <w:pPr>
        <w:spacing w:before="40" w:after="40"/>
      </w:pPr>
      <w:r>
        <w:rPr>
          <w:rFonts w:ascii="Arial" w:cs="Arial" w:eastAsia="Arial" w:hAnsi="Arial"/>
          <w:b w:val="false"/>
          <w:bCs w:val="false"/>
          <w:color w:val="1A1A2E"/>
          <w:sz w:val="20"/>
          <w:szCs w:val="20"/>
        </w:rPr>
        <w:t xml:space="preserve">    2.1  Product Perspective</w:t>
      </w:r>
    </w:p>
    <w:p>
      <w:pPr>
        <w:spacing w:before="40" w:after="40"/>
      </w:pPr>
      <w:r>
        <w:rPr>
          <w:rFonts w:ascii="Arial" w:cs="Arial" w:eastAsia="Arial" w:hAnsi="Arial"/>
          <w:b w:val="false"/>
          <w:bCs w:val="false"/>
          <w:color w:val="1A1A2E"/>
          <w:sz w:val="20"/>
          <w:szCs w:val="20"/>
        </w:rPr>
        <w:t xml:space="preserve">    2.2  Product Functions</w:t>
      </w:r>
    </w:p>
    <w:p>
      <w:pPr>
        <w:spacing w:before="40" w:after="40"/>
      </w:pPr>
      <w:r>
        <w:rPr>
          <w:rFonts w:ascii="Arial" w:cs="Arial" w:eastAsia="Arial" w:hAnsi="Arial"/>
          <w:b w:val="false"/>
          <w:bCs w:val="false"/>
          <w:color w:val="1A1A2E"/>
          <w:sz w:val="20"/>
          <w:szCs w:val="20"/>
        </w:rPr>
        <w:t xml:space="preserve">    2.3  User Classes and Characteristics</w:t>
      </w:r>
    </w:p>
    <w:p>
      <w:pPr>
        <w:spacing w:before="40" w:after="40"/>
      </w:pPr>
      <w:r>
        <w:rPr>
          <w:rFonts w:ascii="Arial" w:cs="Arial" w:eastAsia="Arial" w:hAnsi="Arial"/>
          <w:b w:val="false"/>
          <w:bCs w:val="false"/>
          <w:color w:val="1A1A2E"/>
          <w:sz w:val="20"/>
          <w:szCs w:val="20"/>
        </w:rPr>
        <w:t xml:space="preserve">    2.4  Operating Environment</w:t>
      </w:r>
    </w:p>
    <w:p>
      <w:pPr>
        <w:spacing w:before="40" w:after="40"/>
      </w:pPr>
      <w:r>
        <w:rPr>
          <w:rFonts w:ascii="Arial" w:cs="Arial" w:eastAsia="Arial" w:hAnsi="Arial"/>
          <w:b w:val="false"/>
          <w:bCs w:val="false"/>
          <w:color w:val="1A1A2E"/>
          <w:sz w:val="20"/>
          <w:szCs w:val="20"/>
        </w:rPr>
        <w:t xml:space="preserve">    2.5  Design and Implementation Constraints</w:t>
      </w:r>
    </w:p>
    <w:p>
      <w:pPr>
        <w:spacing w:before="40" w:after="40"/>
      </w:pPr>
      <w:r>
        <w:rPr>
          <w:rFonts w:ascii="Arial" w:cs="Arial" w:eastAsia="Arial" w:hAnsi="Arial"/>
          <w:b w:val="false"/>
          <w:bCs w:val="false"/>
          <w:color w:val="1A1A2E"/>
          <w:sz w:val="20"/>
          <w:szCs w:val="20"/>
        </w:rPr>
        <w:t xml:space="preserve">    2.6  Stakeholder Analysis</w:t>
      </w:r>
    </w:p>
    <w:p>
      <w:pPr>
        <w:spacing w:before="40" w:after="40"/>
      </w:pPr>
      <w:r>
        <w:rPr>
          <w:rFonts w:ascii="Arial" w:cs="Arial" w:eastAsia="Arial" w:hAnsi="Arial"/>
          <w:b w:val="false"/>
          <w:bCs w:val="false"/>
          <w:color w:val="1A1A2E"/>
          <w:sz w:val="20"/>
          <w:szCs w:val="20"/>
        </w:rPr>
        <w:t xml:space="preserve">    2.7  Non-Functional Requirements (NFR)</w:t>
      </w:r>
    </w:p>
    <w:p>
      <w:pPr>
        <w:spacing w:before="40" w:after="40"/>
      </w:pPr>
      <w:r>
        <w:rPr>
          <w:rFonts w:ascii="Arial" w:cs="Arial" w:eastAsia="Arial" w:hAnsi="Arial"/>
          <w:b w:val="false"/>
          <w:bCs w:val="false"/>
          <w:color w:val="1A1A2E"/>
          <w:sz w:val="20"/>
          <w:szCs w:val="20"/>
        </w:rPr>
        <w:t xml:space="preserve">    2.8  Feasibility Study</w:t>
      </w:r>
    </w:p>
    <w:p>
      <w:pPr>
        <w:spacing w:before="40" w:after="40"/>
      </w:pPr>
      <w:r>
        <w:rPr>
          <w:rFonts w:ascii="Arial" w:cs="Arial" w:eastAsia="Arial" w:hAnsi="Arial"/>
          <w:b w:val="false"/>
          <w:bCs w:val="false"/>
          <w:color w:val="1A1A2E"/>
          <w:sz w:val="20"/>
          <w:szCs w:val="20"/>
        </w:rPr>
        <w:t xml:space="preserve">    2.9  System Assumptions and Dependencies</w:t>
      </w:r>
    </w:p>
    <w:p>
      <w:pPr>
        <w:spacing w:before="40" w:after="40"/>
      </w:pPr>
      <w:r>
        <w:rPr>
          <w:rFonts w:ascii="Arial" w:cs="Arial" w:eastAsia="Arial" w:hAnsi="Arial"/>
          <w:b/>
          <w:bCs/>
          <w:color w:val="1B4F8A"/>
          <w:sz w:val="20"/>
          <w:szCs w:val="20"/>
        </w:rPr>
        <w:t xml:space="preserve">Chapter 3: External Interfaces &amp; System Analysis</w:t>
      </w:r>
    </w:p>
    <w:p>
      <w:pPr>
        <w:spacing w:before="40" w:after="40"/>
      </w:pPr>
      <w:r>
        <w:rPr>
          <w:rFonts w:ascii="Arial" w:cs="Arial" w:eastAsia="Arial" w:hAnsi="Arial"/>
          <w:b w:val="false"/>
          <w:bCs w:val="false"/>
          <w:color w:val="1A1A2E"/>
          <w:sz w:val="20"/>
          <w:szCs w:val="20"/>
        </w:rPr>
        <w:t xml:space="preserve">    3.1  User Interfaces</w:t>
      </w:r>
    </w:p>
    <w:p>
      <w:pPr>
        <w:spacing w:before="40" w:after="40"/>
      </w:pPr>
      <w:r>
        <w:rPr>
          <w:rFonts w:ascii="Arial" w:cs="Arial" w:eastAsia="Arial" w:hAnsi="Arial"/>
          <w:b w:val="false"/>
          <w:bCs w:val="false"/>
          <w:color w:val="1A1A2E"/>
          <w:sz w:val="20"/>
          <w:szCs w:val="20"/>
        </w:rPr>
        <w:t xml:space="preserve">    3.2  Hardware Interfaces</w:t>
      </w:r>
    </w:p>
    <w:p>
      <w:pPr>
        <w:spacing w:before="40" w:after="40"/>
      </w:pPr>
      <w:r>
        <w:rPr>
          <w:rFonts w:ascii="Arial" w:cs="Arial" w:eastAsia="Arial" w:hAnsi="Arial"/>
          <w:b w:val="false"/>
          <w:bCs w:val="false"/>
          <w:color w:val="1A1A2E"/>
          <w:sz w:val="20"/>
          <w:szCs w:val="20"/>
        </w:rPr>
        <w:t xml:space="preserve">    3.3  Software Interfaces</w:t>
      </w:r>
    </w:p>
    <w:p>
      <w:pPr>
        <w:spacing w:before="40" w:after="40"/>
      </w:pPr>
      <w:r>
        <w:rPr>
          <w:rFonts w:ascii="Arial" w:cs="Arial" w:eastAsia="Arial" w:hAnsi="Arial"/>
          <w:b w:val="false"/>
          <w:bCs w:val="false"/>
          <w:color w:val="1A1A2E"/>
          <w:sz w:val="20"/>
          <w:szCs w:val="20"/>
        </w:rPr>
        <w:t xml:space="preserve">    3.4  Communications Interfaces</w:t>
      </w:r>
    </w:p>
    <w:p>
      <w:pPr>
        <w:spacing w:before="40" w:after="40"/>
      </w:pPr>
      <w:r>
        <w:rPr>
          <w:rFonts w:ascii="Arial" w:cs="Arial" w:eastAsia="Arial" w:hAnsi="Arial"/>
          <w:b w:val="false"/>
          <w:bCs w:val="false"/>
          <w:color w:val="1A1A2E"/>
          <w:sz w:val="20"/>
          <w:szCs w:val="20"/>
        </w:rPr>
        <w:t xml:space="preserve">    3.5  System Analysis</w:t>
      </w:r>
    </w:p>
    <w:p>
      <w:pPr>
        <w:spacing w:before="40" w:after="40"/>
      </w:pPr>
      <w:r>
        <w:rPr>
          <w:rFonts w:ascii="Arial" w:cs="Arial" w:eastAsia="Arial" w:hAnsi="Arial"/>
          <w:b w:val="false"/>
          <w:bCs w:val="false"/>
          <w:color w:val="1A1A2E"/>
          <w:sz w:val="20"/>
          <w:szCs w:val="20"/>
        </w:rPr>
        <w:t xml:space="preserve">    3.6  Stakeholder Analysis (Detailed)</w:t>
      </w:r>
    </w:p>
    <w:p>
      <w:pPr>
        <w:spacing w:before="40" w:after="40"/>
      </w:pPr>
      <w:r>
        <w:rPr>
          <w:rFonts w:ascii="Arial" w:cs="Arial" w:eastAsia="Arial" w:hAnsi="Arial"/>
          <w:b w:val="false"/>
          <w:bCs w:val="false"/>
          <w:color w:val="1A1A2E"/>
          <w:sz w:val="20"/>
          <w:szCs w:val="20"/>
        </w:rPr>
        <w:t xml:space="preserve">    3.7  Functional Requirements</w:t>
      </w:r>
    </w:p>
    <w:p>
      <w:pPr>
        <w:spacing w:before="40" w:after="40"/>
      </w:pPr>
      <w:r>
        <w:rPr>
          <w:rFonts w:ascii="Arial" w:cs="Arial" w:eastAsia="Arial" w:hAnsi="Arial"/>
          <w:b w:val="false"/>
          <w:bCs w:val="false"/>
          <w:color w:val="1A1A2E"/>
          <w:sz w:val="20"/>
          <w:szCs w:val="20"/>
        </w:rPr>
        <w:t xml:space="preserve">    3.8  Non-Functional Requirements</w:t>
      </w:r>
    </w:p>
    <w:p>
      <w:pPr>
        <w:spacing w:before="40" w:after="40"/>
      </w:pPr>
      <w:r>
        <w:rPr>
          <w:rFonts w:ascii="Arial" w:cs="Arial" w:eastAsia="Arial" w:hAnsi="Arial"/>
          <w:b w:val="false"/>
          <w:bCs w:val="false"/>
          <w:color w:val="1A1A2E"/>
          <w:sz w:val="20"/>
          <w:szCs w:val="20"/>
        </w:rPr>
        <w:t xml:space="preserve">    3.9  Feasibility Study</w:t>
      </w:r>
    </w:p>
    <w:p>
      <w:pPr>
        <w:spacing w:before="40" w:after="40"/>
      </w:pPr>
      <w:r>
        <w:rPr>
          <w:rFonts w:ascii="Arial" w:cs="Arial" w:eastAsia="Arial" w:hAnsi="Arial"/>
          <w:b w:val="false"/>
          <w:bCs w:val="false"/>
          <w:color w:val="1A1A2E"/>
          <w:sz w:val="20"/>
          <w:szCs w:val="20"/>
        </w:rPr>
        <w:t xml:space="preserve">    3.10 Use Case Mapping</w:t>
      </w:r>
    </w:p>
    <w:p>
      <w:pPr>
        <w:spacing w:before="40" w:after="40"/>
      </w:pPr>
      <w:r>
        <w:rPr>
          <w:rFonts w:ascii="Arial" w:cs="Arial" w:eastAsia="Arial" w:hAnsi="Arial"/>
          <w:b w:val="false"/>
          <w:bCs w:val="false"/>
          <w:color w:val="1A1A2E"/>
          <w:sz w:val="20"/>
          <w:szCs w:val="20"/>
        </w:rPr>
        <w:t xml:space="preserve">    3.11 System Constraints</w:t>
      </w:r>
    </w:p>
    <w:p>
      <w:pPr>
        <w:spacing w:before="40" w:after="40"/>
      </w:pPr>
      <w:r>
        <w:rPr>
          <w:rFonts w:ascii="Arial" w:cs="Arial" w:eastAsia="Arial" w:hAnsi="Arial"/>
          <w:b w:val="false"/>
          <w:bCs w:val="false"/>
          <w:color w:val="1A1A2E"/>
          <w:sz w:val="20"/>
          <w:szCs w:val="20"/>
        </w:rPr>
        <w:t xml:space="preserve">    3.12 System Assumptions</w:t>
      </w:r>
    </w:p>
    <w:p>
      <w:pPr>
        <w:spacing w:before="40" w:after="40"/>
      </w:pPr>
      <w:r>
        <w:rPr>
          <w:rFonts w:ascii="Arial" w:cs="Arial" w:eastAsia="Arial" w:hAnsi="Arial"/>
          <w:b/>
          <w:bCs/>
          <w:color w:val="1B4F8A"/>
          <w:sz w:val="20"/>
          <w:szCs w:val="20"/>
        </w:rPr>
        <w:t xml:space="preserve">Chapter 4: System Design</w:t>
      </w:r>
    </w:p>
    <w:p>
      <w:pPr>
        <w:spacing w:before="40" w:after="40"/>
      </w:pPr>
      <w:r>
        <w:rPr>
          <w:rFonts w:ascii="Arial" w:cs="Arial" w:eastAsia="Arial" w:hAnsi="Arial"/>
          <w:b w:val="false"/>
          <w:bCs w:val="false"/>
          <w:color w:val="1A1A2E"/>
          <w:sz w:val="20"/>
          <w:szCs w:val="20"/>
        </w:rPr>
        <w:t xml:space="preserve">    4.1  System Architecture</w:t>
      </w:r>
    </w:p>
    <w:p>
      <w:pPr>
        <w:spacing w:before="40" w:after="40"/>
      </w:pPr>
      <w:r>
        <w:rPr>
          <w:rFonts w:ascii="Arial" w:cs="Arial" w:eastAsia="Arial" w:hAnsi="Arial"/>
          <w:b w:val="false"/>
          <w:bCs w:val="false"/>
          <w:color w:val="1A1A2E"/>
          <w:sz w:val="20"/>
          <w:szCs w:val="20"/>
        </w:rPr>
        <w:t xml:space="preserve">    4.2  Technology Stack</w:t>
      </w:r>
    </w:p>
    <w:p>
      <w:pPr>
        <w:spacing w:before="40" w:after="40"/>
      </w:pPr>
      <w:r>
        <w:rPr>
          <w:rFonts w:ascii="Arial" w:cs="Arial" w:eastAsia="Arial" w:hAnsi="Arial"/>
          <w:b w:val="false"/>
          <w:bCs w:val="false"/>
          <w:color w:val="1A1A2E"/>
          <w:sz w:val="20"/>
          <w:szCs w:val="20"/>
        </w:rPr>
        <w:t xml:space="preserve">    4.3  Use Case Specifications</w:t>
      </w:r>
    </w:p>
    <w:p>
      <w:pPr>
        <w:spacing w:before="40" w:after="40"/>
      </w:pPr>
      <w:r>
        <w:rPr>
          <w:rFonts w:ascii="Arial" w:cs="Arial" w:eastAsia="Arial" w:hAnsi="Arial"/>
          <w:b w:val="false"/>
          <w:bCs w:val="false"/>
          <w:color w:val="1A1A2E"/>
          <w:sz w:val="20"/>
          <w:szCs w:val="20"/>
        </w:rPr>
        <w:t xml:space="preserve">    4.4  Use Case Diagrams</w:t>
      </w:r>
    </w:p>
    <w:p>
      <w:pPr>
        <w:spacing w:before="40" w:after="40"/>
      </w:pPr>
      <w:r>
        <w:rPr>
          <w:rFonts w:ascii="Arial" w:cs="Arial" w:eastAsia="Arial" w:hAnsi="Arial"/>
          <w:b w:val="false"/>
          <w:bCs w:val="false"/>
          <w:color w:val="1A1A2E"/>
          <w:sz w:val="20"/>
          <w:szCs w:val="20"/>
        </w:rPr>
        <w:t xml:space="preserve">    4.5  Entity Relationship Diagram (ERD)</w:t>
      </w:r>
    </w:p>
    <w:p>
      <w:pPr>
        <w:spacing w:before="40" w:after="40"/>
      </w:pPr>
      <w:r>
        <w:rPr>
          <w:rFonts w:ascii="Arial" w:cs="Arial" w:eastAsia="Arial" w:hAnsi="Arial"/>
          <w:b w:val="false"/>
          <w:bCs w:val="false"/>
          <w:color w:val="1A1A2E"/>
          <w:sz w:val="20"/>
          <w:szCs w:val="20"/>
        </w:rPr>
        <w:t xml:space="preserve">    4.6  Activity Diagrams &amp; Workflows</w:t>
      </w:r>
    </w:p>
    <w:p>
      <w:pPr>
        <w:spacing w:before="40" w:after="40"/>
      </w:pPr>
      <w:r>
        <w:rPr>
          <w:rFonts w:ascii="Arial" w:cs="Arial" w:eastAsia="Arial" w:hAnsi="Arial"/>
          <w:b w:val="false"/>
          <w:bCs w:val="false"/>
          <w:color w:val="1A1A2E"/>
          <w:sz w:val="20"/>
          <w:szCs w:val="20"/>
        </w:rPr>
        <w:t xml:space="preserve">    4.7  Data Flow Diagrams</w:t>
      </w:r>
    </w:p>
    <w:p>
      <w:pPr>
        <w:spacing w:before="40" w:after="40"/>
      </w:pPr>
      <w:r>
        <w:rPr>
          <w:rFonts w:ascii="Arial" w:cs="Arial" w:eastAsia="Arial" w:hAnsi="Arial"/>
          <w:b w:val="false"/>
          <w:bCs w:val="false"/>
          <w:color w:val="1A1A2E"/>
          <w:sz w:val="20"/>
          <w:szCs w:val="20"/>
        </w:rPr>
        <w:t xml:space="preserve">    4.8  Prototype Overview</w:t>
      </w:r>
    </w:p>
    <w:p>
      <w:pPr>
        <w:spacing w:before="40" w:after="40"/>
      </w:pPr>
      <w:r>
        <w:rPr>
          <w:rFonts w:ascii="Arial" w:cs="Arial" w:eastAsia="Arial" w:hAnsi="Arial"/>
          <w:b w:val="false"/>
          <w:bCs w:val="false"/>
          <w:color w:val="1A1A2E"/>
          <w:sz w:val="20"/>
          <w:szCs w:val="20"/>
        </w:rPr>
        <w:t xml:space="preserve">    4.9  Tooling &amp; Technical References</w:t>
      </w:r>
    </w:p>
    <w:p>
      <w:pPr>
        <w:spacing w:before="40" w:after="40"/>
      </w:pPr>
      <w:r>
        <w:rPr>
          <w:rFonts w:ascii="Arial" w:cs="Arial" w:eastAsia="Arial" w:hAnsi="Arial"/>
          <w:b/>
          <w:bCs/>
          <w:color w:val="1B4F8A"/>
          <w:sz w:val="20"/>
          <w:szCs w:val="20"/>
        </w:rPr>
        <w:t xml:space="preserve">Chapter 5: UI/UX Design</w:t>
      </w:r>
    </w:p>
    <w:p>
      <w:pPr>
        <w:spacing w:before="40" w:after="40"/>
      </w:pPr>
      <w:r>
        <w:rPr>
          <w:rFonts w:ascii="Arial" w:cs="Arial" w:eastAsia="Arial" w:hAnsi="Arial"/>
          <w:b w:val="false"/>
          <w:bCs w:val="false"/>
          <w:color w:val="1A1A2E"/>
          <w:sz w:val="20"/>
          <w:szCs w:val="20"/>
        </w:rPr>
        <w:t xml:space="preserve">    5.1  Design Philosophy</w:t>
      </w:r>
    </w:p>
    <w:p>
      <w:pPr>
        <w:spacing w:before="40" w:after="40"/>
      </w:pPr>
      <w:r>
        <w:rPr>
          <w:rFonts w:ascii="Arial" w:cs="Arial" w:eastAsia="Arial" w:hAnsi="Arial"/>
          <w:b w:val="false"/>
          <w:bCs w:val="false"/>
          <w:color w:val="1A1A2E"/>
          <w:sz w:val="20"/>
          <w:szCs w:val="20"/>
        </w:rPr>
        <w:t xml:space="preserve">    5.2  Design System</w:t>
      </w:r>
    </w:p>
    <w:p>
      <w:pPr>
        <w:spacing w:before="40" w:after="40"/>
      </w:pPr>
      <w:r>
        <w:rPr>
          <w:rFonts w:ascii="Arial" w:cs="Arial" w:eastAsia="Arial" w:hAnsi="Arial"/>
          <w:b w:val="false"/>
          <w:bCs w:val="false"/>
          <w:color w:val="1A1A2E"/>
          <w:sz w:val="20"/>
          <w:szCs w:val="20"/>
        </w:rPr>
        <w:t xml:space="preserve">    5.3  Component Library</w:t>
      </w:r>
    </w:p>
    <w:p>
      <w:pPr>
        <w:spacing w:before="40" w:after="40"/>
      </w:pPr>
      <w:r>
        <w:rPr>
          <w:rFonts w:ascii="Arial" w:cs="Arial" w:eastAsia="Arial" w:hAnsi="Arial"/>
          <w:b w:val="false"/>
          <w:bCs w:val="false"/>
          <w:color w:val="1A1A2E"/>
          <w:sz w:val="20"/>
          <w:szCs w:val="20"/>
        </w:rPr>
        <w:t xml:space="preserve">    5.4  Information Architecture</w:t>
      </w:r>
    </w:p>
    <w:p>
      <w:pPr>
        <w:spacing w:before="40" w:after="40"/>
      </w:pPr>
      <w:r>
        <w:rPr>
          <w:rFonts w:ascii="Arial" w:cs="Arial" w:eastAsia="Arial" w:hAnsi="Arial"/>
          <w:b w:val="false"/>
          <w:bCs w:val="false"/>
          <w:color w:val="1A1A2E"/>
          <w:sz w:val="20"/>
          <w:szCs w:val="20"/>
        </w:rPr>
        <w:t xml:space="preserve">    5.5  Wireframe Specifications</w:t>
      </w:r>
    </w:p>
    <w:p>
      <w:pPr>
        <w:spacing w:before="40" w:after="40"/>
      </w:pPr>
      <w:r>
        <w:rPr>
          <w:rFonts w:ascii="Arial" w:cs="Arial" w:eastAsia="Arial" w:hAnsi="Arial"/>
          <w:b w:val="false"/>
          <w:bCs w:val="false"/>
          <w:color w:val="1A1A2E"/>
          <w:sz w:val="20"/>
          <w:szCs w:val="20"/>
        </w:rPr>
        <w:t xml:space="preserve">    5.6  User Flow Diagrams</w:t>
      </w:r>
    </w:p>
    <w:p>
      <w:pPr>
        <w:spacing w:before="40" w:after="40"/>
      </w:pPr>
      <w:r>
        <w:rPr>
          <w:rFonts w:ascii="Arial" w:cs="Arial" w:eastAsia="Arial" w:hAnsi="Arial"/>
          <w:b w:val="false"/>
          <w:bCs w:val="false"/>
          <w:color w:val="1A1A2E"/>
          <w:sz w:val="20"/>
          <w:szCs w:val="20"/>
        </w:rPr>
        <w:t xml:space="preserve">    5.7  Interaction Design</w:t>
      </w:r>
    </w:p>
    <w:p>
      <w:pPr>
        <w:spacing w:before="40" w:after="40"/>
      </w:pPr>
      <w:r>
        <w:rPr>
          <w:rFonts w:ascii="Arial" w:cs="Arial" w:eastAsia="Arial" w:hAnsi="Arial"/>
          <w:b w:val="false"/>
          <w:bCs w:val="false"/>
          <w:color w:val="1A1A2E"/>
          <w:sz w:val="20"/>
          <w:szCs w:val="20"/>
        </w:rPr>
        <w:t xml:space="preserve">    5.8  Accessibility (A11y) Standards</w:t>
      </w:r>
    </w:p>
    <w:p>
      <w:pPr>
        <w:spacing w:before="40" w:after="40"/>
      </w:pPr>
      <w:r>
        <w:rPr>
          <w:rFonts w:ascii="Arial" w:cs="Arial" w:eastAsia="Arial" w:hAnsi="Arial"/>
          <w:b w:val="false"/>
          <w:bCs w:val="false"/>
          <w:color w:val="1A1A2E"/>
          <w:sz w:val="20"/>
          <w:szCs w:val="20"/>
        </w:rPr>
        <w:t xml:space="preserve">    5.9  Responsive Design Rules</w:t>
      </w:r>
    </w:p>
    <w:p>
      <w:pPr>
        <w:spacing w:before="40" w:after="40"/>
      </w:pPr>
      <w:r>
        <w:rPr>
          <w:rFonts w:ascii="Arial" w:cs="Arial" w:eastAsia="Arial" w:hAnsi="Arial"/>
          <w:b w:val="false"/>
          <w:bCs w:val="false"/>
          <w:color w:val="1A1A2E"/>
          <w:sz w:val="20"/>
          <w:szCs w:val="20"/>
        </w:rPr>
        <w:t xml:space="preserve">    5.10 Design Tokens Reference</w:t>
      </w:r>
    </w:p>
    <w:p>
      <w:pPr>
        <w:spacing w:before="40" w:after="40"/>
      </w:pPr>
      <w:r>
        <w:rPr>
          <w:rFonts w:ascii="Arial" w:cs="Arial" w:eastAsia="Arial" w:hAnsi="Arial"/>
          <w:b w:val="false"/>
          <w:bCs w:val="false"/>
          <w:color w:val="1A1A2E"/>
          <w:sz w:val="20"/>
          <w:szCs w:val="20"/>
        </w:rPr>
        <w:t xml:space="preserve">    5.11 Design Handoff Checklist</w:t>
      </w:r>
    </w:p>
    <w:p>
      <w:r>
        <w:br w:type="page"/>
      </w:r>
    </w:p>
    <w:p>
      <w:pPr>
        <w:pStyle w:val="Heading1"/>
        <w:pBdr>
          <w:bottom w:val="single" w:color="2E75B6" w:sz="8" w:space="6"/>
        </w:pBdr>
        <w:spacing w:before="360" w:after="160"/>
      </w:pPr>
      <w:r>
        <w:rPr>
          <w:rFonts w:ascii="Arial" w:cs="Arial" w:eastAsia="Arial" w:hAnsi="Arial"/>
          <w:b/>
          <w:bCs/>
          <w:color w:val="1B4F8A"/>
          <w:sz w:val="36"/>
          <w:szCs w:val="36"/>
        </w:rPr>
        <w:t xml:space="preserve">Chapter 1: Introduction</w:t>
      </w:r>
    </w:p>
    <w:p>
      <w:pPr>
        <w:spacing w:before="80" w:after="80"/>
      </w:pPr>
      <w:r>
        <w:t xml:space="preserve"/>
      </w:r>
    </w:p>
    <w:p>
      <w:pPr>
        <w:pStyle w:val="Heading2"/>
        <w:spacing w:before="280" w:after="120"/>
      </w:pPr>
      <w:r>
        <w:rPr>
          <w:rFonts w:ascii="Arial" w:cs="Arial" w:eastAsia="Arial" w:hAnsi="Arial"/>
          <w:b/>
          <w:bCs/>
          <w:color w:val="2E75B6"/>
          <w:sz w:val="28"/>
          <w:szCs w:val="28"/>
        </w:rPr>
        <w:t xml:space="preserve">1.1  Purpose</w:t>
      </w:r>
    </w:p>
    <w:p>
      <w:pPr>
        <w:spacing w:before="60" w:after="100"/>
      </w:pPr>
      <w:r>
        <w:rPr>
          <w:rFonts w:ascii="Arial" w:cs="Arial" w:eastAsia="Arial" w:hAnsi="Arial"/>
          <w:color w:val="1A1A2E"/>
          <w:sz w:val="22"/>
          <w:szCs w:val="22"/>
        </w:rPr>
        <w:t xml:space="preserve">This Software Requirements Specification (SRS) document describes the complete functional and non-functional requirements for ProtMind — a unified, intelligent medical bioinformatics platform designed to consolidate protein research infrastructure into a single coherent system.</w:t>
      </w:r>
    </w:p>
    <w:p>
      <w:pPr>
        <w:spacing w:before="60" w:after="100"/>
      </w:pPr>
      <w:r>
        <w:rPr>
          <w:rFonts w:ascii="Arial" w:cs="Arial" w:eastAsia="Arial" w:hAnsi="Arial"/>
          <w:color w:val="1A1A2E"/>
          <w:sz w:val="22"/>
          <w:szCs w:val="22"/>
        </w:rPr>
        <w:t xml:space="preserve">The purpose of this document is to provide a comprehensive, unambiguous, and verifiable specification of ProtMind's intended behavior, system architecture, data management strategy, and external interface requirements. It serves as the authoritative reference for all development, testing, validation, and stakeholder communication activities throughout the project lifecycle.</w:t>
      </w:r>
    </w:p>
    <w:p>
      <w:pPr>
        <w:spacing w:before="60" w:after="100"/>
      </w:pPr>
      <w:r>
        <w:rPr>
          <w:rFonts w:ascii="Arial" w:cs="Arial" w:eastAsia="Arial" w:hAnsi="Arial"/>
          <w:color w:val="1A1A2E"/>
          <w:sz w:val="22"/>
          <w:szCs w:val="22"/>
        </w:rPr>
        <w:t xml:space="preserve">This document covers all seven development phases: data infrastructure, visualization suite construction, MVP (Model 1 — Protein Function Prediction), explainability and trust layer, Model 2 (Protein-Protein Interaction Prediction), Model 3 (Cross-Species Essentiality and Mutation Analysis), and the final CCA clinical validation and demonstration.</w:t>
      </w:r>
    </w:p>
    <w:p>
      <w:pPr>
        <w:spacing w:before="80" w:after="80"/>
      </w:pPr>
      <w:r>
        <w:t xml:space="preserve"/>
      </w:r>
    </w:p>
    <w:p>
      <w:pPr>
        <w:pStyle w:val="Heading2"/>
        <w:spacing w:before="280" w:after="120"/>
      </w:pPr>
      <w:r>
        <w:rPr>
          <w:rFonts w:ascii="Arial" w:cs="Arial" w:eastAsia="Arial" w:hAnsi="Arial"/>
          <w:b/>
          <w:bCs/>
          <w:color w:val="2E75B6"/>
          <w:sz w:val="28"/>
          <w:szCs w:val="28"/>
        </w:rPr>
        <w:t xml:space="preserve">1.2  Document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Convention</w:t>
            </w:r>
          </w:p>
        </w:tc>
        <w:tc>
          <w:tcPr>
            <w:tcW w:type="dxa" w:w="73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Meaning</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Bold text</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Key terms, system component names, or field names introduced for the first time</w:t>
            </w:r>
          </w:p>
        </w:tc>
      </w:tr>
      <w:tr>
        <w:tc>
          <w:tcPr>
            <w:tcW w:type="dxa" w:w="20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Italics</w:t>
            </w:r>
          </w:p>
        </w:tc>
        <w:tc>
          <w:tcPr>
            <w:tcW w:type="dxa" w:w="73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External tool names, database names, or technical terminology</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FR-XXX</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Functional Requirement identifier (e.g., FR-001 = first functional requirement)</w:t>
            </w:r>
          </w:p>
        </w:tc>
      </w:tr>
      <w:tr>
        <w:tc>
          <w:tcPr>
            <w:tcW w:type="dxa" w:w="20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NFR-XXX</w:t>
            </w:r>
          </w:p>
        </w:tc>
        <w:tc>
          <w:tcPr>
            <w:tcW w:type="dxa" w:w="73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Non-Functional Requirement identifier</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UC-XXX</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Use Case identifier</w:t>
            </w:r>
          </w:p>
        </w:tc>
      </w:tr>
      <w:tr>
        <w:tc>
          <w:tcPr>
            <w:tcW w:type="dxa" w:w="20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[PHASE N]</w:t>
            </w:r>
          </w:p>
        </w:tc>
        <w:tc>
          <w:tcPr>
            <w:tcW w:type="dxa" w:w="73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Requirement or feature scoped to a specific development phase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TBD</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To Be Determined — requires further research or stakeholder input</w:t>
            </w:r>
          </w:p>
        </w:tc>
      </w:tr>
      <w:tr>
        <w:tc>
          <w:tcPr>
            <w:tcW w:type="dxa" w:w="20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API</w:t>
            </w:r>
          </w:p>
        </w:tc>
        <w:tc>
          <w:tcPr>
            <w:tcW w:type="dxa" w:w="73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Application Programming Interface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PDB</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Protein Data Bank — repository of experimentally-determined protein structures</w:t>
            </w:r>
          </w:p>
        </w:tc>
      </w:tr>
      <w:tr>
        <w:tc>
          <w:tcPr>
            <w:tcW w:type="dxa" w:w="20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GO</w:t>
            </w:r>
          </w:p>
        </w:tc>
        <w:tc>
          <w:tcPr>
            <w:tcW w:type="dxa" w:w="73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Gene Ontology — standardized vocabulary for protein function annotation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CCA</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Cholangiocarcinoma — bile duct cancer, used as the anchor validation disease</w:t>
            </w:r>
          </w:p>
        </w:tc>
      </w:tr>
    </w:tbl>
    <w:p>
      <w:pPr>
        <w:spacing w:before="80" w:after="80"/>
      </w:pPr>
      <w:r>
        <w:t xml:space="preserve"/>
      </w:r>
    </w:p>
    <w:p>
      <w:pPr>
        <w:pStyle w:val="Heading2"/>
        <w:spacing w:before="280" w:after="120"/>
      </w:pPr>
      <w:r>
        <w:rPr>
          <w:rFonts w:ascii="Arial" w:cs="Arial" w:eastAsia="Arial" w:hAnsi="Arial"/>
          <w:b/>
          <w:bCs/>
          <w:color w:val="2E75B6"/>
          <w:sz w:val="28"/>
          <w:szCs w:val="28"/>
        </w:rPr>
        <w:t xml:space="preserve">1.3  Intended Audience and Reading Suggestions</w:t>
      </w:r>
    </w:p>
    <w:p>
      <w:pPr>
        <w:spacing w:before="60" w:after="100"/>
      </w:pPr>
      <w:r>
        <w:rPr>
          <w:rFonts w:ascii="Arial" w:cs="Arial" w:eastAsia="Arial" w:hAnsi="Arial"/>
          <w:color w:val="1A1A2E"/>
          <w:sz w:val="22"/>
          <w:szCs w:val="22"/>
        </w:rPr>
        <w:t xml:space="preserve">This document is written for multiple audiences with different reading priorities: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Audience</w:t>
            </w:r>
          </w:p>
        </w:tc>
        <w:tc>
          <w:tcPr>
            <w:tcW w:type="dxa" w:w="67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Recommended Sections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Development Team (Backend/ML)</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Chapters 3 (FR), 4.1 (Architecture), 4.2 (Stack), 4.5 (ERD), 4.6 (Activity Diagrams)</w:t>
            </w:r>
          </w:p>
        </w:tc>
      </w:tr>
      <w:tr>
        <w:tc>
          <w:tcPr>
            <w:tcW w:type="dxa" w:w="2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Frontend / Visualization Engineers</w:t>
            </w:r>
          </w:p>
        </w:tc>
        <w:tc>
          <w:tcPr>
            <w:tcW w:type="dxa" w:w="67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3.1 (UI), 4.3 (Use Cases), 4.8 (Prototype), 4.9 (Tooling)</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Data Scientists / ML Engineers</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1.4–1.6, 2.2, 3.7, 4.1, 4.2</w:t>
            </w:r>
          </w:p>
        </w:tc>
      </w:tr>
      <w:tr>
        <w:tc>
          <w:tcPr>
            <w:tcW w:type="dxa" w:w="2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Research Collaborators &amp; Advisors</w:t>
            </w:r>
          </w:p>
        </w:tc>
        <w:tc>
          <w:tcPr>
            <w:tcW w:type="dxa" w:w="67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Chapters 1 and 2 — overview and scope sections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Clinical / Medical Stakeholders</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1.4, 1.5, 2.3, 2.6, Chapter 3 stakeholder analysis</w:t>
            </w:r>
          </w:p>
        </w:tc>
      </w:tr>
      <w:tr>
        <w:tc>
          <w:tcPr>
            <w:tcW w:type="dxa" w:w="2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QA / Testing Engineers</w:t>
            </w:r>
          </w:p>
        </w:tc>
        <w:tc>
          <w:tcPr>
            <w:tcW w:type="dxa" w:w="67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Chapter 3 FR/NFR, 4.3 Use Case Specs, 4.6 Activity Diagrams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System Administrators</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3.2 (Hardware), 3.3 (Software), 4.1 (Architecture), 4.9 (Tooling)</w:t>
            </w:r>
          </w:p>
        </w:tc>
      </w:tr>
    </w:tbl>
    <w:p>
      <w:pPr>
        <w:spacing w:before="80" w:after="80"/>
      </w:pPr>
      <w:r>
        <w:t xml:space="preserve"/>
      </w:r>
    </w:p>
    <w:p>
      <w:pPr>
        <w:pStyle w:val="Heading2"/>
        <w:spacing w:before="280" w:after="120"/>
      </w:pPr>
      <w:r>
        <w:rPr>
          <w:rFonts w:ascii="Arial" w:cs="Arial" w:eastAsia="Arial" w:hAnsi="Arial"/>
          <w:b/>
          <w:bCs/>
          <w:color w:val="2E75B6"/>
          <w:sz w:val="28"/>
          <w:szCs w:val="28"/>
        </w:rPr>
        <w:t xml:space="preserve">1.4  General Background</w:t>
      </w:r>
    </w:p>
    <w:p>
      <w:pPr>
        <w:spacing w:before="60" w:after="100"/>
      </w:pPr>
      <w:r>
        <w:rPr>
          <w:rFonts w:ascii="Arial" w:cs="Arial" w:eastAsia="Arial" w:hAnsi="Arial"/>
          <w:color w:val="1A1A2E"/>
          <w:sz w:val="22"/>
          <w:szCs w:val="22"/>
        </w:rPr>
        <w:t xml:space="preserve">Modern protein research is operationally fragmented. A researcher studying a disease-linked protein must navigate at minimum four to six separate platforms to complete a single research task: UniProt for sequence and annotation data, AlphaFold DB or SWISS-MODEL for structural prediction, UCSF Chimera or PyMOL for 3D visualization, STRING or BioGRID for interaction data, and DrugBank for pharmacological context. None of these platforms interoperate. Data must be manually transferred between them. Visualization tools require OS-specific desktop installations. The result is that significant researcher time is spent on infrastructure navigation rather than on the biological science itself.</w:t>
      </w:r>
    </w:p>
    <w:p>
      <w:pPr>
        <w:spacing w:before="60" w:after="100"/>
      </w:pPr>
      <w:r>
        <w:rPr>
          <w:rFonts w:ascii="Arial" w:cs="Arial" w:eastAsia="Arial" w:hAnsi="Arial"/>
          <w:color w:val="1A1A2E"/>
          <w:sz w:val="22"/>
          <w:szCs w:val="22"/>
        </w:rPr>
        <w:t xml:space="preserve">Protein Language Models (PLMs) — particularly ESM-2, developed by Meta AI — now provide high-quality learned representations of protein sequences that enable machine learning models to predict protein function, interaction, and mutational effects with accuracy approaching experimental benchmarks. These models have not yet been integrated into accessible, unified research platforms accessible to the broader scientific community without computational expertise.</w:t>
      </w:r>
    </w:p>
    <w:p>
      <w:pPr>
        <w:spacing w:before="60" w:after="100"/>
      </w:pPr>
      <w:r>
        <w:rPr>
          <w:rFonts w:ascii="Arial" w:cs="Arial" w:eastAsia="Arial" w:hAnsi="Arial"/>
          <w:color w:val="1A1A2E"/>
          <w:sz w:val="22"/>
          <w:szCs w:val="22"/>
        </w:rPr>
        <w:t xml:space="preserve">ProtMind addresses both problems simultaneously: it unifies the fragmented tool landscape into one browser-based platform, and it integrates state-of-the-art PLM-based prediction models with full explainability and evidence tracing — accessible to researchers and clinicians without command-line expertise.</w:t>
      </w:r>
    </w:p>
    <w:p>
      <w:pPr>
        <w:spacing w:before="80" w:after="80"/>
      </w:pPr>
      <w:r>
        <w:t xml:space="preserve"/>
      </w:r>
    </w:p>
    <w:p>
      <w:pPr>
        <w:pStyle w:val="Heading2"/>
        <w:spacing w:before="280" w:after="120"/>
      </w:pPr>
      <w:r>
        <w:rPr>
          <w:rFonts w:ascii="Arial" w:cs="Arial" w:eastAsia="Arial" w:hAnsi="Arial"/>
          <w:b/>
          <w:bCs/>
          <w:color w:val="2E75B6"/>
          <w:sz w:val="28"/>
          <w:szCs w:val="28"/>
        </w:rPr>
        <w:t xml:space="preserve">1.5  Research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1B4F8A" w:sz="8"/>
              <w:bottom w:val="single" w:color="2E75B6" w:sz="1"/>
              <w:right w:val="single" w:color="2E75B6" w:sz="1"/>
            </w:tcBorders>
            <w:shd w:fill="EBF3FB" w:val="clear"/>
            <w:tcMar>
              <w:top w:type="dxa" w:w="160"/>
              <w:left w:type="dxa" w:w="220"/>
              <w:bottom w:type="dxa" w:w="160"/>
              <w:right w:type="dxa" w:w="220"/>
            </w:tcMar>
          </w:tcPr>
          <w:p>
            <w:pPr>
              <w:spacing w:before="40" w:after="60"/>
            </w:pPr>
            <w:r>
              <w:rPr>
                <w:rFonts w:ascii="Arial" w:cs="Arial" w:eastAsia="Arial" w:hAnsi="Arial"/>
                <w:b/>
                <w:bCs/>
                <w:color w:val="1B4F8A"/>
                <w:sz w:val="22"/>
                <w:szCs w:val="22"/>
              </w:rPr>
              <w:t xml:space="preserve">Core Research Problem</w:t>
            </w:r>
          </w:p>
          <w:p>
            <w:pPr>
              <w:spacing w:before="40" w:after="40"/>
            </w:pPr>
            <w:r>
              <w:rPr>
                <w:rFonts w:ascii="Arial" w:cs="Arial" w:eastAsia="Arial" w:hAnsi="Arial"/>
                <w:color w:val="1A1A2E"/>
                <w:sz w:val="22"/>
                <w:szCs w:val="22"/>
              </w:rPr>
              <w:t xml:space="preserve">How can an integrated, AI-powered platform unify protein sequence analysis, structural prediction, interaction modeling, and clinical evidence synthesis into a single accessible system that reduces researcher workflow friction, provides explainable and evidence-backed predictions, and produces clinically actionable outputs for rare diseases such as Cholangiocarcinoma?</w:t>
            </w:r>
          </w:p>
        </w:tc>
      </w:tr>
    </w:tbl>
    <w:p>
      <w:pPr>
        <w:spacing w:before="80" w:after="80"/>
      </w:pPr>
      <w:r>
        <w:t xml:space="preserve"/>
      </w:r>
    </w:p>
    <w:p>
      <w:pPr>
        <w:spacing w:before="60" w:after="100"/>
      </w:pPr>
      <w:r>
        <w:rPr>
          <w:rFonts w:ascii="Arial" w:cs="Arial" w:eastAsia="Arial" w:hAnsi="Arial"/>
          <w:color w:val="1A1A2E"/>
          <w:sz w:val="22"/>
          <w:szCs w:val="22"/>
        </w:rPr>
        <w:t xml:space="preserve">The research problem decomposes into four sub-problems:</w:t>
      </w:r>
    </w:p>
    <w:p>
      <w:pPr>
        <w:pStyle w:val="ListParagraph"/>
        <w:numPr>
          <w:ilvl w:val="0"/>
          <w:numId w:val="2"/>
        </w:numPr>
        <w:spacing w:before="50" w:after="50"/>
      </w:pPr>
      <w:r>
        <w:rPr>
          <w:rFonts w:ascii="Arial" w:cs="Arial" w:eastAsia="Arial" w:hAnsi="Arial"/>
          <w:color w:val="1A1A2E"/>
          <w:sz w:val="22"/>
          <w:szCs w:val="22"/>
        </w:rPr>
        <w:t xml:space="preserve">Infrastructure Fragmentation: Bioinformatics workflows require 4–6 separate platforms with no interoperability, imposing significant overhead on every research task.</w:t>
      </w:r>
    </w:p>
    <w:p>
      <w:pPr>
        <w:pStyle w:val="ListParagraph"/>
        <w:numPr>
          <w:ilvl w:val="0"/>
          <w:numId w:val="2"/>
        </w:numPr>
        <w:spacing w:before="50" w:after="50"/>
      </w:pPr>
      <w:r>
        <w:rPr>
          <w:rFonts w:ascii="Arial" w:cs="Arial" w:eastAsia="Arial" w:hAnsi="Arial"/>
          <w:color w:val="1A1A2E"/>
          <w:sz w:val="22"/>
          <w:szCs w:val="22"/>
        </w:rPr>
        <w:t xml:space="preserve">OS and Access Barriers: State-of-the-art 3D visualization tools require desktop installation on specific OS configurations, excluding researchers without those configurations.</w:t>
      </w:r>
    </w:p>
    <w:p>
      <w:pPr>
        <w:pStyle w:val="ListParagraph"/>
        <w:numPr>
          <w:ilvl w:val="0"/>
          <w:numId w:val="2"/>
        </w:numPr>
        <w:spacing w:before="50" w:after="50"/>
      </w:pPr>
      <w:r>
        <w:rPr>
          <w:rFonts w:ascii="Arial" w:cs="Arial" w:eastAsia="Arial" w:hAnsi="Arial"/>
          <w:color w:val="1A1A2E"/>
          <w:sz w:val="22"/>
          <w:szCs w:val="22"/>
        </w:rPr>
        <w:t xml:space="preserve">Black-Box AI Predictions: Existing AI-based protein function and interaction predictors return scores without biological explanation, limiting their utility and trustworthiness for clinical applications.</w:t>
      </w:r>
    </w:p>
    <w:p>
      <w:pPr>
        <w:pStyle w:val="ListParagraph"/>
        <w:numPr>
          <w:ilvl w:val="0"/>
          <w:numId w:val="2"/>
        </w:numPr>
        <w:spacing w:before="50" w:after="50"/>
      </w:pPr>
      <w:r>
        <w:rPr>
          <w:rFonts w:ascii="Arial" w:cs="Arial" w:eastAsia="Arial" w:hAnsi="Arial"/>
          <w:color w:val="1A1A2E"/>
          <w:sz w:val="22"/>
          <w:szCs w:val="22"/>
        </w:rPr>
        <w:t xml:space="preserve">Rare Disease Research Gaps: Diseases like Cholangiocarcinoma (CCA) are understudied at the protein level despite available genomic data, creating a gap that better tooling could begin to close.</w:t>
      </w:r>
    </w:p>
    <w:p>
      <w:pPr>
        <w:spacing w:before="80" w:after="80"/>
      </w:pPr>
      <w:r>
        <w:t xml:space="preserve"/>
      </w:r>
    </w:p>
    <w:p>
      <w:pPr>
        <w:pStyle w:val="Heading2"/>
        <w:spacing w:before="280" w:after="120"/>
      </w:pPr>
      <w:r>
        <w:rPr>
          <w:rFonts w:ascii="Arial" w:cs="Arial" w:eastAsia="Arial" w:hAnsi="Arial"/>
          <w:b/>
          <w:bCs/>
          <w:color w:val="2E75B6"/>
          <w:sz w:val="28"/>
          <w:szCs w:val="28"/>
        </w:rPr>
        <w:t xml:space="preserve">1.6  Product Scope</w:t>
      </w:r>
    </w:p>
    <w:p>
      <w:pPr>
        <w:spacing w:before="60" w:after="100"/>
      </w:pPr>
      <w:r>
        <w:rPr>
          <w:rFonts w:ascii="Arial" w:cs="Arial" w:eastAsia="Arial" w:hAnsi="Arial"/>
          <w:color w:val="1A1A2E"/>
          <w:sz w:val="22"/>
          <w:szCs w:val="22"/>
        </w:rPr>
        <w:t xml:space="preserve">ProtMind is a web-based unified bioinformatics research platform. Its scope encompasses: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In Scope</w:t>
            </w:r>
          </w:p>
        </w:tc>
        <w:tc>
          <w:tcPr>
            <w:tcW w:type="dxa" w:w="57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Out of Scope</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Browser-based 3D protein structure visualization</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Native desktop application development</w:t>
            </w:r>
          </w:p>
        </w:tc>
      </w:tr>
      <w:tr>
        <w:tc>
          <w:tcPr>
            <w:tcW w:type="dxa" w:w="3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AI-powered protein function prediction (GO MF terms)</w:t>
            </w:r>
          </w:p>
        </w:tc>
        <w:tc>
          <w:tcPr>
            <w:tcW w:type="dxa" w:w="57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Protein structure determination from raw experimental data (NMR/X-ray)</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Protein-protein interaction prediction and visualization</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Drug discovery pipeline execution (wet-lab integration)</w:t>
            </w:r>
          </w:p>
        </w:tc>
      </w:tr>
      <w:tr>
        <w:tc>
          <w:tcPr>
            <w:tcW w:type="dxa" w:w="3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Cross-species essentiality and mutation effect prediction</w:t>
            </w:r>
          </w:p>
        </w:tc>
        <w:tc>
          <w:tcPr>
            <w:tcW w:type="dxa" w:w="57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Electronic Health Record (EHR) integration</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CCA biomarker and drug target candidate identification</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Clinical trial management or patient-facing medical tools</w:t>
            </w:r>
          </w:p>
        </w:tc>
      </w:tr>
      <w:tr>
        <w:tc>
          <w:tcPr>
            <w:tcW w:type="dxa" w:w="3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Evidence-backed explainability for all predictions</w:t>
            </w:r>
          </w:p>
        </w:tc>
        <w:tc>
          <w:tcPr>
            <w:tcW w:type="dxa" w:w="57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Real-time genomic sequencing data ingestion</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Unified dashboard with natural language and direct tool access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Full-genome variant calling pipelines</w:t>
            </w:r>
          </w:p>
        </w:tc>
      </w:tr>
      <w:tr>
        <w:tc>
          <w:tcPr>
            <w:tcW w:type="dxa" w:w="3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Data sourced from UniProt, GO, PDB, AlphaFold, BioGRID, STRING, DrugBank, TCGA</w:t>
            </w:r>
          </w:p>
        </w:tc>
        <w:tc>
          <w:tcPr>
            <w:tcW w:type="dxa" w:w="57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Proprietary or non-public database integration</w:t>
            </w:r>
          </w:p>
        </w:tc>
      </w:tr>
    </w:tbl>
    <w:p>
      <w:pPr>
        <w:spacing w:before="80" w:after="80"/>
      </w:pPr>
      <w:r>
        <w:t xml:space="preserve"/>
      </w:r>
    </w:p>
    <w:p>
      <w:pPr>
        <w:pStyle w:val="Heading2"/>
        <w:spacing w:before="280" w:after="120"/>
      </w:pPr>
      <w:r>
        <w:rPr>
          <w:rFonts w:ascii="Arial" w:cs="Arial" w:eastAsia="Arial" w:hAnsi="Arial"/>
          <w:b/>
          <w:bCs/>
          <w:color w:val="2E75B6"/>
          <w:sz w:val="28"/>
          <w:szCs w:val="28"/>
        </w:rPr>
        <w:t xml:space="preserve">1.7  Project Objectives</w:t>
      </w:r>
    </w:p>
    <w:p>
      <w:pPr>
        <w:pStyle w:val="ListParagraph"/>
        <w:numPr>
          <w:ilvl w:val="0"/>
          <w:numId w:val="2"/>
        </w:numPr>
        <w:spacing w:before="50" w:after="50"/>
      </w:pPr>
      <w:r>
        <w:rPr>
          <w:rFonts w:ascii="Arial" w:cs="Arial" w:eastAsia="Arial" w:hAnsi="Arial"/>
          <w:color w:val="1A1A2E"/>
          <w:sz w:val="22"/>
          <w:szCs w:val="22"/>
        </w:rPr>
        <w:t xml:space="preserve">Build a clean, version-controlled, reproducible biological dataset from six major public databases with full data cards and pipeline documentation.</w:t>
      </w:r>
    </w:p>
    <w:p>
      <w:pPr>
        <w:pStyle w:val="ListParagraph"/>
        <w:numPr>
          <w:ilvl w:val="0"/>
          <w:numId w:val="2"/>
        </w:numPr>
        <w:spacing w:before="50" w:after="50"/>
      </w:pPr>
      <w:r>
        <w:rPr>
          <w:rFonts w:ascii="Arial" w:cs="Arial" w:eastAsia="Arial" w:hAnsi="Arial"/>
          <w:color w:val="1A1A2E"/>
          <w:sz w:val="22"/>
          <w:szCs w:val="22"/>
        </w:rPr>
        <w:t xml:space="preserve">Deliver six standalone browser-based visualization tools that replace the current multi-platform desktop workflow for protein structure exploration.</w:t>
      </w:r>
    </w:p>
    <w:p>
      <w:pPr>
        <w:pStyle w:val="ListParagraph"/>
        <w:numPr>
          <w:ilvl w:val="0"/>
          <w:numId w:val="2"/>
        </w:numPr>
        <w:spacing w:before="50" w:after="50"/>
      </w:pPr>
      <w:r>
        <w:rPr>
          <w:rFonts w:ascii="Arial" w:cs="Arial" w:eastAsia="Arial" w:hAnsi="Arial"/>
          <w:color w:val="1A1A2E"/>
          <w:sz w:val="22"/>
          <w:szCs w:val="22"/>
        </w:rPr>
        <w:t xml:space="preserve">Train and deploy a protein function prediction model (Model 1) using ESM-2 embeddings with residue-level explainability, evaluated on Fmax, AUPR, and MCC.</w:t>
      </w:r>
    </w:p>
    <w:p>
      <w:pPr>
        <w:pStyle w:val="ListParagraph"/>
        <w:numPr>
          <w:ilvl w:val="0"/>
          <w:numId w:val="2"/>
        </w:numPr>
        <w:spacing w:before="50" w:after="50"/>
      </w:pPr>
      <w:r>
        <w:rPr>
          <w:rFonts w:ascii="Arial" w:cs="Arial" w:eastAsia="Arial" w:hAnsi="Arial"/>
          <w:color w:val="1A1A2E"/>
          <w:sz w:val="22"/>
          <w:szCs w:val="22"/>
        </w:rPr>
        <w:t xml:space="preserve">Implement a full trust and evidence layer that makes every prediction verifiable, calibrated, and traceable to source databases and literature.</w:t>
      </w:r>
    </w:p>
    <w:p>
      <w:pPr>
        <w:pStyle w:val="ListParagraph"/>
        <w:numPr>
          <w:ilvl w:val="0"/>
          <w:numId w:val="2"/>
        </w:numPr>
        <w:spacing w:before="50" w:after="50"/>
      </w:pPr>
      <w:r>
        <w:rPr>
          <w:rFonts w:ascii="Arial" w:cs="Arial" w:eastAsia="Arial" w:hAnsi="Arial"/>
          <w:color w:val="1A1A2E"/>
          <w:sz w:val="22"/>
          <w:szCs w:val="22"/>
        </w:rPr>
        <w:t xml:space="preserve">Train and deploy a protein-protein interaction prediction model (Model 2) with structural binding interface visualization and pharmacological context.</w:t>
      </w:r>
    </w:p>
    <w:p>
      <w:pPr>
        <w:pStyle w:val="ListParagraph"/>
        <w:numPr>
          <w:ilvl w:val="0"/>
          <w:numId w:val="2"/>
        </w:numPr>
        <w:spacing w:before="50" w:after="50"/>
      </w:pPr>
      <w:r>
        <w:rPr>
          <w:rFonts w:ascii="Arial" w:cs="Arial" w:eastAsia="Arial" w:hAnsi="Arial"/>
          <w:color w:val="1A1A2E"/>
          <w:sz w:val="22"/>
          <w:szCs w:val="22"/>
        </w:rPr>
        <w:t xml:space="preserve">Train and deploy a cross-species essentiality and mutation effect prediction model (Model 3) with structural comparison and RMSD quantification.</w:t>
      </w:r>
    </w:p>
    <w:p>
      <w:pPr>
        <w:pStyle w:val="ListParagraph"/>
        <w:numPr>
          <w:ilvl w:val="0"/>
          <w:numId w:val="2"/>
        </w:numPr>
        <w:spacing w:before="50" w:after="50"/>
      </w:pPr>
      <w:r>
        <w:rPr>
          <w:rFonts w:ascii="Arial" w:cs="Arial" w:eastAsia="Arial" w:hAnsi="Arial"/>
          <w:color w:val="1A1A2E"/>
          <w:sz w:val="22"/>
          <w:szCs w:val="22"/>
        </w:rPr>
        <w:t xml:space="preserve">Produce a complete end-to-end clinical demonstration using CCA TCGA data — from raw expression profiles to ranked, evidence-backed biomarker and drug target candidates.</w:t>
      </w:r>
    </w:p>
    <w:p>
      <w:pPr>
        <w:pStyle w:val="ListParagraph"/>
        <w:numPr>
          <w:ilvl w:val="0"/>
          <w:numId w:val="2"/>
        </w:numPr>
        <w:spacing w:before="50" w:after="50"/>
      </w:pPr>
      <w:r>
        <w:rPr>
          <w:rFonts w:ascii="Arial" w:cs="Arial" w:eastAsia="Arial" w:hAnsi="Arial"/>
          <w:color w:val="1A1A2E"/>
          <w:sz w:val="22"/>
          <w:szCs w:val="22"/>
        </w:rPr>
        <w:t xml:space="preserve">Deliver a fully documented, reproducible codebase suitable for academic publication and continued development.</w:t>
      </w:r>
    </w:p>
    <w:p>
      <w:pPr>
        <w:spacing w:before="80" w:after="80"/>
      </w:pPr>
      <w:r>
        <w:t xml:space="preserve"/>
      </w:r>
    </w:p>
    <w:p>
      <w:pPr>
        <w:pStyle w:val="Heading2"/>
        <w:spacing w:before="280" w:after="120"/>
      </w:pPr>
      <w:r>
        <w:rPr>
          <w:rFonts w:ascii="Arial" w:cs="Arial" w:eastAsia="Arial" w:hAnsi="Arial"/>
          <w:b/>
          <w:bCs/>
          <w:color w:val="2E75B6"/>
          <w:sz w:val="28"/>
          <w:szCs w:val="28"/>
        </w:rPr>
        <w:t xml:space="preserve">1.8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Reference</w:t>
            </w:r>
          </w:p>
        </w:tc>
        <w:tc>
          <w:tcPr>
            <w:tcW w:type="dxa" w:w="67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Source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UniProt Knowledgebase (Swiss-Prot)</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https://www.uniprot.org — reviewed protein entries only</w:t>
            </w:r>
          </w:p>
        </w:tc>
      </w:tr>
      <w:tr>
        <w:tc>
          <w:tcPr>
            <w:tcW w:type="dxa" w:w="2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Gene Ontology (GO) and GOA</w:t>
            </w:r>
          </w:p>
        </w:tc>
        <w:tc>
          <w:tcPr>
            <w:tcW w:type="dxa" w:w="67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https://geneontology.org — experimental evidence codes only</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Protein Data Bank (PDB)</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https://www.rcsb.org — experimentally determined structures</w:t>
            </w:r>
          </w:p>
        </w:tc>
      </w:tr>
      <w:tr>
        <w:tc>
          <w:tcPr>
            <w:tcW w:type="dxa" w:w="2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AlphaFold Protein Structure Database</w:t>
            </w:r>
          </w:p>
        </w:tc>
        <w:tc>
          <w:tcPr>
            <w:tcW w:type="dxa" w:w="67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https://alphafold.ebi.ac.uk — AI-predicted structures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SWISS-MODEL Homology Modeling</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https://swissmodel.expasy.org</w:t>
            </w:r>
          </w:p>
        </w:tc>
      </w:tr>
      <w:tr>
        <w:tc>
          <w:tcPr>
            <w:tcW w:type="dxa" w:w="2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BioGRID Interaction Database</w:t>
            </w:r>
          </w:p>
        </w:tc>
        <w:tc>
          <w:tcPr>
            <w:tcW w:type="dxa" w:w="67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https://thebiogrid.org</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STRING Interaction Network</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https://string-db.org</w:t>
            </w:r>
          </w:p>
        </w:tc>
      </w:tr>
      <w:tr>
        <w:tc>
          <w:tcPr>
            <w:tcW w:type="dxa" w:w="2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DrugBank — Drug and Target Database</w:t>
            </w:r>
          </w:p>
        </w:tc>
        <w:tc>
          <w:tcPr>
            <w:tcW w:type="dxa" w:w="67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https://www.drugbank.com</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TCGA via NCI GDC</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https://portal.gdc.cancer.gov — CCA expression data</w:t>
            </w:r>
          </w:p>
        </w:tc>
      </w:tr>
      <w:tr>
        <w:tc>
          <w:tcPr>
            <w:tcW w:type="dxa" w:w="2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ESM-2 Protein Language Model</w:t>
            </w:r>
          </w:p>
        </w:tc>
        <w:tc>
          <w:tcPr>
            <w:tcW w:type="dxa" w:w="67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Lin et al., 2023. Meta AI Research</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Mol* 3D Viewer</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https://molstar.org — WebGL-based browser protein viewer</w:t>
            </w:r>
          </w:p>
        </w:tc>
      </w:tr>
      <w:tr>
        <w:tc>
          <w:tcPr>
            <w:tcW w:type="dxa" w:w="2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3Dmol.js</w:t>
            </w:r>
          </w:p>
        </w:tc>
        <w:tc>
          <w:tcPr>
            <w:tcW w:type="dxa" w:w="67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https://3dmol.csb.pitt.edu — alternative WebGL viewer</w:t>
            </w:r>
          </w:p>
        </w:tc>
      </w:tr>
    </w:tbl>
    <w:p>
      <w:pPr>
        <w:pBdr>
          <w:bottom w:val="single" w:color="D0E4F5" w:sz="3" w:space="1"/>
        </w:pBdr>
        <w:spacing w:before="180" w:after="180"/>
      </w:pPr>
      <w:r>
        <w:t xml:space="preserve"/>
      </w:r>
    </w:p>
    <w:p>
      <w:r>
        <w:br w:type="page"/>
      </w:r>
    </w:p>
    <w:p>
      <w:pPr>
        <w:pStyle w:val="Heading1"/>
        <w:pBdr>
          <w:bottom w:val="single" w:color="2E75B6" w:sz="8" w:space="6"/>
        </w:pBdr>
        <w:spacing w:before="360" w:after="160"/>
      </w:pPr>
      <w:r>
        <w:rPr>
          <w:rFonts w:ascii="Arial" w:cs="Arial" w:eastAsia="Arial" w:hAnsi="Arial"/>
          <w:b/>
          <w:bCs/>
          <w:color w:val="1B4F8A"/>
          <w:sz w:val="36"/>
          <w:szCs w:val="36"/>
        </w:rPr>
        <w:t xml:space="preserve">Chapter 2: Overall Description</w:t>
      </w:r>
    </w:p>
    <w:p>
      <w:pPr>
        <w:spacing w:before="80" w:after="80"/>
      </w:pPr>
      <w:r>
        <w:t xml:space="preserve"/>
      </w:r>
    </w:p>
    <w:p>
      <w:pPr>
        <w:pStyle w:val="Heading2"/>
        <w:spacing w:before="280" w:after="120"/>
      </w:pPr>
      <w:r>
        <w:rPr>
          <w:rFonts w:ascii="Arial" w:cs="Arial" w:eastAsia="Arial" w:hAnsi="Arial"/>
          <w:b/>
          <w:bCs/>
          <w:color w:val="2E75B6"/>
          <w:sz w:val="28"/>
          <w:szCs w:val="28"/>
        </w:rPr>
        <w:t xml:space="preserve">2.1  Product Perspective</w:t>
      </w:r>
    </w:p>
    <w:p>
      <w:pPr>
        <w:spacing w:before="60" w:after="100"/>
      </w:pPr>
      <w:r>
        <w:rPr>
          <w:rFonts w:ascii="Arial" w:cs="Arial" w:eastAsia="Arial" w:hAnsi="Arial"/>
          <w:color w:val="1A1A2E"/>
          <w:sz w:val="22"/>
          <w:szCs w:val="22"/>
        </w:rPr>
        <w:t xml:space="preserve">ProtMind is a new, self-contained system that does not replace any single existing product but replaces the workflow that currently requires several products used in combination. It sits in the intersection of three product categories: bioinformatics portals (UniProt, NCBI), structure visualization tools (UCSF Chimera, PyMOL), and AI prediction platforms (AlphaFold, PredictProtein).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1B4F8A" w:sz="8"/>
              <w:bottom w:val="single" w:color="2E75B6" w:sz="1"/>
              <w:right w:val="single" w:color="2E75B6" w:sz="1"/>
            </w:tcBorders>
            <w:shd w:fill="EBF3FB" w:val="clear"/>
            <w:tcMar>
              <w:top w:type="dxa" w:w="160"/>
              <w:left w:type="dxa" w:w="220"/>
              <w:bottom w:type="dxa" w:w="160"/>
              <w:right w:type="dxa" w:w="220"/>
            </w:tcMar>
          </w:tcPr>
          <w:p>
            <w:pPr>
              <w:spacing w:before="40" w:after="60"/>
            </w:pPr>
            <w:r>
              <w:rPr>
                <w:rFonts w:ascii="Arial" w:cs="Arial" w:eastAsia="Arial" w:hAnsi="Arial"/>
                <w:b/>
                <w:bCs/>
                <w:color w:val="1B4F8A"/>
                <w:sz w:val="22"/>
                <w:szCs w:val="22"/>
              </w:rPr>
              <w:t xml:space="preserve">System Context</w:t>
            </w:r>
          </w:p>
          <w:p>
            <w:pPr>
              <w:spacing w:before="40" w:after="40"/>
            </w:pPr>
            <w:r>
              <w:rPr>
                <w:rFonts w:ascii="Arial" w:cs="Arial" w:eastAsia="Arial" w:hAnsi="Arial"/>
                <w:color w:val="1A1A2E"/>
                <w:sz w:val="22"/>
                <w:szCs w:val="22"/>
              </w:rPr>
              <w:t xml:space="preserve">ProtMind is positioned as a research decision-support platform, not a standalone automated pipeline. It provides the researcher with enhanced tools, AI-generated predictions, and unified evidence — but the researcher remains the scientific decision-maker. Every output is designed to support judgment, not to replace it.</w:t>
            </w:r>
          </w:p>
        </w:tc>
      </w:tr>
    </w:tbl>
    <w:p>
      <w:pPr>
        <w:spacing w:before="80" w:after="80"/>
      </w:pPr>
      <w:r>
        <w:t xml:space="preserve"/>
      </w:r>
    </w:p>
    <w:p>
      <w:pPr>
        <w:spacing w:before="60" w:after="100"/>
      </w:pPr>
      <w:r>
        <w:rPr>
          <w:rFonts w:ascii="Arial" w:cs="Arial" w:eastAsia="Arial" w:hAnsi="Arial"/>
          <w:color w:val="1A1A2E"/>
          <w:sz w:val="22"/>
          <w:szCs w:val="22"/>
        </w:rPr>
        <w:t xml:space="preserve">The system interacts with the following external systems through APIs and data ingestion pipelines:</w:t>
      </w:r>
    </w:p>
    <w:p>
      <w:pPr>
        <w:pStyle w:val="ListParagraph"/>
        <w:numPr>
          <w:ilvl w:val="0"/>
          <w:numId w:val="3"/>
        </w:numPr>
        <w:spacing w:before="50" w:after="50"/>
      </w:pPr>
      <w:r>
        <w:rPr>
          <w:rFonts w:ascii="Arial" w:cs="Arial" w:eastAsia="Arial" w:hAnsi="Arial"/>
          <w:color w:val="1A1A2E"/>
          <w:sz w:val="22"/>
          <w:szCs w:val="22"/>
        </w:rPr>
        <w:t xml:space="preserve">AlphaFold DB — queried for existing predicted structures via REST API</w:t>
      </w:r>
    </w:p>
    <w:p>
      <w:pPr>
        <w:pStyle w:val="ListParagraph"/>
        <w:numPr>
          <w:ilvl w:val="0"/>
          <w:numId w:val="3"/>
        </w:numPr>
        <w:spacing w:before="50" w:after="50"/>
      </w:pPr>
      <w:r>
        <w:rPr>
          <w:rFonts w:ascii="Arial" w:cs="Arial" w:eastAsia="Arial" w:hAnsi="Arial"/>
          <w:color w:val="1A1A2E"/>
          <w:sz w:val="22"/>
          <w:szCs w:val="22"/>
        </w:rPr>
        <w:t xml:space="preserve">SWISS-MODEL — called for homology modeling for sequences not covered by AlphaFold</w:t>
      </w:r>
    </w:p>
    <w:p>
      <w:pPr>
        <w:pStyle w:val="ListParagraph"/>
        <w:numPr>
          <w:ilvl w:val="0"/>
          <w:numId w:val="3"/>
        </w:numPr>
        <w:spacing w:before="50" w:after="50"/>
      </w:pPr>
      <w:r>
        <w:rPr>
          <w:rFonts w:ascii="Arial" w:cs="Arial" w:eastAsia="Arial" w:hAnsi="Arial"/>
          <w:color w:val="1A1A2E"/>
          <w:sz w:val="22"/>
          <w:szCs w:val="22"/>
        </w:rPr>
        <w:t xml:space="preserve">UniProt REST API — protein sequence and annotation retrieval</w:t>
      </w:r>
    </w:p>
    <w:p>
      <w:pPr>
        <w:pStyle w:val="ListParagraph"/>
        <w:numPr>
          <w:ilvl w:val="0"/>
          <w:numId w:val="3"/>
        </w:numPr>
        <w:spacing w:before="50" w:after="50"/>
      </w:pPr>
      <w:r>
        <w:rPr>
          <w:rFonts w:ascii="Arial" w:cs="Arial" w:eastAsia="Arial" w:hAnsi="Arial"/>
          <w:color w:val="1A1A2E"/>
          <w:sz w:val="22"/>
          <w:szCs w:val="22"/>
        </w:rPr>
        <w:t xml:space="preserve">PDB REST API — experimental structure retrieval</w:t>
      </w:r>
    </w:p>
    <w:p>
      <w:pPr>
        <w:pStyle w:val="ListParagraph"/>
        <w:numPr>
          <w:ilvl w:val="0"/>
          <w:numId w:val="3"/>
        </w:numPr>
        <w:spacing w:before="50" w:after="50"/>
      </w:pPr>
      <w:r>
        <w:rPr>
          <w:rFonts w:ascii="Arial" w:cs="Arial" w:eastAsia="Arial" w:hAnsi="Arial"/>
          <w:color w:val="1A1A2E"/>
          <w:sz w:val="22"/>
          <w:szCs w:val="22"/>
        </w:rPr>
        <w:t xml:space="preserve">STRING API — protein interaction network data</w:t>
      </w:r>
    </w:p>
    <w:p>
      <w:pPr>
        <w:pStyle w:val="ListParagraph"/>
        <w:numPr>
          <w:ilvl w:val="0"/>
          <w:numId w:val="3"/>
        </w:numPr>
        <w:spacing w:before="50" w:after="50"/>
      </w:pPr>
      <w:r>
        <w:rPr>
          <w:rFonts w:ascii="Arial" w:cs="Arial" w:eastAsia="Arial" w:hAnsi="Arial"/>
          <w:color w:val="1A1A2E"/>
          <w:sz w:val="22"/>
          <w:szCs w:val="22"/>
        </w:rPr>
        <w:t xml:space="preserve">DrugBank — pharmacological compound and target data</w:t>
      </w:r>
    </w:p>
    <w:p>
      <w:pPr>
        <w:pStyle w:val="ListParagraph"/>
        <w:numPr>
          <w:ilvl w:val="0"/>
          <w:numId w:val="3"/>
        </w:numPr>
        <w:spacing w:before="50" w:after="50"/>
      </w:pPr>
      <w:r>
        <w:rPr>
          <w:rFonts w:ascii="Arial" w:cs="Arial" w:eastAsia="Arial" w:hAnsi="Arial"/>
          <w:color w:val="1A1A2E"/>
          <w:sz w:val="22"/>
          <w:szCs w:val="22"/>
        </w:rPr>
        <w:t xml:space="preserve">TCGA / NCI GDC — CCA expression and genomic data (ingested into local database)</w:t>
      </w:r>
    </w:p>
    <w:p>
      <w:pPr>
        <w:spacing w:before="80" w:after="80"/>
      </w:pPr>
      <w:r>
        <w:t xml:space="preserve"/>
      </w:r>
    </w:p>
    <w:p>
      <w:pPr>
        <w:pStyle w:val="Heading2"/>
        <w:spacing w:before="280" w:after="120"/>
      </w:pPr>
      <w:r>
        <w:rPr>
          <w:rFonts w:ascii="Arial" w:cs="Arial" w:eastAsia="Arial" w:hAnsi="Arial"/>
          <w:b/>
          <w:bCs/>
          <w:color w:val="2E75B6"/>
          <w:sz w:val="28"/>
          <w:szCs w:val="28"/>
        </w:rPr>
        <w:t xml:space="preserve">2.2  Product Functions</w:t>
      </w:r>
    </w:p>
    <w:p>
      <w:pPr>
        <w:spacing w:before="60" w:after="100"/>
      </w:pPr>
      <w:r>
        <w:rPr>
          <w:rFonts w:ascii="Arial" w:cs="Arial" w:eastAsia="Arial" w:hAnsi="Arial"/>
          <w:color w:val="1A1A2E"/>
          <w:sz w:val="22"/>
          <w:szCs w:val="22"/>
        </w:rPr>
        <w:t xml:space="preserve">ProtMind's top-level functions are organized by the five system layers: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Function Category</w:t>
            </w:r>
          </w:p>
        </w:tc>
        <w:tc>
          <w:tcPr>
            <w:tcW w:type="dxa" w:w="65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Key Capabilities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Data Management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Ingest, normalize, version, and serve data from 6 public databases; time-based train/test splitting</w:t>
            </w:r>
          </w:p>
        </w:tc>
      </w:tr>
      <w:tr>
        <w:tc>
          <w:tcPr>
            <w:tcW w:type="dxa" w:w="28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Visualization Suite</w:t>
            </w:r>
          </w:p>
        </w:tc>
        <w:tc>
          <w:tcPr>
            <w:tcW w:type="dxa" w:w="65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6 standalone browser-based tools: structure builder, 3D viewer, sequence annotator, structure comparator, interaction network, expression heatmap</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Protein Function Prediction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ESM-2 + MLP/XGBoost; GO MF term prediction with confidence scores and residue-level explainability</w:t>
            </w:r>
          </w:p>
        </w:tc>
      </w:tr>
      <w:tr>
        <w:tc>
          <w:tcPr>
            <w:tcW w:type="dxa" w:w="28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PPI Prediction</w:t>
            </w:r>
          </w:p>
        </w:tc>
        <w:tc>
          <w:tcPr>
            <w:tcW w:type="dxa" w:w="65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Paired ESM-2 embeddings; interaction type, residues, binding interface, pharmacological relevance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Essentiality &amp; Mutation Analysis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Cross-species PLM; essentiality scores, mutation impact (neutral/mildly/severely disruptive), RMSD comparison</w:t>
            </w:r>
          </w:p>
        </w:tc>
      </w:tr>
      <w:tr>
        <w:tc>
          <w:tcPr>
            <w:tcW w:type="dxa" w:w="28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Explainability &amp; Trust</w:t>
            </w:r>
          </w:p>
        </w:tc>
        <w:tc>
          <w:tcPr>
            <w:tcW w:type="dxa" w:w="65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Evidence Graph, calibration curves, attention heatmaps, citation-ready references for every prediction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CCA Clinical Demonstration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End-to-end TCGA pipeline: differential expression → candidate ranking → biomarker/drug target identification</w:t>
            </w:r>
          </w:p>
        </w:tc>
      </w:tr>
      <w:tr>
        <w:tc>
          <w:tcPr>
            <w:tcW w:type="dxa" w:w="28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Research Dashboard</w:t>
            </w:r>
          </w:p>
        </w:tc>
        <w:tc>
          <w:tcPr>
            <w:tcW w:type="dxa" w:w="65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Unified web interface: natural language queries + direct tool access on any OS, any browser</w:t>
            </w:r>
          </w:p>
        </w:tc>
      </w:tr>
    </w:tbl>
    <w:p>
      <w:pPr>
        <w:spacing w:before="80" w:after="80"/>
      </w:pPr>
      <w:r>
        <w:t xml:space="preserve"/>
      </w:r>
    </w:p>
    <w:p>
      <w:pPr>
        <w:pStyle w:val="Heading2"/>
        <w:spacing w:before="280" w:after="120"/>
      </w:pPr>
      <w:r>
        <w:rPr>
          <w:rFonts w:ascii="Arial" w:cs="Arial" w:eastAsia="Arial" w:hAnsi="Arial"/>
          <w:b/>
          <w:bCs/>
          <w:color w:val="2E75B6"/>
          <w:sz w:val="28"/>
          <w:szCs w:val="28"/>
        </w:rPr>
        <w:t xml:space="preserve">2.3  User Classes and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1400"/>
        <w:gridCol w:w="3360"/>
      </w:tblGrid>
      <w:tr>
        <w:tc>
          <w:tcPr>
            <w:tcW w:type="dxa" w:w="16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User Class</w:t>
            </w:r>
          </w:p>
        </w:tc>
        <w:tc>
          <w:tcPr>
            <w:tcW w:type="dxa" w:w="30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14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Technical Level</w:t>
            </w:r>
          </w:p>
        </w:tc>
        <w:tc>
          <w:tcPr>
            <w:tcW w:type="dxa" w:w="33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Primary Use</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Biomedical Researcher</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Academic or industry researcher studying protein biology</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High — domain expert, moderate computational</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Protein function queries, structure exploration, literature synthesis</w:t>
            </w:r>
          </w:p>
        </w:tc>
      </w:tr>
      <w:tr>
        <w:tc>
          <w:tcPr>
            <w:tcW w:type="dxa" w:w="1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Computational Biologist</w:t>
            </w:r>
          </w:p>
        </w:tc>
        <w:tc>
          <w:tcPr>
            <w:tcW w:type="dxa" w:w="30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Researcher with strong computational and bioinformatics background</w:t>
            </w:r>
          </w:p>
        </w:tc>
        <w:tc>
          <w:tcPr>
            <w:tcW w:type="dxa" w:w="14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Very high — comfortable with APIs, pipelines</w:t>
            </w:r>
          </w:p>
        </w:tc>
        <w:tc>
          <w:tcPr>
            <w:tcW w:type="dxa" w:w="33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Model outputs, data exports, pipeline integration</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Clinician / Medical Professional</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Doctor or clinical scientist evaluating protein-level disease mechanisms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Low-moderate — domain expert, minimal computation</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Evidence graphs, CCA candidate lists, structured reports</w:t>
            </w:r>
          </w:p>
        </w:tc>
      </w:tr>
      <w:tr>
        <w:tc>
          <w:tcPr>
            <w:tcW w:type="dxa" w:w="1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Graduate Student</w:t>
            </w:r>
          </w:p>
        </w:tc>
        <w:tc>
          <w:tcPr>
            <w:tcW w:type="dxa" w:w="30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Masters or PhD student learning protein research methods</w:t>
            </w:r>
          </w:p>
        </w:tc>
        <w:tc>
          <w:tcPr>
            <w:tcW w:type="dxa" w:w="14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Moderate — learning bioinformatics tools</w:t>
            </w:r>
          </w:p>
        </w:tc>
        <w:tc>
          <w:tcPr>
            <w:tcW w:type="dxa" w:w="33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Visualization tools, function prediction, tutorial workflows</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Platform Administrator</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System operator managing infrastructure, data updates, and monitoring</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Technical — DevOps/SRE background</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System health, data pipeline management, access control</w:t>
            </w:r>
          </w:p>
        </w:tc>
      </w:tr>
    </w:tbl>
    <w:p>
      <w:pPr>
        <w:spacing w:before="80" w:after="80"/>
      </w:pPr>
      <w:r>
        <w:t xml:space="preserve"/>
      </w:r>
    </w:p>
    <w:p>
      <w:pPr>
        <w:pStyle w:val="Heading2"/>
        <w:spacing w:before="280" w:after="120"/>
      </w:pPr>
      <w:r>
        <w:rPr>
          <w:rFonts w:ascii="Arial" w:cs="Arial" w:eastAsia="Arial" w:hAnsi="Arial"/>
          <w:b/>
          <w:bCs/>
          <w:color w:val="2E75B6"/>
          <w:sz w:val="28"/>
          <w:szCs w:val="28"/>
        </w:rPr>
        <w:t xml:space="preserve">2.4  Operating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69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Specification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Client — Browser</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Any modern browser (Chrome 90+, Firefox 85+, Safari 14+, Edge 90+) with WebGL support enabled</w:t>
            </w:r>
          </w:p>
        </w:tc>
      </w:tr>
      <w:tr>
        <w:tc>
          <w:tcPr>
            <w:tcW w:type="dxa" w:w="24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Client — OS</w:t>
            </w:r>
          </w:p>
        </w:tc>
        <w:tc>
          <w:tcPr>
            <w:tcW w:type="dxa" w:w="69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Operating system independent — macOS, Windows, Linux, ChromeOS all supported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Client — Hardware</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Minimum: 4GB RAM, integrated GPU with WebGL. Recommended: 8GB RAM, dedicated GPU for smooth 3D rendering</w:t>
            </w:r>
          </w:p>
        </w:tc>
      </w:tr>
      <w:tr>
        <w:tc>
          <w:tcPr>
            <w:tcW w:type="dxa" w:w="24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Server — Compute</w:t>
            </w:r>
          </w:p>
        </w:tc>
        <w:tc>
          <w:tcPr>
            <w:tcW w:type="dxa" w:w="69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Cloud-hosted (initially single-node, scalable to multi-node after MVP compute access secured)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Server — OS</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Ubuntu 22.04 LTS</w:t>
            </w:r>
          </w:p>
        </w:tc>
      </w:tr>
      <w:tr>
        <w:tc>
          <w:tcPr>
            <w:tcW w:type="dxa" w:w="24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Server — GPU</w:t>
            </w:r>
          </w:p>
        </w:tc>
        <w:tc>
          <w:tcPr>
            <w:tcW w:type="dxa" w:w="69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NVIDIA A100 or equivalent (required for Phase 3+ ESM-2 embedding extraction and model training)</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Network</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Minimum 10 Mbps for 3D rendering; 100 Mbps recommended for large structure file transfers</w:t>
            </w:r>
          </w:p>
        </w:tc>
      </w:tr>
      <w:tr>
        <w:tc>
          <w:tcPr>
            <w:tcW w:type="dxa" w:w="24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Database</w:t>
            </w:r>
          </w:p>
        </w:tc>
        <w:tc>
          <w:tcPr>
            <w:tcW w:type="dxa" w:w="69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PostgreSQL 15+ (relational), with object storage (S3-compatible) for PDB/structure files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Containerization</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Docker + Docker Compose for development; Kubernetes for production scaling</w:t>
            </w:r>
          </w:p>
        </w:tc>
      </w:tr>
    </w:tbl>
    <w:p>
      <w:pPr>
        <w:spacing w:before="80" w:after="80"/>
      </w:pPr>
      <w:r>
        <w:t xml:space="preserve"/>
      </w:r>
    </w:p>
    <w:p>
      <w:pPr>
        <w:pStyle w:val="Heading2"/>
        <w:spacing w:before="280" w:after="120"/>
      </w:pPr>
      <w:r>
        <w:rPr>
          <w:rFonts w:ascii="Arial" w:cs="Arial" w:eastAsia="Arial" w:hAnsi="Arial"/>
          <w:b/>
          <w:bCs/>
          <w:color w:val="2E75B6"/>
          <w:sz w:val="28"/>
          <w:szCs w:val="28"/>
        </w:rPr>
        <w:t xml:space="preserve">2.5  Design and Implementation Constraints</w:t>
      </w:r>
    </w:p>
    <w:p>
      <w:pPr>
        <w:pStyle w:val="ListParagraph"/>
        <w:numPr>
          <w:ilvl w:val="0"/>
          <w:numId w:val="3"/>
        </w:numPr>
        <w:spacing w:before="50" w:after="50"/>
      </w:pPr>
      <w:r>
        <w:rPr>
          <w:rFonts w:ascii="Arial" w:cs="Arial" w:eastAsia="Arial" w:hAnsi="Arial"/>
          <w:color w:val="1A1A2E"/>
          <w:sz w:val="22"/>
          <w:szCs w:val="22"/>
        </w:rPr>
        <w:t xml:space="preserve">Data Licensing: All data sources (UniProt, GO, PDB, AlphaFold, BioGRID, STRING, DrugBank, TCGA) must be used in compliance with their respective open-access licenses. Commercial usage restrictions must be reviewed before any commercialization.</w:t>
      </w:r>
    </w:p>
    <w:p>
      <w:pPr>
        <w:pStyle w:val="ListParagraph"/>
        <w:numPr>
          <w:ilvl w:val="0"/>
          <w:numId w:val="3"/>
        </w:numPr>
        <w:spacing w:before="50" w:after="50"/>
      </w:pPr>
      <w:r>
        <w:rPr>
          <w:rFonts w:ascii="Arial" w:cs="Arial" w:eastAsia="Arial" w:hAnsi="Arial"/>
          <w:color w:val="1A1A2E"/>
          <w:sz w:val="22"/>
          <w:szCs w:val="22"/>
        </w:rPr>
        <w:t xml:space="preserve">Compute Dependency: ESM-2 embedding extraction and model training require GPU resources not available in Phase 1–2. Phases 3–6 are gated on securing compute access through the MVP demonstration.</w:t>
      </w:r>
    </w:p>
    <w:p>
      <w:pPr>
        <w:pStyle w:val="ListParagraph"/>
        <w:numPr>
          <w:ilvl w:val="0"/>
          <w:numId w:val="3"/>
        </w:numPr>
        <w:spacing w:before="50" w:after="50"/>
      </w:pPr>
      <w:r>
        <w:rPr>
          <w:rFonts w:ascii="Arial" w:cs="Arial" w:eastAsia="Arial" w:hAnsi="Arial"/>
          <w:color w:val="1A1A2E"/>
          <w:sz w:val="22"/>
          <w:szCs w:val="22"/>
        </w:rPr>
        <w:t xml:space="preserve">Browser WebGL Requirement: The 3D visualization layer requires WebGL support. Fallback behavior for WebGL-disabled environments must be defined (static image rendering fallback).</w:t>
      </w:r>
    </w:p>
    <w:p>
      <w:pPr>
        <w:pStyle w:val="ListParagraph"/>
        <w:numPr>
          <w:ilvl w:val="0"/>
          <w:numId w:val="3"/>
        </w:numPr>
        <w:spacing w:before="50" w:after="50"/>
      </w:pPr>
      <w:r>
        <w:rPr>
          <w:rFonts w:ascii="Arial" w:cs="Arial" w:eastAsia="Arial" w:hAnsi="Arial"/>
          <w:color w:val="1A1A2E"/>
          <w:sz w:val="22"/>
          <w:szCs w:val="22"/>
        </w:rPr>
        <w:t xml:space="preserve">Experimental Evidence Only: GO annotation labels used for training must be filtered to experimental evidence codes (EXP, IDA, IPI, IMP, IGI, IEP). Computationally predicted annotations must be excluded to prevent label leakage.</w:t>
      </w:r>
    </w:p>
    <w:p>
      <w:pPr>
        <w:pStyle w:val="ListParagraph"/>
        <w:numPr>
          <w:ilvl w:val="0"/>
          <w:numId w:val="3"/>
        </w:numPr>
        <w:spacing w:before="50" w:after="50"/>
      </w:pPr>
      <w:r>
        <w:rPr>
          <w:rFonts w:ascii="Arial" w:cs="Arial" w:eastAsia="Arial" w:hAnsi="Arial"/>
          <w:color w:val="1A1A2E"/>
          <w:sz w:val="22"/>
          <w:szCs w:val="22"/>
        </w:rPr>
        <w:t xml:space="preserve">Time-Based Data Splits: Dataset splitting must be time-based (by annotation date), not random, to prevent temporal data leakage and ensure the model's performance reflects genuine predictive value on future annotations.</w:t>
      </w:r>
    </w:p>
    <w:p>
      <w:pPr>
        <w:pStyle w:val="ListParagraph"/>
        <w:numPr>
          <w:ilvl w:val="0"/>
          <w:numId w:val="3"/>
        </w:numPr>
        <w:spacing w:before="50" w:after="50"/>
      </w:pPr>
      <w:r>
        <w:rPr>
          <w:rFonts w:ascii="Arial" w:cs="Arial" w:eastAsia="Arial" w:hAnsi="Arial"/>
          <w:color w:val="1A1A2E"/>
          <w:sz w:val="22"/>
          <w:szCs w:val="22"/>
        </w:rPr>
        <w:t xml:space="preserve">Single-Platform Constraint: The system is designed as a web application with no OS-specific components. Desktop application development is out of scope.</w:t>
      </w:r>
    </w:p>
    <w:p>
      <w:pPr>
        <w:pStyle w:val="ListParagraph"/>
        <w:numPr>
          <w:ilvl w:val="0"/>
          <w:numId w:val="3"/>
        </w:numPr>
        <w:spacing w:before="50" w:after="50"/>
      </w:pPr>
      <w:r>
        <w:rPr>
          <w:rFonts w:ascii="Arial" w:cs="Arial" w:eastAsia="Arial" w:hAnsi="Arial"/>
          <w:color w:val="1A1A2E"/>
          <w:sz w:val="22"/>
          <w:szCs w:val="22"/>
        </w:rPr>
        <w:t xml:space="preserve">AlphaFold DB Coverage Limit: AlphaFold DB does not cover all protein sequences. The SWISS-MODEL fallback must handle sequences not in AlphaFold DB gracefully, with latency expectations set accordingly.</w:t>
      </w:r>
    </w:p>
    <w:p>
      <w:pPr>
        <w:spacing w:before="80" w:after="80"/>
      </w:pPr>
      <w:r>
        <w:t xml:space="preserve"/>
      </w:r>
    </w:p>
    <w:p>
      <w:pPr>
        <w:pStyle w:val="Heading2"/>
        <w:spacing w:before="280" w:after="120"/>
      </w:pPr>
      <w:r>
        <w:rPr>
          <w:rFonts w:ascii="Arial" w:cs="Arial" w:eastAsia="Arial" w:hAnsi="Arial"/>
          <w:b/>
          <w:bCs/>
          <w:color w:val="2E75B6"/>
          <w:sz w:val="28"/>
          <w:szCs w:val="28"/>
        </w:rPr>
        <w:t xml:space="preserve">2.6  Stakeholder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00"/>
        <w:gridCol w:w="2760"/>
      </w:tblGrid>
      <w:tr>
        <w:tc>
          <w:tcPr>
            <w:tcW w:type="dxa" w:w="20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Stakeholder</w:t>
            </w:r>
          </w:p>
        </w:tc>
        <w:tc>
          <w:tcPr>
            <w:tcW w:type="dxa" w:w="20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Role</w:t>
            </w:r>
          </w:p>
        </w:tc>
        <w:tc>
          <w:tcPr>
            <w:tcW w:type="dxa" w:w="26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Primary Interest</w:t>
            </w:r>
          </w:p>
        </w:tc>
        <w:tc>
          <w:tcPr>
            <w:tcW w:type="dxa" w:w="27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Influence Level</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Biomedical Research Community</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Primary users</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Faster, trustworthy protein research tools</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High — adoption defines success</w:t>
            </w:r>
          </w:p>
        </w:tc>
      </w:tr>
      <w:tr>
        <w:tc>
          <w:tcPr>
            <w:tcW w:type="dxa" w:w="20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Clinical Scientists (CCA Focus)</w:t>
            </w:r>
          </w:p>
        </w:tc>
        <w:tc>
          <w:tcPr>
            <w:tcW w:type="dxa" w:w="20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Validation audience</w:t>
            </w:r>
          </w:p>
        </w:tc>
        <w:tc>
          <w:tcPr>
            <w:tcW w:type="dxa" w:w="2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Actionable biomarker and drug target candidates</w:t>
            </w:r>
          </w:p>
        </w:tc>
        <w:tc>
          <w:tcPr>
            <w:tcW w:type="dxa" w:w="27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High — clinical credibility</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Academic Institutions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Affiliates / collaborators</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Publication-quality outputs, reproducibility</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Medium</w:t>
            </w:r>
          </w:p>
        </w:tc>
      </w:tr>
      <w:tr>
        <w:tc>
          <w:tcPr>
            <w:tcW w:type="dxa" w:w="20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Funding Bodies / Grant Committees</w:t>
            </w:r>
          </w:p>
        </w:tc>
        <w:tc>
          <w:tcPr>
            <w:tcW w:type="dxa" w:w="20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Resource providers</w:t>
            </w:r>
          </w:p>
        </w:tc>
        <w:tc>
          <w:tcPr>
            <w:tcW w:type="dxa" w:w="2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MVP demonstration quality, scientific rigor</w:t>
            </w:r>
          </w:p>
        </w:tc>
        <w:tc>
          <w:tcPr>
            <w:tcW w:type="dxa" w:w="27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High — gate compute access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Data Providers (UniProt, PDB, etc.)</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Data sources</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Correct attribution, license compliance</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Medium</w:t>
            </w:r>
          </w:p>
        </w:tc>
      </w:tr>
      <w:tr>
        <w:tc>
          <w:tcPr>
            <w:tcW w:type="dxa" w:w="20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Open-Source Community (Mol*, 3Dmol.js)</w:t>
            </w:r>
          </w:p>
        </w:tc>
        <w:tc>
          <w:tcPr>
            <w:tcW w:type="dxa" w:w="20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Tool contributors</w:t>
            </w:r>
          </w:p>
        </w:tc>
        <w:tc>
          <w:tcPr>
            <w:tcW w:type="dxa" w:w="2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Correct integration and attribution</w:t>
            </w:r>
          </w:p>
        </w:tc>
        <w:tc>
          <w:tcPr>
            <w:tcW w:type="dxa" w:w="27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Low-Medium</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Platform Development Team</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Builders</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Technical feasibility, clear requirements</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Very High</w:t>
            </w:r>
          </w:p>
        </w:tc>
      </w:tr>
    </w:tbl>
    <w:p>
      <w:pPr>
        <w:spacing w:before="80" w:after="80"/>
      </w:pPr>
      <w:r>
        <w:t xml:space="preserve"/>
      </w:r>
    </w:p>
    <w:p>
      <w:pPr>
        <w:pStyle w:val="Heading2"/>
        <w:spacing w:before="280" w:after="120"/>
      </w:pPr>
      <w:r>
        <w:rPr>
          <w:rFonts w:ascii="Arial" w:cs="Arial" w:eastAsia="Arial" w:hAnsi="Arial"/>
          <w:b/>
          <w:bCs/>
          <w:color w:val="2E75B6"/>
          <w:sz w:val="28"/>
          <w:szCs w:val="28"/>
        </w:rPr>
        <w:t xml:space="preserve">2.7  Non-Functional Requirements (NFR) —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NFR Category</w:t>
            </w:r>
          </w:p>
        </w:tc>
        <w:tc>
          <w:tcPr>
            <w:tcW w:type="dxa" w:w="71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High-Level Requirement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Performance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3D structure rendering must complete within 3 seconds for structures up to 500 residues on recommended hardware</w:t>
            </w:r>
          </w:p>
        </w:tc>
      </w:tr>
      <w:tr>
        <w:tc>
          <w:tcPr>
            <w:tcW w:type="dxa" w:w="2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Scalability</w:t>
            </w:r>
          </w:p>
        </w:tc>
        <w:tc>
          <w:tcPr>
            <w:tcW w:type="dxa" w:w="71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System must support at least 100 concurrent users without degradation during MVP phase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Reliability</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Dashboard uptime target: 99.5% during active research sessions; data pipeline runs must be idempotent</w:t>
            </w:r>
          </w:p>
        </w:tc>
      </w:tr>
      <w:tr>
        <w:tc>
          <w:tcPr>
            <w:tcW w:type="dxa" w:w="2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Security</w:t>
            </w:r>
          </w:p>
        </w:tc>
        <w:tc>
          <w:tcPr>
            <w:tcW w:type="dxa" w:w="71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All user queries and protein data transmitted over HTTPS/TLS 1.3; no personal health information stored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Usability</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 researcher unfamiliar with the platform must be able to obtain a protein function prediction within 5 minutes of first use</w:t>
            </w:r>
          </w:p>
        </w:tc>
      </w:tr>
      <w:tr>
        <w:tc>
          <w:tcPr>
            <w:tcW w:type="dxa" w:w="2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Reproducibility</w:t>
            </w:r>
          </w:p>
        </w:tc>
        <w:tc>
          <w:tcPr>
            <w:tcW w:type="dxa" w:w="71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All model training runs, data pipeline executions, and outputs must be fully reproducible from documented artifacts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Portability</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All visualization tools must render identically on macOS, Windows, and Linux in supported browsers</w:t>
            </w:r>
          </w:p>
        </w:tc>
      </w:tr>
      <w:tr>
        <w:tc>
          <w:tcPr>
            <w:tcW w:type="dxa" w:w="2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Explainability</w:t>
            </w:r>
          </w:p>
        </w:tc>
        <w:tc>
          <w:tcPr>
            <w:tcW w:type="dxa" w:w="71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Every model prediction must be accompanied by residue-level evidence, confidence score, and at least one supporting database reference</w:t>
            </w:r>
          </w:p>
        </w:tc>
      </w:tr>
    </w:tbl>
    <w:p>
      <w:pPr>
        <w:spacing w:before="80" w:after="80"/>
      </w:pPr>
      <w:r>
        <w:t xml:space="preserve"/>
      </w:r>
    </w:p>
    <w:p>
      <w:pPr>
        <w:pStyle w:val="Heading2"/>
        <w:spacing w:before="280" w:after="120"/>
      </w:pPr>
      <w:r>
        <w:rPr>
          <w:rFonts w:ascii="Arial" w:cs="Arial" w:eastAsia="Arial" w:hAnsi="Arial"/>
          <w:b/>
          <w:bCs/>
          <w:color w:val="2E75B6"/>
          <w:sz w:val="28"/>
          <w:szCs w:val="28"/>
        </w:rPr>
        <w:t xml:space="preserve">2.8  Feasibility Study</w:t>
      </w:r>
    </w:p>
    <w:p>
      <w:pPr>
        <w:pStyle w:val="Heading3"/>
        <w:spacing w:before="200" w:after="80"/>
      </w:pPr>
      <w:r>
        <w:rPr>
          <w:rFonts w:ascii="Arial" w:cs="Arial" w:eastAsia="Arial" w:hAnsi="Arial"/>
          <w:b/>
          <w:bCs/>
          <w:color w:val="0070C0"/>
          <w:sz w:val="24"/>
          <w:szCs w:val="24"/>
        </w:rPr>
        <w:t xml:space="preserve">Technical Feasibility</w:t>
      </w:r>
    </w:p>
    <w:p>
      <w:pPr>
        <w:spacing w:before="60" w:after="100"/>
      </w:pPr>
      <w:r>
        <w:rPr>
          <w:rFonts w:ascii="Arial" w:cs="Arial" w:eastAsia="Arial" w:hAnsi="Arial"/>
          <w:color w:val="1A1A2E"/>
          <w:sz w:val="22"/>
          <w:szCs w:val="22"/>
        </w:rPr>
        <w:t xml:space="preserve">ProtMind's technical approach builds on well-established open-source foundations. ESM-2 is publicly available and has been validated in peer-reviewed literature. Mol* and 3Dmol.js are production-grade WebGL viewers already in use on major bioinformatics portals. UniProt, GO, PDB, AlphaFold, BioGRID, STRING, DrugBank, and TCGA all provide free API access. The primary technical risk is GPU compute availability, which is managed by gating the heavier model phases behind the MVP demonstration.</w:t>
      </w:r>
    </w:p>
    <w:p>
      <w:pPr>
        <w:spacing w:before="80" w:after="80"/>
      </w:pPr>
      <w:r>
        <w:t xml:space="preserve"/>
      </w:r>
    </w:p>
    <w:p>
      <w:pPr>
        <w:pStyle w:val="Heading3"/>
        <w:spacing w:before="200" w:after="80"/>
      </w:pPr>
      <w:r>
        <w:rPr>
          <w:rFonts w:ascii="Arial" w:cs="Arial" w:eastAsia="Arial" w:hAnsi="Arial"/>
          <w:b/>
          <w:bCs/>
          <w:color w:val="0070C0"/>
          <w:sz w:val="24"/>
          <w:szCs w:val="24"/>
        </w:rPr>
        <w:t xml:space="preserve">Operational Feasibility</w:t>
      </w:r>
    </w:p>
    <w:p>
      <w:pPr>
        <w:spacing w:before="60" w:after="100"/>
      </w:pPr>
      <w:r>
        <w:rPr>
          <w:rFonts w:ascii="Arial" w:cs="Arial" w:eastAsia="Arial" w:hAnsi="Arial"/>
          <w:color w:val="1A1A2E"/>
          <w:sz w:val="22"/>
          <w:szCs w:val="22"/>
        </w:rPr>
        <w:t xml:space="preserve">The platform is designed for the existing workflows of biomedical researchers and clinicians. The dashboard interface requires no programming knowledge for basic operation. The visualization tools replace existing workflows that researchers already perform manually — the learning curve is the elimination of steps, not the addition of them. Researcher adoption is supported by the standalone visualization tools (Phase 2 value before AI is deployed) and by structured, citation-ready outputs that fit into academic workflows.</w:t>
      </w:r>
    </w:p>
    <w:p>
      <w:pPr>
        <w:spacing w:before="80" w:after="80"/>
      </w:pPr>
      <w:r>
        <w:t xml:space="preserve"/>
      </w:r>
    </w:p>
    <w:p>
      <w:pPr>
        <w:pStyle w:val="Heading3"/>
        <w:spacing w:before="200" w:after="80"/>
      </w:pPr>
      <w:r>
        <w:rPr>
          <w:rFonts w:ascii="Arial" w:cs="Arial" w:eastAsia="Arial" w:hAnsi="Arial"/>
          <w:b/>
          <w:bCs/>
          <w:color w:val="0070C0"/>
          <w:sz w:val="24"/>
          <w:szCs w:val="24"/>
        </w:rPr>
        <w:t xml:space="preserve">Economic Feasibility</w:t>
      </w:r>
    </w:p>
    <w:p>
      <w:pPr>
        <w:spacing w:before="60" w:after="100"/>
      </w:pPr>
      <w:r>
        <w:rPr>
          <w:rFonts w:ascii="Arial" w:cs="Arial" w:eastAsia="Arial" w:hAnsi="Arial"/>
          <w:color w:val="1A1A2E"/>
          <w:sz w:val="22"/>
          <w:szCs w:val="22"/>
        </w:rPr>
        <w:t xml:space="preserve">Phase 1 and Phase 2 can be executed using standard cloud compute (CPU-only, low cost). Phase 3 onward requires GPU access, which is the target of the MVP demonstration to grant committees or institutional HPC resources. All data sources are freely available for research use. Development tooling (FastAPI, React, PostgreSQL, PyTorch) is open-source and incurs no licensing cost.</w:t>
      </w:r>
    </w:p>
    <w:p>
      <w:pPr>
        <w:spacing w:before="80" w:after="80"/>
      </w:pPr>
      <w:r>
        <w:t xml:space="preserve"/>
      </w:r>
    </w:p>
    <w:p>
      <w:pPr>
        <w:pStyle w:val="Heading2"/>
        <w:spacing w:before="280" w:after="120"/>
      </w:pPr>
      <w:r>
        <w:rPr>
          <w:rFonts w:ascii="Arial" w:cs="Arial" w:eastAsia="Arial" w:hAnsi="Arial"/>
          <w:b/>
          <w:bCs/>
          <w:color w:val="2E75B6"/>
          <w:sz w:val="28"/>
          <w:szCs w:val="28"/>
        </w:rPr>
        <w:t xml:space="preserve">2.9  System Assumptions and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Assumption / Dependency</w:t>
            </w:r>
          </w:p>
        </w:tc>
        <w:tc>
          <w:tcPr>
            <w:tcW w:type="dxa" w:w="61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Rationale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UniProt Swiss-Prot reviewed entries remain publicly accessible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Entire data pipeline depends on Swiss-Prot annotations</w:t>
            </w:r>
          </w:p>
        </w:tc>
      </w:tr>
      <w:tr>
        <w:tc>
          <w:tcPr>
            <w:tcW w:type="dxa" w:w="3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AlphaFold DB REST API remains available and stable</w:t>
            </w:r>
          </w:p>
        </w:tc>
        <w:tc>
          <w:tcPr>
            <w:tcW w:type="dxa" w:w="61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Structure builder's primary data source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SWISS-MODEL API accepts programmatic structure requests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Fallback for sequences not in AlphaFold DB</w:t>
            </w:r>
          </w:p>
        </w:tc>
      </w:tr>
      <w:tr>
        <w:tc>
          <w:tcPr>
            <w:tcW w:type="dxa" w:w="3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ESM-2 model weights remain publicly available (Meta AI)</w:t>
            </w:r>
          </w:p>
        </w:tc>
        <w:tc>
          <w:tcPr>
            <w:tcW w:type="dxa" w:w="61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Core of all three prediction models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WebGL is supported by the user's browser</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Required for all 3D visualization tools</w:t>
            </w:r>
          </w:p>
        </w:tc>
      </w:tr>
      <w:tr>
        <w:tc>
          <w:tcPr>
            <w:tcW w:type="dxa" w:w="3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TCGA CCA expression data is available via NCI GDC portal</w:t>
            </w:r>
          </w:p>
        </w:tc>
        <w:tc>
          <w:tcPr>
            <w:tcW w:type="dxa" w:w="61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Required for Phase 7 clinical demonstration</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GPU compute is accessible after Phase 3 MVP demonstration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Required for Phases 3–6 model training</w:t>
            </w:r>
          </w:p>
        </w:tc>
      </w:tr>
      <w:tr>
        <w:tc>
          <w:tcPr>
            <w:tcW w:type="dxa" w:w="3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GO experimental evidence codes correctly distinguish validated from predicted annotations</w:t>
            </w:r>
          </w:p>
        </w:tc>
        <w:tc>
          <w:tcPr>
            <w:tcW w:type="dxa" w:w="61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Critical for training data quality</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Internet connectivity is available during API-dependent operations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Required for real-time AlphaFold DB and SWISS-MODEL queries</w:t>
            </w:r>
          </w:p>
        </w:tc>
      </w:tr>
    </w:tbl>
    <w:p>
      <w:pPr>
        <w:pBdr>
          <w:bottom w:val="single" w:color="D0E4F5" w:sz="3" w:space="1"/>
        </w:pBdr>
        <w:spacing w:before="180" w:after="180"/>
      </w:pPr>
      <w:r>
        <w:t xml:space="preserve"/>
      </w:r>
    </w:p>
    <w:p>
      <w:r>
        <w:br w:type="page"/>
      </w:r>
    </w:p>
    <w:p>
      <w:pPr>
        <w:pStyle w:val="Heading1"/>
        <w:pBdr>
          <w:bottom w:val="single" w:color="2E75B6" w:sz="8" w:space="6"/>
        </w:pBdr>
        <w:spacing w:before="360" w:after="160"/>
      </w:pPr>
      <w:r>
        <w:rPr>
          <w:rFonts w:ascii="Arial" w:cs="Arial" w:eastAsia="Arial" w:hAnsi="Arial"/>
          <w:b/>
          <w:bCs/>
          <w:color w:val="1B4F8A"/>
          <w:sz w:val="36"/>
          <w:szCs w:val="36"/>
        </w:rPr>
        <w:t xml:space="preserve">Chapter 3: External Interfaces &amp; System Analysis</w:t>
      </w:r>
    </w:p>
    <w:p>
      <w:pPr>
        <w:spacing w:before="80" w:after="80"/>
      </w:pPr>
      <w:r>
        <w:t xml:space="preserve"/>
      </w:r>
    </w:p>
    <w:p>
      <w:pPr>
        <w:pStyle w:val="Heading2"/>
        <w:spacing w:before="280" w:after="120"/>
      </w:pPr>
      <w:r>
        <w:rPr>
          <w:rFonts w:ascii="Arial" w:cs="Arial" w:eastAsia="Arial" w:hAnsi="Arial"/>
          <w:b/>
          <w:bCs/>
          <w:color w:val="2E75B6"/>
          <w:sz w:val="28"/>
          <w:szCs w:val="28"/>
        </w:rPr>
        <w:t xml:space="preserve">3.1  User Interfaces</w:t>
      </w:r>
    </w:p>
    <w:p>
      <w:pPr>
        <w:spacing w:before="60" w:after="100"/>
      </w:pPr>
      <w:r>
        <w:rPr>
          <w:rFonts w:ascii="Arial" w:cs="Arial" w:eastAsia="Arial" w:hAnsi="Arial"/>
          <w:color w:val="1A1A2E"/>
          <w:sz w:val="22"/>
          <w:szCs w:val="22"/>
        </w:rPr>
        <w:t xml:space="preserve">ProtMind's user interface is organized into a unified web dashboard accessible through any modern browser. The interface supports two primary interaction modes: natural language query input (AI-agent mode) and direct tool access (standalone mode).</w:t>
      </w:r>
    </w:p>
    <w:p>
      <w:pPr>
        <w:spacing w:before="80" w:after="80"/>
      </w:pPr>
      <w:r>
        <w:t xml:space="preserve"/>
      </w:r>
    </w:p>
    <w:p>
      <w:pPr>
        <w:pStyle w:val="Heading3"/>
        <w:spacing w:before="200" w:after="80"/>
      </w:pPr>
      <w:r>
        <w:rPr>
          <w:rFonts w:ascii="Arial" w:cs="Arial" w:eastAsia="Arial" w:hAnsi="Arial"/>
          <w:b/>
          <w:bCs/>
          <w:color w:val="0070C0"/>
          <w:sz w:val="24"/>
          <w:szCs w:val="24"/>
        </w:rPr>
        <w:t xml:space="preserve">3.1.1  Main Interface 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560"/>
        <w:gridCol w:w="2200"/>
      </w:tblGrid>
      <w:tr>
        <w:tc>
          <w:tcPr>
            <w:tcW w:type="dxa" w:w="26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View</w:t>
            </w:r>
          </w:p>
        </w:tc>
        <w:tc>
          <w:tcPr>
            <w:tcW w:type="dxa" w:w="45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22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Access Mode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Landing Dashboard</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Entry point: search bar for natural language queries, quick-access tiles for each visualization tool</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All users</w:t>
            </w:r>
          </w:p>
        </w:tc>
      </w:tr>
      <w:tr>
        <w:tc>
          <w:tcPr>
            <w:tcW w:type="dxa" w:w="2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Protein Search &amp; Overview</w:t>
            </w:r>
          </w:p>
        </w:tc>
        <w:tc>
          <w:tcPr>
            <w:tcW w:type="dxa" w:w="45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Enter UniProt ID or sequence — shows basic protein metadata, organism, disease associations</w:t>
            </w:r>
          </w:p>
        </w:tc>
        <w:tc>
          <w:tcPr>
            <w:tcW w:type="dxa" w:w="2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All users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Sequence-to-Structure Builder</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Input UniProt ID or raw sequence → renders 3D model with pLDDT coloring and PAE plot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Standalone + AI-integrated</w:t>
            </w:r>
          </w:p>
        </w:tc>
      </w:tr>
      <w:tr>
        <w:tc>
          <w:tcPr>
            <w:tcW w:type="dxa" w:w="2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3D Structure Viewer</w:t>
            </w:r>
          </w:p>
        </w:tc>
        <w:tc>
          <w:tcPr>
            <w:tcW w:type="dxa" w:w="45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Upload PDB / enter PDB ID or AlphaFold accession → full interactive 3D rendering</w:t>
            </w:r>
          </w:p>
        </w:tc>
        <w:tc>
          <w:tcPr>
            <w:tcW w:type="dxa" w:w="2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Standalone + AI-integrated</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Sequence Annotator</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Displays annotated amino acid sequence with GO regions, PTMs, active sites, ESM-2 heatmap overlay</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Standalone + AI-integrated</w:t>
            </w:r>
          </w:p>
        </w:tc>
      </w:tr>
      <w:tr>
        <w:tc>
          <w:tcPr>
            <w:tcW w:type="dxa" w:w="2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Structure Comparator</w:t>
            </w:r>
          </w:p>
        </w:tc>
        <w:tc>
          <w:tcPr>
            <w:tcW w:type="dxa" w:w="45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Input two structures → overlaid 3D view with RMSD score and difference highlighting</w:t>
            </w:r>
          </w:p>
        </w:tc>
        <w:tc>
          <w:tcPr>
            <w:tcW w:type="dxa" w:w="2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Standalone + AI-integrated</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Interaction Network Viewer</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Interactive PPI graph — expandable nodes, filterable edges, click-through to pharmacological context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Standalone + AI-integrated</w:t>
            </w:r>
          </w:p>
        </w:tc>
      </w:tr>
      <w:tr>
        <w:tc>
          <w:tcPr>
            <w:tcW w:type="dxa" w:w="2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Expression Heatmap</w:t>
            </w:r>
          </w:p>
        </w:tc>
        <w:tc>
          <w:tcPr>
            <w:tcW w:type="dxa" w:w="45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TCGA expression data across tissue types and disease conditions</w:t>
            </w:r>
          </w:p>
        </w:tc>
        <w:tc>
          <w:tcPr>
            <w:tcW w:type="dxa" w:w="2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Standalone + AI-integrated</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Function Prediction Report</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AI-generated GO MF prediction with confidence scores, residue heatmap, and evidence graph</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AI-integrated only</w:t>
            </w:r>
          </w:p>
        </w:tc>
      </w:tr>
      <w:tr>
        <w:tc>
          <w:tcPr>
            <w:tcW w:type="dxa" w:w="2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PPI Prediction Report</w:t>
            </w:r>
          </w:p>
        </w:tc>
        <w:tc>
          <w:tcPr>
            <w:tcW w:type="dxa" w:w="45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Interaction prediction with binding interface visualization, network context, drug relevance</w:t>
            </w:r>
          </w:p>
        </w:tc>
        <w:tc>
          <w:tcPr>
            <w:tcW w:type="dxa" w:w="2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AI-integrated only</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Mutation / Essentiality Report</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Essentiality scores, mutation impact, WT vs. mutant RMSD overlay, clinical flags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AI-integrated only</w:t>
            </w:r>
          </w:p>
        </w:tc>
      </w:tr>
      <w:tr>
        <w:tc>
          <w:tcPr>
            <w:tcW w:type="dxa" w:w="2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CCA Biomarker Dashboard</w:t>
            </w:r>
          </w:p>
        </w:tc>
        <w:tc>
          <w:tcPr>
            <w:tcW w:type="dxa" w:w="45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Ranked candidate list from TCGA differential expression → full pipeline evidence per candidate</w:t>
            </w:r>
          </w:p>
        </w:tc>
        <w:tc>
          <w:tcPr>
            <w:tcW w:type="dxa" w:w="2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AI-integrated only</w:t>
            </w:r>
          </w:p>
        </w:tc>
      </w:tr>
    </w:tbl>
    <w:p>
      <w:pPr>
        <w:spacing w:before="80" w:after="80"/>
      </w:pPr>
      <w:r>
        <w:t xml:space="preserve"/>
      </w:r>
    </w:p>
    <w:p>
      <w:pPr>
        <w:pStyle w:val="Heading2"/>
        <w:spacing w:before="280" w:after="120"/>
      </w:pPr>
      <w:r>
        <w:rPr>
          <w:rFonts w:ascii="Arial" w:cs="Arial" w:eastAsia="Arial" w:hAnsi="Arial"/>
          <w:b/>
          <w:bCs/>
          <w:color w:val="2E75B6"/>
          <w:sz w:val="28"/>
          <w:szCs w:val="28"/>
        </w:rPr>
        <w:t xml:space="preserve">3.2  Hardware Interfaces</w:t>
      </w:r>
    </w:p>
    <w:p>
      <w:pPr>
        <w:pStyle w:val="Heading3"/>
        <w:spacing w:before="200" w:after="80"/>
      </w:pPr>
      <w:r>
        <w:rPr>
          <w:rFonts w:ascii="Arial" w:cs="Arial" w:eastAsia="Arial" w:hAnsi="Arial"/>
          <w:b/>
          <w:bCs/>
          <w:color w:val="0070C0"/>
          <w:sz w:val="24"/>
          <w:szCs w:val="24"/>
        </w:rPr>
        <w:t xml:space="preserve">3.2.1  Server-Side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c>
          <w:tcPr>
            <w:tcW w:type="dxa" w:w="26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30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Minimum Specification</w:t>
            </w:r>
          </w:p>
        </w:tc>
        <w:tc>
          <w:tcPr>
            <w:tcW w:type="dxa" w:w="37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Recommended Specification</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CPU</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8-core x86-64 (Phase 1–2)</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32-core x86-64 (Phase 3+)</w:t>
            </w:r>
          </w:p>
        </w:tc>
      </w:tr>
      <w:tr>
        <w:tc>
          <w:tcPr>
            <w:tcW w:type="dxa" w:w="2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RAM</w:t>
            </w:r>
          </w:p>
        </w:tc>
        <w:tc>
          <w:tcPr>
            <w:tcW w:type="dxa" w:w="30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16 GB (Phase 1–2)</w:t>
            </w:r>
          </w:p>
        </w:tc>
        <w:tc>
          <w:tcPr>
            <w:tcW w:type="dxa" w:w="37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128 GB (Phase 3+ model serving)</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GPU</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None required (Phase 1–2)</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NVIDIA A100 80GB or 4× A40 48GB (Phase 3+)</w:t>
            </w:r>
          </w:p>
        </w:tc>
      </w:tr>
      <w:tr>
        <w:tc>
          <w:tcPr>
            <w:tcW w:type="dxa" w:w="2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Storage</w:t>
            </w:r>
          </w:p>
        </w:tc>
        <w:tc>
          <w:tcPr>
            <w:tcW w:type="dxa" w:w="30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500 GB SSD (data + pipeline)</w:t>
            </w:r>
          </w:p>
        </w:tc>
        <w:tc>
          <w:tcPr>
            <w:tcW w:type="dxa" w:w="37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4 TB NVMe SSD (full dataset + model checkpoints)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Network</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1 Gbps</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10 Gbps (high-throughput structure serving)</w:t>
            </w:r>
          </w:p>
        </w:tc>
      </w:tr>
      <w:tr>
        <w:tc>
          <w:tcPr>
            <w:tcW w:type="dxa" w:w="2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Object Storage</w:t>
            </w:r>
          </w:p>
        </w:tc>
        <w:tc>
          <w:tcPr>
            <w:tcW w:type="dxa" w:w="30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S3-compatible bucket for PDB/structure files</w:t>
            </w:r>
          </w:p>
        </w:tc>
        <w:tc>
          <w:tcPr>
            <w:tcW w:type="dxa" w:w="37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AWS S3 or equivalent with CDN</w:t>
            </w:r>
          </w:p>
        </w:tc>
      </w:tr>
    </w:tbl>
    <w:p>
      <w:pPr>
        <w:spacing w:before="80" w:after="80"/>
      </w:pPr>
      <w:r>
        <w:t xml:space="preserve"/>
      </w:r>
    </w:p>
    <w:p>
      <w:pPr>
        <w:pStyle w:val="Heading3"/>
        <w:spacing w:before="200" w:after="80"/>
      </w:pPr>
      <w:r>
        <w:rPr>
          <w:rFonts w:ascii="Arial" w:cs="Arial" w:eastAsia="Arial" w:hAnsi="Arial"/>
          <w:b/>
          <w:bCs/>
          <w:color w:val="0070C0"/>
          <w:sz w:val="24"/>
          <w:szCs w:val="24"/>
        </w:rPr>
        <w:t xml:space="preserve">3.2.2  Client-Side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W w:type="dxa" w:w="30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Minimum</w:t>
            </w:r>
          </w:p>
        </w:tc>
        <w:tc>
          <w:tcPr>
            <w:tcW w:type="dxa" w:w="43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Recommended</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RAM</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4 GB</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8 GB+</w:t>
            </w:r>
          </w:p>
        </w:tc>
      </w:tr>
      <w:tr>
        <w:tc>
          <w:tcPr>
            <w:tcW w:type="dxa" w:w="20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GPU</w:t>
            </w:r>
          </w:p>
        </w:tc>
        <w:tc>
          <w:tcPr>
            <w:tcW w:type="dxa" w:w="30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Integrated GPU (WebGL 1.0 support)</w:t>
            </w:r>
          </w:p>
        </w:tc>
        <w:tc>
          <w:tcPr>
            <w:tcW w:type="dxa" w:w="43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Dedicated GPU (WebGL 2.0 for high-quality 3D)</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Screen Resolution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1280×720</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1920×1080 or higher</w:t>
            </w:r>
          </w:p>
        </w:tc>
      </w:tr>
      <w:tr>
        <w:tc>
          <w:tcPr>
            <w:tcW w:type="dxa" w:w="20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Browser</w:t>
            </w:r>
          </w:p>
        </w:tc>
        <w:tc>
          <w:tcPr>
            <w:tcW w:type="dxa" w:w="30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Chrome 90+, Firefox 85+, Safari 14+, Edge 90+</w:t>
            </w:r>
          </w:p>
        </w:tc>
        <w:tc>
          <w:tcPr>
            <w:tcW w:type="dxa" w:w="43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Chrome 110+ or Firefox 100+</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Internet Connection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10 Mbps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50 Mbps+ (smooth large structure loading)</w:t>
            </w:r>
          </w:p>
        </w:tc>
      </w:tr>
    </w:tbl>
    <w:p>
      <w:pPr>
        <w:spacing w:before="80" w:after="80"/>
      </w:pPr>
      <w:r>
        <w:t xml:space="preserve"/>
      </w:r>
    </w:p>
    <w:p>
      <w:pPr>
        <w:pStyle w:val="Heading2"/>
        <w:spacing w:before="280" w:after="120"/>
      </w:pPr>
      <w:r>
        <w:rPr>
          <w:rFonts w:ascii="Arial" w:cs="Arial" w:eastAsia="Arial" w:hAnsi="Arial"/>
          <w:b/>
          <w:bCs/>
          <w:color w:val="2E75B6"/>
          <w:sz w:val="28"/>
          <w:szCs w:val="28"/>
        </w:rPr>
        <w:t xml:space="preserve">3.3  Software Interfaces</w:t>
      </w:r>
    </w:p>
    <w:p>
      <w:pPr>
        <w:spacing w:before="60" w:after="100"/>
      </w:pPr>
      <w:r>
        <w:rPr>
          <w:rFonts w:ascii="Arial" w:cs="Arial" w:eastAsia="Arial" w:hAnsi="Arial"/>
          <w:color w:val="1A1A2E"/>
          <w:sz w:val="22"/>
          <w:szCs w:val="22"/>
        </w:rPr>
        <w:t xml:space="preserve">ProtMind integrates with multiple external software systems via REST APIs and local data ingestion pipelines. All external calls are handled through a dedicated API Gateway layer to enforce rate limiting, error handling, and caching.</w:t>
      </w:r>
    </w:p>
    <w:p>
      <w:pPr>
        <w:spacing w:before="80" w:after="80"/>
      </w:pPr>
      <w:r>
        <w:t xml:space="preserve"/>
      </w:r>
    </w:p>
    <w:p>
      <w:pPr>
        <w:pStyle w:val="Heading3"/>
        <w:spacing w:before="200" w:after="80"/>
      </w:pPr>
      <w:r>
        <w:rPr>
          <w:rFonts w:ascii="Arial" w:cs="Arial" w:eastAsia="Arial" w:hAnsi="Arial"/>
          <w:b/>
          <w:bCs/>
          <w:color w:val="0070C0"/>
          <w:sz w:val="24"/>
          <w:szCs w:val="24"/>
        </w:rPr>
        <w:t xml:space="preserve">3.3.1  External API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3200"/>
        <w:gridCol w:w="1960"/>
      </w:tblGrid>
      <w:tr>
        <w:tc>
          <w:tcPr>
            <w:tcW w:type="dxa" w:w="26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External System</w:t>
            </w:r>
          </w:p>
        </w:tc>
        <w:tc>
          <w:tcPr>
            <w:tcW w:type="dxa" w:w="16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Interface Type</w:t>
            </w:r>
          </w:p>
        </w:tc>
        <w:tc>
          <w:tcPr>
            <w:tcW w:type="dxa" w:w="32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Data Retrieved</w:t>
            </w:r>
          </w:p>
        </w:tc>
        <w:tc>
          <w:tcPr>
            <w:tcW w:type="dxa" w:w="19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Phase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UniProt REST API</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REST/JSON</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Protein sequences, organism, feature annotations, disease associations</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Phase 1+</w:t>
            </w:r>
          </w:p>
        </w:tc>
      </w:tr>
      <w:tr>
        <w:tc>
          <w:tcPr>
            <w:tcW w:type="dxa" w:w="2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AlphaFold DB API</w:t>
            </w:r>
          </w:p>
        </w:tc>
        <w:tc>
          <w:tcPr>
            <w:tcW w:type="dxa" w:w="1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REST/JSON + mmCIF/PDB file download</w:t>
            </w:r>
          </w:p>
        </w:tc>
        <w:tc>
          <w:tcPr>
            <w:tcW w:type="dxa" w:w="3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Predicted 3D structure, pLDDT scores, PAE matrix</w:t>
            </w:r>
          </w:p>
        </w:tc>
        <w:tc>
          <w:tcPr>
            <w:tcW w:type="dxa" w:w="19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Phase 2+</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SWISS-MODEL API</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REST/JSON + PDB file download</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Homology models for sequences not in AlphaFold DB</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Phase 2+</w:t>
            </w:r>
          </w:p>
        </w:tc>
      </w:tr>
      <w:tr>
        <w:tc>
          <w:tcPr>
            <w:tcW w:type="dxa" w:w="2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PDB REST API</w:t>
            </w:r>
          </w:p>
        </w:tc>
        <w:tc>
          <w:tcPr>
            <w:tcW w:type="dxa" w:w="1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REST/JSON + PDB file download</w:t>
            </w:r>
          </w:p>
        </w:tc>
        <w:tc>
          <w:tcPr>
            <w:tcW w:type="dxa" w:w="3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Experimentally determined 3D structures</w:t>
            </w:r>
          </w:p>
        </w:tc>
        <w:tc>
          <w:tcPr>
            <w:tcW w:type="dxa" w:w="19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Phase 2+</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STRING API v11.5</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REST/JSON</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Protein interaction network data with confidence scores</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Phase 1+</w:t>
            </w:r>
          </w:p>
        </w:tc>
      </w:tr>
      <w:tr>
        <w:tc>
          <w:tcPr>
            <w:tcW w:type="dxa" w:w="2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BioGRID API</w:t>
            </w:r>
          </w:p>
        </w:tc>
        <w:tc>
          <w:tcPr>
            <w:tcW w:type="dxa" w:w="1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REST/JSON</w:t>
            </w:r>
          </w:p>
        </w:tc>
        <w:tc>
          <w:tcPr>
            <w:tcW w:type="dxa" w:w="3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Curated protein-protein interaction data</w:t>
            </w:r>
          </w:p>
        </w:tc>
        <w:tc>
          <w:tcPr>
            <w:tcW w:type="dxa" w:w="19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Phase 1+</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DrugBank API</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REST/JSON</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Drug-target associations, pharmacological data</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Phase 5+</w:t>
            </w:r>
          </w:p>
        </w:tc>
      </w:tr>
      <w:tr>
        <w:tc>
          <w:tcPr>
            <w:tcW w:type="dxa" w:w="2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TCGA / NCI GDC API</w:t>
            </w:r>
          </w:p>
        </w:tc>
        <w:tc>
          <w:tcPr>
            <w:tcW w:type="dxa" w:w="1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REST/JSON</w:t>
            </w:r>
          </w:p>
        </w:tc>
        <w:tc>
          <w:tcPr>
            <w:tcW w:type="dxa" w:w="3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CCA expression data, genomic annotations</w:t>
            </w:r>
          </w:p>
        </w:tc>
        <w:tc>
          <w:tcPr>
            <w:tcW w:type="dxa" w:w="19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Phase 1 (ingestion)</w:t>
            </w:r>
          </w:p>
        </w:tc>
      </w:tr>
    </w:tbl>
    <w:p>
      <w:pPr>
        <w:spacing w:before="80" w:after="80"/>
      </w:pPr>
      <w:r>
        <w:t xml:space="preserve"/>
      </w:r>
    </w:p>
    <w:p>
      <w:pPr>
        <w:pStyle w:val="Heading2"/>
        <w:spacing w:before="280" w:after="120"/>
      </w:pPr>
      <w:r>
        <w:rPr>
          <w:rFonts w:ascii="Arial" w:cs="Arial" w:eastAsia="Arial" w:hAnsi="Arial"/>
          <w:b/>
          <w:bCs/>
          <w:color w:val="2E75B6"/>
          <w:sz w:val="28"/>
          <w:szCs w:val="28"/>
        </w:rPr>
        <w:t xml:space="preserve">3.4  Communications Interfaces</w:t>
      </w:r>
    </w:p>
    <w:p>
      <w:pPr>
        <w:pStyle w:val="ListParagraph"/>
        <w:numPr>
          <w:ilvl w:val="0"/>
          <w:numId w:val="3"/>
        </w:numPr>
        <w:spacing w:before="50" w:after="50"/>
      </w:pPr>
      <w:r>
        <w:rPr>
          <w:rFonts w:ascii="Arial" w:cs="Arial" w:eastAsia="Arial" w:hAnsi="Arial"/>
          <w:color w:val="1A1A2E"/>
          <w:sz w:val="22"/>
          <w:szCs w:val="22"/>
        </w:rPr>
        <w:t xml:space="preserve">HTTPS/TLS 1.3: All client-server communication encrypted in transit. No unencrypted HTTP endpoints in production.</w:t>
      </w:r>
    </w:p>
    <w:p>
      <w:pPr>
        <w:pStyle w:val="ListParagraph"/>
        <w:numPr>
          <w:ilvl w:val="0"/>
          <w:numId w:val="3"/>
        </w:numPr>
        <w:spacing w:before="50" w:after="50"/>
      </w:pPr>
      <w:r>
        <w:rPr>
          <w:rFonts w:ascii="Arial" w:cs="Arial" w:eastAsia="Arial" w:hAnsi="Arial"/>
          <w:color w:val="1A1A2E"/>
          <w:sz w:val="22"/>
          <w:szCs w:val="22"/>
        </w:rPr>
        <w:t xml:space="preserve">WebSocket: Used for real-time progress updates during long-running operations (structure building, model inference, homology modeling).</w:t>
      </w:r>
    </w:p>
    <w:p>
      <w:pPr>
        <w:pStyle w:val="ListParagraph"/>
        <w:numPr>
          <w:ilvl w:val="0"/>
          <w:numId w:val="3"/>
        </w:numPr>
        <w:spacing w:before="50" w:after="50"/>
      </w:pPr>
      <w:r>
        <w:rPr>
          <w:rFonts w:ascii="Arial" w:cs="Arial" w:eastAsia="Arial" w:hAnsi="Arial"/>
          <w:color w:val="1A1A2E"/>
          <w:sz w:val="22"/>
          <w:szCs w:val="22"/>
        </w:rPr>
        <w:t xml:space="preserve">REST API (Internal): Frontend communicates with backend via versioned REST API (v1). All responses follow a consistent JSON envelope structure.</w:t>
      </w:r>
    </w:p>
    <w:p>
      <w:pPr>
        <w:pStyle w:val="ListParagraph"/>
        <w:numPr>
          <w:ilvl w:val="0"/>
          <w:numId w:val="3"/>
        </w:numPr>
        <w:spacing w:before="50" w:after="50"/>
      </w:pPr>
      <w:r>
        <w:rPr>
          <w:rFonts w:ascii="Arial" w:cs="Arial" w:eastAsia="Arial" w:hAnsi="Arial"/>
          <w:color w:val="1A1A2E"/>
          <w:sz w:val="22"/>
          <w:szCs w:val="22"/>
        </w:rPr>
        <w:t xml:space="preserve">Server-Sent Events (SSE): Used as fallback for WebSocket in environments where persistent connections are restricted.</w:t>
      </w:r>
    </w:p>
    <w:p>
      <w:pPr>
        <w:pStyle w:val="ListParagraph"/>
        <w:numPr>
          <w:ilvl w:val="0"/>
          <w:numId w:val="3"/>
        </w:numPr>
        <w:spacing w:before="50" w:after="50"/>
      </w:pPr>
      <w:r>
        <w:rPr>
          <w:rFonts w:ascii="Arial" w:cs="Arial" w:eastAsia="Arial" w:hAnsi="Arial"/>
          <w:color w:val="1A1A2E"/>
          <w:sz w:val="22"/>
          <w:szCs w:val="22"/>
        </w:rPr>
        <w:t xml:space="preserve">Rate Limiting: All outbound calls to external APIs (AlphaFold, SWISS-MODEL, STRING, etc.) are rate-limited and cached to prevent abuse and comply with provider terms.</w:t>
      </w:r>
    </w:p>
    <w:p>
      <w:pPr>
        <w:pStyle w:val="ListParagraph"/>
        <w:numPr>
          <w:ilvl w:val="0"/>
          <w:numId w:val="3"/>
        </w:numPr>
        <w:spacing w:before="50" w:after="50"/>
      </w:pPr>
      <w:r>
        <w:rPr>
          <w:rFonts w:ascii="Arial" w:cs="Arial" w:eastAsia="Arial" w:hAnsi="Arial"/>
          <w:color w:val="1A1A2E"/>
          <w:sz w:val="22"/>
          <w:szCs w:val="22"/>
        </w:rPr>
        <w:t xml:space="preserve">CORS Policy: Configured to allow only trusted origins in production; permissive in development environments.</w:t>
      </w:r>
    </w:p>
    <w:p>
      <w:pPr>
        <w:spacing w:before="80" w:after="80"/>
      </w:pPr>
      <w:r>
        <w:t xml:space="preserve"/>
      </w:r>
    </w:p>
    <w:p>
      <w:pPr>
        <w:pStyle w:val="Heading2"/>
        <w:spacing w:before="280" w:after="120"/>
      </w:pPr>
      <w:r>
        <w:rPr>
          <w:rFonts w:ascii="Arial" w:cs="Arial" w:eastAsia="Arial" w:hAnsi="Arial"/>
          <w:b/>
          <w:bCs/>
          <w:color w:val="2E75B6"/>
          <w:sz w:val="28"/>
          <w:szCs w:val="28"/>
        </w:rPr>
        <w:t xml:space="preserve">3.5  System Analysis</w:t>
      </w:r>
    </w:p>
    <w:p>
      <w:pPr>
        <w:spacing w:before="60" w:after="100"/>
      </w:pPr>
      <w:r>
        <w:rPr>
          <w:rFonts w:ascii="Arial" w:cs="Arial" w:eastAsia="Arial" w:hAnsi="Arial"/>
          <w:color w:val="1A1A2E"/>
          <w:sz w:val="22"/>
          <w:szCs w:val="22"/>
        </w:rPr>
        <w:t xml:space="preserve">The system operates in two primary interaction flows:</w:t>
      </w:r>
    </w:p>
    <w:p>
      <w:pPr>
        <w:spacing w:before="80" w:after="80"/>
      </w:pPr>
      <w:r>
        <w:t xml:space="preserve"/>
      </w:r>
    </w:p>
    <w:p>
      <w:pPr>
        <w:pStyle w:val="Heading3"/>
        <w:spacing w:before="200" w:after="80"/>
      </w:pPr>
      <w:r>
        <w:rPr>
          <w:rFonts w:ascii="Arial" w:cs="Arial" w:eastAsia="Arial" w:hAnsi="Arial"/>
          <w:b/>
          <w:bCs/>
          <w:color w:val="0070C0"/>
          <w:sz w:val="24"/>
          <w:szCs w:val="24"/>
        </w:rPr>
        <w:t xml:space="preserve">Flow A — AI-Agent Driven Query</w:t>
      </w:r>
    </w:p>
    <w:p>
      <w:pPr>
        <w:pStyle w:val="ListParagraph"/>
        <w:numPr>
          <w:ilvl w:val="0"/>
          <w:numId w:val="2"/>
        </w:numPr>
        <w:spacing w:before="50" w:after="50"/>
      </w:pPr>
      <w:r>
        <w:rPr>
          <w:rFonts w:ascii="Arial" w:cs="Arial" w:eastAsia="Arial" w:hAnsi="Arial"/>
          <w:color w:val="1A1A2E"/>
          <w:sz w:val="22"/>
          <w:szCs w:val="22"/>
        </w:rPr>
        <w:t xml:space="preserve">User submits a natural language query (e.g., 'What is the function of P01308 and does it interact with insulin receptor?')</w:t>
      </w:r>
    </w:p>
    <w:p>
      <w:pPr>
        <w:pStyle w:val="ListParagraph"/>
        <w:numPr>
          <w:ilvl w:val="0"/>
          <w:numId w:val="2"/>
        </w:numPr>
        <w:spacing w:before="50" w:after="50"/>
      </w:pPr>
      <w:r>
        <w:rPr>
          <w:rFonts w:ascii="Arial" w:cs="Arial" w:eastAsia="Arial" w:hAnsi="Arial"/>
          <w:color w:val="1A1A2E"/>
          <w:sz w:val="22"/>
          <w:szCs w:val="22"/>
        </w:rPr>
        <w:t xml:space="preserve">LLM Router parses intent and identifies required tools/models</w:t>
      </w:r>
    </w:p>
    <w:p>
      <w:pPr>
        <w:pStyle w:val="ListParagraph"/>
        <w:numPr>
          <w:ilvl w:val="0"/>
          <w:numId w:val="2"/>
        </w:numPr>
        <w:spacing w:before="50" w:after="50"/>
      </w:pPr>
      <w:r>
        <w:rPr>
          <w:rFonts w:ascii="Arial" w:cs="Arial" w:eastAsia="Arial" w:hAnsi="Arial"/>
          <w:color w:val="1A1A2E"/>
          <w:sz w:val="22"/>
          <w:szCs w:val="22"/>
        </w:rPr>
        <w:t xml:space="preserve">Router orchestrates sequential or parallel calls: data retrieval → embedding extraction → model inference → visualization rendering</w:t>
      </w:r>
    </w:p>
    <w:p>
      <w:pPr>
        <w:pStyle w:val="ListParagraph"/>
        <w:numPr>
          <w:ilvl w:val="0"/>
          <w:numId w:val="2"/>
        </w:numPr>
        <w:spacing w:before="50" w:after="50"/>
      </w:pPr>
      <w:r>
        <w:rPr>
          <w:rFonts w:ascii="Arial" w:cs="Arial" w:eastAsia="Arial" w:hAnsi="Arial"/>
          <w:color w:val="1A1A2E"/>
          <w:sz w:val="22"/>
          <w:szCs w:val="22"/>
        </w:rPr>
        <w:t xml:space="preserve">Each step's output is passed to the Output Formatter</w:t>
      </w:r>
    </w:p>
    <w:p>
      <w:pPr>
        <w:pStyle w:val="ListParagraph"/>
        <w:numPr>
          <w:ilvl w:val="0"/>
          <w:numId w:val="2"/>
        </w:numPr>
        <w:spacing w:before="50" w:after="50"/>
      </w:pPr>
      <w:r>
        <w:rPr>
          <w:rFonts w:ascii="Arial" w:cs="Arial" w:eastAsia="Arial" w:hAnsi="Arial"/>
          <w:color w:val="1A1A2E"/>
          <w:sz w:val="22"/>
          <w:szCs w:val="22"/>
        </w:rPr>
        <w:t xml:space="preserve">User receives a structured response: plain-language summary, step-by-step explanation, technical details, visualizations, and references</w:t>
      </w:r>
    </w:p>
    <w:p>
      <w:pPr>
        <w:spacing w:before="80" w:after="80"/>
      </w:pPr>
      <w:r>
        <w:t xml:space="preserve"/>
      </w:r>
    </w:p>
    <w:p>
      <w:pPr>
        <w:pStyle w:val="Heading3"/>
        <w:spacing w:before="200" w:after="80"/>
      </w:pPr>
      <w:r>
        <w:rPr>
          <w:rFonts w:ascii="Arial" w:cs="Arial" w:eastAsia="Arial" w:hAnsi="Arial"/>
          <w:b/>
          <w:bCs/>
          <w:color w:val="0070C0"/>
          <w:sz w:val="24"/>
          <w:szCs w:val="24"/>
        </w:rPr>
        <w:t xml:space="preserve">Flow B — Direct Standalone Tool Access</w:t>
      </w:r>
    </w:p>
    <w:p>
      <w:pPr>
        <w:pStyle w:val="ListParagraph"/>
        <w:numPr>
          <w:ilvl w:val="0"/>
          <w:numId w:val="2"/>
        </w:numPr>
        <w:spacing w:before="50" w:after="50"/>
      </w:pPr>
      <w:r>
        <w:rPr>
          <w:rFonts w:ascii="Arial" w:cs="Arial" w:eastAsia="Arial" w:hAnsi="Arial"/>
          <w:color w:val="1A1A2E"/>
          <w:sz w:val="22"/>
          <w:szCs w:val="22"/>
        </w:rPr>
        <w:t xml:space="preserve">User opens a visualization tool directly from the dashboard (e.g., '3D Structure Viewer')</w:t>
      </w:r>
    </w:p>
    <w:p>
      <w:pPr>
        <w:pStyle w:val="ListParagraph"/>
        <w:numPr>
          <w:ilvl w:val="0"/>
          <w:numId w:val="2"/>
        </w:numPr>
        <w:spacing w:before="50" w:after="50"/>
      </w:pPr>
      <w:r>
        <w:rPr>
          <w:rFonts w:ascii="Arial" w:cs="Arial" w:eastAsia="Arial" w:hAnsi="Arial"/>
          <w:color w:val="1A1A2E"/>
          <w:sz w:val="22"/>
          <w:szCs w:val="22"/>
        </w:rPr>
        <w:t xml:space="preserve">User enters a UniProt ID, PDB ID, or uploads a file</w:t>
      </w:r>
    </w:p>
    <w:p>
      <w:pPr>
        <w:pStyle w:val="ListParagraph"/>
        <w:numPr>
          <w:ilvl w:val="0"/>
          <w:numId w:val="2"/>
        </w:numPr>
        <w:spacing w:before="50" w:after="50"/>
      </w:pPr>
      <w:r>
        <w:rPr>
          <w:rFonts w:ascii="Arial" w:cs="Arial" w:eastAsia="Arial" w:hAnsi="Arial"/>
          <w:color w:val="1A1A2E"/>
          <w:sz w:val="22"/>
          <w:szCs w:val="22"/>
        </w:rPr>
        <w:t xml:space="preserve">Tool fetches required data from the appropriate API or local database</w:t>
      </w:r>
    </w:p>
    <w:p>
      <w:pPr>
        <w:pStyle w:val="ListParagraph"/>
        <w:numPr>
          <w:ilvl w:val="0"/>
          <w:numId w:val="2"/>
        </w:numPr>
        <w:spacing w:before="50" w:after="50"/>
      </w:pPr>
      <w:r>
        <w:rPr>
          <w:rFonts w:ascii="Arial" w:cs="Arial" w:eastAsia="Arial" w:hAnsi="Arial"/>
          <w:color w:val="1A1A2E"/>
          <w:sz w:val="22"/>
          <w:szCs w:val="22"/>
        </w:rPr>
        <w:t xml:space="preserve">Visualization renders immediately in the browser with full interactive controls</w:t>
      </w:r>
    </w:p>
    <w:p>
      <w:pPr>
        <w:pStyle w:val="ListParagraph"/>
        <w:numPr>
          <w:ilvl w:val="0"/>
          <w:numId w:val="2"/>
        </w:numPr>
        <w:spacing w:before="50" w:after="50"/>
      </w:pPr>
      <w:r>
        <w:rPr>
          <w:rFonts w:ascii="Arial" w:cs="Arial" w:eastAsia="Arial" w:hAnsi="Arial"/>
          <w:color w:val="1A1A2E"/>
          <w:sz w:val="22"/>
          <w:szCs w:val="22"/>
        </w:rPr>
        <w:t xml:space="preserve">No AI agent involvement — pure tool-use mode</w:t>
      </w:r>
    </w:p>
    <w:p>
      <w:pPr>
        <w:spacing w:before="80" w:after="80"/>
      </w:pPr>
      <w:r>
        <w:t xml:space="preserve"/>
      </w:r>
    </w:p>
    <w:p>
      <w:pPr>
        <w:pStyle w:val="Heading2"/>
        <w:spacing w:before="280" w:after="120"/>
      </w:pPr>
      <w:r>
        <w:rPr>
          <w:rFonts w:ascii="Arial" w:cs="Arial" w:eastAsia="Arial" w:hAnsi="Arial"/>
          <w:b/>
          <w:bCs/>
          <w:color w:val="2E75B6"/>
          <w:sz w:val="28"/>
          <w:szCs w:val="28"/>
        </w:rPr>
        <w:t xml:space="preserve">3.6  Stakeholder Analysis (Detailed)</w:t>
      </w:r>
    </w:p>
    <w:p>
      <w:pPr>
        <w:pStyle w:val="Heading3"/>
        <w:spacing w:before="200" w:after="80"/>
      </w:pPr>
      <w:r>
        <w:rPr>
          <w:rFonts w:ascii="Arial" w:cs="Arial" w:eastAsia="Arial" w:hAnsi="Arial"/>
          <w:b/>
          <w:bCs/>
          <w:color w:val="0070C0"/>
          <w:sz w:val="24"/>
          <w:szCs w:val="24"/>
        </w:rPr>
        <w:t xml:space="preserve">3.6.1  Biomedical Researcher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Attribute</w:t>
            </w:r>
          </w:p>
        </w:tc>
        <w:tc>
          <w:tcPr>
            <w:tcW w:type="dxa" w:w="71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Goals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Efficiently query protein function, structure, and interactions; export results for publication</w:t>
            </w:r>
          </w:p>
        </w:tc>
      </w:tr>
      <w:tr>
        <w:tc>
          <w:tcPr>
            <w:tcW w:type="dxa" w:w="2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Pain Points</w:t>
            </w:r>
          </w:p>
        </w:tc>
        <w:tc>
          <w:tcPr>
            <w:tcW w:type="dxa" w:w="71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Current multi-tab workflow; OS-restricted desktop tools; no unified evidence view</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Success Criteria</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Complete a protein research task in one platform session without external tool switching</w:t>
            </w:r>
          </w:p>
        </w:tc>
      </w:tr>
      <w:tr>
        <w:tc>
          <w:tcPr>
            <w:tcW w:type="dxa" w:w="2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Key Features</w:t>
            </w:r>
          </w:p>
        </w:tc>
        <w:tc>
          <w:tcPr>
            <w:tcW w:type="dxa" w:w="71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All visualization tools, function prediction, PPI prediction, evidence graph, report export</w:t>
            </w:r>
          </w:p>
        </w:tc>
      </w:tr>
    </w:tbl>
    <w:p>
      <w:pPr>
        <w:spacing w:before="80" w:after="80"/>
      </w:pPr>
      <w:r>
        <w:t xml:space="preserve"/>
      </w:r>
    </w:p>
    <w:p>
      <w:pPr>
        <w:pStyle w:val="Heading3"/>
        <w:spacing w:before="200" w:after="80"/>
      </w:pPr>
      <w:r>
        <w:rPr>
          <w:rFonts w:ascii="Arial" w:cs="Arial" w:eastAsia="Arial" w:hAnsi="Arial"/>
          <w:b/>
          <w:bCs/>
          <w:color w:val="0070C0"/>
          <w:sz w:val="24"/>
          <w:szCs w:val="24"/>
        </w:rPr>
        <w:t xml:space="preserve">3.6.2  Clinical Scientist / CCA Researcher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Attribute</w:t>
            </w:r>
          </w:p>
        </w:tc>
        <w:tc>
          <w:tcPr>
            <w:tcW w:type="dxa" w:w="71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Goals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Identify protein-level biomarkers and drug targets relevant to CCA; understand evidence behind candidates</w:t>
            </w:r>
          </w:p>
        </w:tc>
      </w:tr>
      <w:tr>
        <w:tc>
          <w:tcPr>
            <w:tcW w:type="dxa" w:w="2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Pain Points</w:t>
            </w:r>
          </w:p>
        </w:tc>
        <w:tc>
          <w:tcPr>
            <w:tcW w:type="dxa" w:w="71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No integrated platform connecting genomics → protein function → clinical context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Success Criteria</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Receive a ranked list of CCA biomarker candidates with full supporting evidence, exportable as a structured report</w:t>
            </w:r>
          </w:p>
        </w:tc>
      </w:tr>
      <w:tr>
        <w:tc>
          <w:tcPr>
            <w:tcW w:type="dxa" w:w="2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Key Features</w:t>
            </w:r>
          </w:p>
        </w:tc>
        <w:tc>
          <w:tcPr>
            <w:tcW w:type="dxa" w:w="71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CCA biomarker dashboard, expression heatmap, full pipeline reports, PDF export</w:t>
            </w:r>
          </w:p>
        </w:tc>
      </w:tr>
    </w:tbl>
    <w:p>
      <w:pPr>
        <w:spacing w:before="80" w:after="80"/>
      </w:pPr>
      <w:r>
        <w:t xml:space="preserve"/>
      </w:r>
    </w:p>
    <w:p>
      <w:pPr>
        <w:pStyle w:val="Heading3"/>
        <w:spacing w:before="200" w:after="80"/>
      </w:pPr>
      <w:r>
        <w:rPr>
          <w:rFonts w:ascii="Arial" w:cs="Arial" w:eastAsia="Arial" w:hAnsi="Arial"/>
          <w:b/>
          <w:bCs/>
          <w:color w:val="0070C0"/>
          <w:sz w:val="24"/>
          <w:szCs w:val="24"/>
        </w:rPr>
        <w:t xml:space="preserve">3.6.3  Graduate Student / Trainee Researcher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Attribute</w:t>
            </w:r>
          </w:p>
        </w:tc>
        <w:tc>
          <w:tcPr>
            <w:tcW w:type="dxa" w:w="71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Goals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Learn protein research workflows; explore protein structures and functions for thesis/coursework</w:t>
            </w:r>
          </w:p>
        </w:tc>
      </w:tr>
      <w:tr>
        <w:tc>
          <w:tcPr>
            <w:tcW w:type="dxa" w:w="2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Pain Points</w:t>
            </w:r>
          </w:p>
        </w:tc>
        <w:tc>
          <w:tcPr>
            <w:tcW w:type="dxa" w:w="71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Steep learning curve of current bioinformatics tools; OS barriers; no guided workflow</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Success Criteria</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Explore a protein from sequence to structure to function without external documentation</w:t>
            </w:r>
          </w:p>
        </w:tc>
      </w:tr>
      <w:tr>
        <w:tc>
          <w:tcPr>
            <w:tcW w:type="dxa" w:w="2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Key Features</w:t>
            </w:r>
          </w:p>
        </w:tc>
        <w:tc>
          <w:tcPr>
            <w:tcW w:type="dxa" w:w="71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Sequence-to-structure builder, sequence annotator, guided dashboard, natural language query</w:t>
            </w:r>
          </w:p>
        </w:tc>
      </w:tr>
    </w:tbl>
    <w:p>
      <w:pPr>
        <w:spacing w:before="80" w:after="80"/>
      </w:pPr>
      <w:r>
        <w:t xml:space="preserve"/>
      </w:r>
    </w:p>
    <w:p>
      <w:pPr>
        <w:pStyle w:val="Heading3"/>
        <w:spacing w:before="200" w:after="80"/>
      </w:pPr>
      <w:r>
        <w:rPr>
          <w:rFonts w:ascii="Arial" w:cs="Arial" w:eastAsia="Arial" w:hAnsi="Arial"/>
          <w:b/>
          <w:bCs/>
          <w:color w:val="0070C0"/>
          <w:sz w:val="24"/>
          <w:szCs w:val="24"/>
        </w:rPr>
        <w:t xml:space="preserve">3.6.4  Platform Administrator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Attribute</w:t>
            </w:r>
          </w:p>
        </w:tc>
        <w:tc>
          <w:tcPr>
            <w:tcW w:type="dxa" w:w="71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Goals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Keep the system running, data current, and pipelines healthy; manage access and monitor usage</w:t>
            </w:r>
          </w:p>
        </w:tc>
      </w:tr>
      <w:tr>
        <w:tc>
          <w:tcPr>
            <w:tcW w:type="dxa" w:w="2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Pain Points</w:t>
            </w:r>
          </w:p>
        </w:tc>
        <w:tc>
          <w:tcPr>
            <w:tcW w:type="dxa" w:w="71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Manual data pipeline maintenance; no visibility into system health without custom tooling</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Success Criteria</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Re-run data pipeline on new UniProt release with zero manual data transformation; monitor error rates via dashboard</w:t>
            </w:r>
          </w:p>
        </w:tc>
      </w:tr>
      <w:tr>
        <w:tc>
          <w:tcPr>
            <w:tcW w:type="dxa" w:w="2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Key Features</w:t>
            </w:r>
          </w:p>
        </w:tc>
        <w:tc>
          <w:tcPr>
            <w:tcW w:type="dxa" w:w="71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Pipeline management, data versioning, system monitoring, access control, audit logs</w:t>
            </w:r>
          </w:p>
        </w:tc>
      </w:tr>
    </w:tbl>
    <w:p>
      <w:pPr>
        <w:spacing w:before="80" w:after="80"/>
      </w:pPr>
      <w:r>
        <w:t xml:space="preserve"/>
      </w:r>
    </w:p>
    <w:p>
      <w:pPr>
        <w:pStyle w:val="Heading2"/>
        <w:spacing w:before="280" w:after="120"/>
      </w:pPr>
      <w:r>
        <w:rPr>
          <w:rFonts w:ascii="Arial" w:cs="Arial" w:eastAsia="Arial" w:hAnsi="Arial"/>
          <w:b/>
          <w:bCs/>
          <w:color w:val="2E75B6"/>
          <w:sz w:val="28"/>
          <w:szCs w:val="28"/>
        </w:rPr>
        <w:t xml:space="preserve">3.7  Functional Requirements (FR)</w:t>
      </w:r>
    </w:p>
    <w:p>
      <w:pPr>
        <w:spacing w:before="80" w:after="80"/>
      </w:pPr>
      <w:r>
        <w:t xml:space="preserve"/>
      </w:r>
    </w:p>
    <w:p>
      <w:pPr>
        <w:pStyle w:val="Heading3"/>
        <w:spacing w:before="200" w:after="80"/>
      </w:pPr>
      <w:r>
        <w:rPr>
          <w:rFonts w:ascii="Arial" w:cs="Arial" w:eastAsia="Arial" w:hAnsi="Arial"/>
          <w:b/>
          <w:bCs/>
          <w:color w:val="0070C0"/>
          <w:sz w:val="24"/>
          <w:szCs w:val="24"/>
        </w:rPr>
        <w:t xml:space="preserve">3.7.1  Data Layer &amp; Pipeline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4600"/>
        <w:gridCol w:w="1200"/>
        <w:gridCol w:w="1360"/>
      </w:tblGrid>
      <w:tr>
        <w:tc>
          <w:tcPr>
            <w:tcW w:type="dxa" w:w="12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FR ID</w:t>
            </w:r>
          </w:p>
        </w:tc>
        <w:tc>
          <w:tcPr>
            <w:tcW w:type="dxa" w:w="46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13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FR-001</w:t>
            </w:r>
          </w:p>
        </w:tc>
        <w:tc>
          <w:tcPr>
            <w:tcW w:type="dxa" w:w="4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System SHALL ingest Swiss-Prot reviewed UniProt entries via REST API</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Phase 1</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Critical</w:t>
            </w:r>
          </w:p>
        </w:tc>
      </w:tr>
      <w:tr>
        <w:tc>
          <w:tcPr>
            <w:tcW w:type="dxa" w:w="1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FR-002</w:t>
            </w:r>
          </w:p>
        </w:tc>
        <w:tc>
          <w:tcPr>
            <w:tcW w:type="dxa" w:w="4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System SHALL filter GO annotations to experimental evidence codes only (EXP, IDA, IPI, IMP, IGI, IEP)</w:t>
            </w:r>
          </w:p>
        </w:tc>
        <w:tc>
          <w:tcPr>
            <w:tcW w:type="dxa" w:w="1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Phase 1</w:t>
            </w:r>
          </w:p>
        </w:tc>
        <w:tc>
          <w:tcPr>
            <w:tcW w:type="dxa" w:w="13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Critical</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FR-003</w:t>
            </w:r>
          </w:p>
        </w:tc>
        <w:tc>
          <w:tcPr>
            <w:tcW w:type="dxa" w:w="4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System SHALL implement time-based dataset splitting using annotation date fields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Phase 1</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Critical</w:t>
            </w:r>
          </w:p>
        </w:tc>
      </w:tr>
      <w:tr>
        <w:tc>
          <w:tcPr>
            <w:tcW w:type="dxa" w:w="1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FR-004</w:t>
            </w:r>
          </w:p>
        </w:tc>
        <w:tc>
          <w:tcPr>
            <w:tcW w:type="dxa" w:w="4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System SHALL version all dataset artifacts with data cards documenting source, date, and processing steps</w:t>
            </w:r>
          </w:p>
        </w:tc>
        <w:tc>
          <w:tcPr>
            <w:tcW w:type="dxa" w:w="1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Phase 1</w:t>
            </w:r>
          </w:p>
        </w:tc>
        <w:tc>
          <w:tcPr>
            <w:tcW w:type="dxa" w:w="13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FR-005</w:t>
            </w:r>
          </w:p>
        </w:tc>
        <w:tc>
          <w:tcPr>
            <w:tcW w:type="dxa" w:w="4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System SHALL ingest PDB and AlphaFold DB structure files into object storage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Phase 1</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High</w:t>
            </w:r>
          </w:p>
        </w:tc>
      </w:tr>
      <w:tr>
        <w:tc>
          <w:tcPr>
            <w:tcW w:type="dxa" w:w="1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FR-006</w:t>
            </w:r>
          </w:p>
        </w:tc>
        <w:tc>
          <w:tcPr>
            <w:tcW w:type="dxa" w:w="4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System SHALL ingest BioGRID and STRING interaction data into the Interactions table</w:t>
            </w:r>
          </w:p>
        </w:tc>
        <w:tc>
          <w:tcPr>
            <w:tcW w:type="dxa" w:w="1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Phase 1</w:t>
            </w:r>
          </w:p>
        </w:tc>
        <w:tc>
          <w:tcPr>
            <w:tcW w:type="dxa" w:w="13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FR-007</w:t>
            </w:r>
          </w:p>
        </w:tc>
        <w:tc>
          <w:tcPr>
            <w:tcW w:type="dxa" w:w="4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System SHALL ingest TCGA CCA expression data and normalize it for the Expression Heatmap</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Phase 1</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High</w:t>
            </w:r>
          </w:p>
        </w:tc>
      </w:tr>
      <w:tr>
        <w:tc>
          <w:tcPr>
            <w:tcW w:type="dxa" w:w="1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FR-008</w:t>
            </w:r>
          </w:p>
        </w:tc>
        <w:tc>
          <w:tcPr>
            <w:tcW w:type="dxa" w:w="4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Pipeline SHALL be re-runnable on new UniProt releases without manual intervention</w:t>
            </w:r>
          </w:p>
        </w:tc>
        <w:tc>
          <w:tcPr>
            <w:tcW w:type="dxa" w:w="1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Phase 1</w:t>
            </w:r>
          </w:p>
        </w:tc>
        <w:tc>
          <w:tcPr>
            <w:tcW w:type="dxa" w:w="13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High</w:t>
            </w:r>
          </w:p>
        </w:tc>
      </w:tr>
    </w:tbl>
    <w:p>
      <w:pPr>
        <w:spacing w:before="80" w:after="80"/>
      </w:pPr>
      <w:r>
        <w:t xml:space="preserve"/>
      </w:r>
    </w:p>
    <w:p>
      <w:pPr>
        <w:pStyle w:val="Heading3"/>
        <w:spacing w:before="200" w:after="80"/>
      </w:pPr>
      <w:r>
        <w:rPr>
          <w:rFonts w:ascii="Arial" w:cs="Arial" w:eastAsia="Arial" w:hAnsi="Arial"/>
          <w:b/>
          <w:bCs/>
          <w:color w:val="0070C0"/>
          <w:sz w:val="24"/>
          <w:szCs w:val="24"/>
        </w:rPr>
        <w:t xml:space="preserve">3.7.2  Visualization Suite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4600"/>
        <w:gridCol w:w="1200"/>
        <w:gridCol w:w="1360"/>
      </w:tblGrid>
      <w:tr>
        <w:tc>
          <w:tcPr>
            <w:tcW w:type="dxa" w:w="12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FR ID</w:t>
            </w:r>
          </w:p>
        </w:tc>
        <w:tc>
          <w:tcPr>
            <w:tcW w:type="dxa" w:w="46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13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FR-009</w:t>
            </w:r>
          </w:p>
        </w:tc>
        <w:tc>
          <w:tcPr>
            <w:tcW w:type="dxa" w:w="4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System SHALL accept a UniProt ID or raw amino acid sequence and return a 3D structural model</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Phase 2</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Critical</w:t>
            </w:r>
          </w:p>
        </w:tc>
      </w:tr>
      <w:tr>
        <w:tc>
          <w:tcPr>
            <w:tcW w:type="dxa" w:w="1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FR-010</w:t>
            </w:r>
          </w:p>
        </w:tc>
        <w:tc>
          <w:tcPr>
            <w:tcW w:type="dxa" w:w="4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System SHALL query AlphaFold DB first; fall back to SWISS-MODEL if structure not found</w:t>
            </w:r>
          </w:p>
        </w:tc>
        <w:tc>
          <w:tcPr>
            <w:tcW w:type="dxa" w:w="1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Phase 2</w:t>
            </w:r>
          </w:p>
        </w:tc>
        <w:tc>
          <w:tcPr>
            <w:tcW w:type="dxa" w:w="13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Critical</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FR-011</w:t>
            </w:r>
          </w:p>
        </w:tc>
        <w:tc>
          <w:tcPr>
            <w:tcW w:type="dxa" w:w="4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System SHALL render 3D protein structures in the browser using WebGL (Mol* or 3Dmol.js)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Phase 2</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Critical</w:t>
            </w:r>
          </w:p>
        </w:tc>
      </w:tr>
      <w:tr>
        <w:tc>
          <w:tcPr>
            <w:tcW w:type="dxa" w:w="1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FR-012</w:t>
            </w:r>
          </w:p>
        </w:tc>
        <w:tc>
          <w:tcPr>
            <w:tcW w:type="dxa" w:w="4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3D viewer SHALL support cartoon, surface, and ball-and-stick representation modes</w:t>
            </w:r>
          </w:p>
        </w:tc>
        <w:tc>
          <w:tcPr>
            <w:tcW w:type="dxa" w:w="1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Phase 2</w:t>
            </w:r>
          </w:p>
        </w:tc>
        <w:tc>
          <w:tcPr>
            <w:tcW w:type="dxa" w:w="13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FR-013</w:t>
            </w:r>
          </w:p>
        </w:tc>
        <w:tc>
          <w:tcPr>
            <w:tcW w:type="dxa" w:w="4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3D viewer SHALL color structures by pLDDT confidence score with blue/orange/red scale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Phase 2</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High</w:t>
            </w:r>
          </w:p>
        </w:tc>
      </w:tr>
      <w:tr>
        <w:tc>
          <w:tcPr>
            <w:tcW w:type="dxa" w:w="1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FR-014</w:t>
            </w:r>
          </w:p>
        </w:tc>
        <w:tc>
          <w:tcPr>
            <w:tcW w:type="dxa" w:w="4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System SHALL display PAE (Predicted Aligned Error) plot alongside predicted structures</w:t>
            </w:r>
          </w:p>
        </w:tc>
        <w:tc>
          <w:tcPr>
            <w:tcW w:type="dxa" w:w="1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Phase 2</w:t>
            </w:r>
          </w:p>
        </w:tc>
        <w:tc>
          <w:tcPr>
            <w:tcW w:type="dxa" w:w="13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FR-015</w:t>
            </w:r>
          </w:p>
        </w:tc>
        <w:tc>
          <w:tcPr>
            <w:tcW w:type="dxa" w:w="4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Sequence Annotator SHALL display GO-relevant regions, active sites, PTM sites, signal peptides, and transmembrane domains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Phase 2</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High</w:t>
            </w:r>
          </w:p>
        </w:tc>
      </w:tr>
      <w:tr>
        <w:tc>
          <w:tcPr>
            <w:tcW w:type="dxa" w:w="1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FR-016</w:t>
            </w:r>
          </w:p>
        </w:tc>
        <w:tc>
          <w:tcPr>
            <w:tcW w:type="dxa" w:w="4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Structure Comparator SHALL accept two structures and compute RMSD with overlaid rendering</w:t>
            </w:r>
          </w:p>
        </w:tc>
        <w:tc>
          <w:tcPr>
            <w:tcW w:type="dxa" w:w="1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Phase 2</w:t>
            </w:r>
          </w:p>
        </w:tc>
        <w:tc>
          <w:tcPr>
            <w:tcW w:type="dxa" w:w="13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FR-017</w:t>
            </w:r>
          </w:p>
        </w:tc>
        <w:tc>
          <w:tcPr>
            <w:tcW w:type="dxa" w:w="4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Interaction Network Viewer SHALL render PPI networks as interactive expandable graphs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Phase 2</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High</w:t>
            </w:r>
          </w:p>
        </w:tc>
      </w:tr>
      <w:tr>
        <w:tc>
          <w:tcPr>
            <w:tcW w:type="dxa" w:w="1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FR-018</w:t>
            </w:r>
          </w:p>
        </w:tc>
        <w:tc>
          <w:tcPr>
            <w:tcW w:type="dxa" w:w="4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Expression Heatmap SHALL visualize TCGA expression data across tissue types</w:t>
            </w:r>
          </w:p>
        </w:tc>
        <w:tc>
          <w:tcPr>
            <w:tcW w:type="dxa" w:w="1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Phase 2</w:t>
            </w:r>
          </w:p>
        </w:tc>
        <w:tc>
          <w:tcPr>
            <w:tcW w:type="dxa" w:w="13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FR-019</w:t>
            </w:r>
          </w:p>
        </w:tc>
        <w:tc>
          <w:tcPr>
            <w:tcW w:type="dxa" w:w="4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All visualization tools SHALL be accessible as standalone features without AI query involvement</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Phase 2</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Critical</w:t>
            </w:r>
          </w:p>
        </w:tc>
      </w:tr>
      <w:tr>
        <w:tc>
          <w:tcPr>
            <w:tcW w:type="dxa" w:w="1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FR-020</w:t>
            </w:r>
          </w:p>
        </w:tc>
        <w:tc>
          <w:tcPr>
            <w:tcW w:type="dxa" w:w="4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3D viewer SHALL allow export of rendered images in PNG format</w:t>
            </w:r>
          </w:p>
        </w:tc>
        <w:tc>
          <w:tcPr>
            <w:tcW w:type="dxa" w:w="1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Phase 2</w:t>
            </w:r>
          </w:p>
        </w:tc>
        <w:tc>
          <w:tcPr>
            <w:tcW w:type="dxa" w:w="13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Medium</w:t>
            </w:r>
          </w:p>
        </w:tc>
      </w:tr>
    </w:tbl>
    <w:p>
      <w:pPr>
        <w:spacing w:before="80" w:after="80"/>
      </w:pPr>
      <w:r>
        <w:t xml:space="preserve"/>
      </w:r>
    </w:p>
    <w:p>
      <w:pPr>
        <w:pStyle w:val="Heading3"/>
        <w:spacing w:before="200" w:after="80"/>
      </w:pPr>
      <w:r>
        <w:rPr>
          <w:rFonts w:ascii="Arial" w:cs="Arial" w:eastAsia="Arial" w:hAnsi="Arial"/>
          <w:b/>
          <w:bCs/>
          <w:color w:val="0070C0"/>
          <w:sz w:val="24"/>
          <w:szCs w:val="24"/>
        </w:rPr>
        <w:t xml:space="preserve">3.7.3  Model 1 — Protein Function Prediction</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4600"/>
        <w:gridCol w:w="1200"/>
        <w:gridCol w:w="1360"/>
      </w:tblGrid>
      <w:tr>
        <w:tc>
          <w:tcPr>
            <w:tcW w:type="dxa" w:w="12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FR ID</w:t>
            </w:r>
          </w:p>
        </w:tc>
        <w:tc>
          <w:tcPr>
            <w:tcW w:type="dxa" w:w="46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13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FR-021</w:t>
            </w:r>
          </w:p>
        </w:tc>
        <w:tc>
          <w:tcPr>
            <w:tcW w:type="dxa" w:w="4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System SHALL extract ESM-2 embeddings for all proteins in the pilot dataset</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Phase 3</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Critical</w:t>
            </w:r>
          </w:p>
        </w:tc>
      </w:tr>
      <w:tr>
        <w:tc>
          <w:tcPr>
            <w:tcW w:type="dxa" w:w="1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FR-022</w:t>
            </w:r>
          </w:p>
        </w:tc>
        <w:tc>
          <w:tcPr>
            <w:tcW w:type="dxa" w:w="4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System SHALL train a multi-label classifier for GO Molecular Function prediction</w:t>
            </w:r>
          </w:p>
        </w:tc>
        <w:tc>
          <w:tcPr>
            <w:tcW w:type="dxa" w:w="1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Phase 3</w:t>
            </w:r>
          </w:p>
        </w:tc>
        <w:tc>
          <w:tcPr>
            <w:tcW w:type="dxa" w:w="13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Critical</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FR-023</w:t>
            </w:r>
          </w:p>
        </w:tc>
        <w:tc>
          <w:tcPr>
            <w:tcW w:type="dxa" w:w="4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System SHALL evaluate Model 1 using Fmax, AUPR, and MCC on the time-based test set</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Phase 3</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Critical</w:t>
            </w:r>
          </w:p>
        </w:tc>
      </w:tr>
      <w:tr>
        <w:tc>
          <w:tcPr>
            <w:tcW w:type="dxa" w:w="1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FR-024</w:t>
            </w:r>
          </w:p>
        </w:tc>
        <w:tc>
          <w:tcPr>
            <w:tcW w:type="dxa" w:w="4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Function prediction output SHALL include per-GO-term confidence scores</w:t>
            </w:r>
          </w:p>
        </w:tc>
        <w:tc>
          <w:tcPr>
            <w:tcW w:type="dxa" w:w="1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Phase 3</w:t>
            </w:r>
          </w:p>
        </w:tc>
        <w:tc>
          <w:tcPr>
            <w:tcW w:type="dxa" w:w="13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Critical</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FR-025</w:t>
            </w:r>
          </w:p>
        </w:tc>
        <w:tc>
          <w:tcPr>
            <w:tcW w:type="dxa" w:w="4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System SHALL generate residue-level attention heatmaps using ESM-2 attention weights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Phase 3</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High</w:t>
            </w:r>
          </w:p>
        </w:tc>
      </w:tr>
      <w:tr>
        <w:tc>
          <w:tcPr>
            <w:tcW w:type="dxa" w:w="1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FR-026</w:t>
            </w:r>
          </w:p>
        </w:tc>
        <w:tc>
          <w:tcPr>
            <w:tcW w:type="dxa" w:w="4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Function prediction output SHALL be linked to the Sequence Annotator view</w:t>
            </w:r>
          </w:p>
        </w:tc>
        <w:tc>
          <w:tcPr>
            <w:tcW w:type="dxa" w:w="1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Phase 3</w:t>
            </w:r>
          </w:p>
        </w:tc>
        <w:tc>
          <w:tcPr>
            <w:tcW w:type="dxa" w:w="13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FR-027</w:t>
            </w:r>
          </w:p>
        </w:tc>
        <w:tc>
          <w:tcPr>
            <w:tcW w:type="dxa" w:w="4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Function prediction output SHALL be linked to the 3D Viewer with highlighted residue regions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Phase 3</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High</w:t>
            </w:r>
          </w:p>
        </w:tc>
      </w:tr>
    </w:tbl>
    <w:p>
      <w:pPr>
        <w:spacing w:before="80" w:after="80"/>
      </w:pPr>
      <w:r>
        <w:t xml:space="preserve"/>
      </w:r>
    </w:p>
    <w:p>
      <w:pPr>
        <w:pStyle w:val="Heading3"/>
        <w:spacing w:before="200" w:after="80"/>
      </w:pPr>
      <w:r>
        <w:rPr>
          <w:rFonts w:ascii="Arial" w:cs="Arial" w:eastAsia="Arial" w:hAnsi="Arial"/>
          <w:b/>
          <w:bCs/>
          <w:color w:val="0070C0"/>
          <w:sz w:val="24"/>
          <w:szCs w:val="24"/>
        </w:rPr>
        <w:t xml:space="preserve">3.7.4  Explainability &amp; Trust Layer</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4600"/>
        <w:gridCol w:w="1200"/>
        <w:gridCol w:w="1360"/>
      </w:tblGrid>
      <w:tr>
        <w:tc>
          <w:tcPr>
            <w:tcW w:type="dxa" w:w="12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FR ID</w:t>
            </w:r>
          </w:p>
        </w:tc>
        <w:tc>
          <w:tcPr>
            <w:tcW w:type="dxa" w:w="46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13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FR-028</w:t>
            </w:r>
          </w:p>
        </w:tc>
        <w:tc>
          <w:tcPr>
            <w:tcW w:type="dxa" w:w="4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System SHALL generate an Evidence Graph for every prediction showing sequence, structural, and literature evidence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Phase 4</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Critical</w:t>
            </w:r>
          </w:p>
        </w:tc>
      </w:tr>
      <w:tr>
        <w:tc>
          <w:tcPr>
            <w:tcW w:type="dxa" w:w="1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FR-029</w:t>
            </w:r>
          </w:p>
        </w:tc>
        <w:tc>
          <w:tcPr>
            <w:tcW w:type="dxa" w:w="4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System SHALL implement and report confidence calibration curves for all models</w:t>
            </w:r>
          </w:p>
        </w:tc>
        <w:tc>
          <w:tcPr>
            <w:tcW w:type="dxa" w:w="1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Phase 4</w:t>
            </w:r>
          </w:p>
        </w:tc>
        <w:tc>
          <w:tcPr>
            <w:tcW w:type="dxa" w:w="13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FR-030</w:t>
            </w:r>
          </w:p>
        </w:tc>
        <w:tc>
          <w:tcPr>
            <w:tcW w:type="dxa" w:w="4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System SHALL apply Platt or temperature scaling to correct miscalibrated predictions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Phase 4</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High</w:t>
            </w:r>
          </w:p>
        </w:tc>
      </w:tr>
      <w:tr>
        <w:tc>
          <w:tcPr>
            <w:tcW w:type="dxa" w:w="1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FR-031</w:t>
            </w:r>
          </w:p>
        </w:tc>
        <w:tc>
          <w:tcPr>
            <w:tcW w:type="dxa" w:w="4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Mutation analysis SHALL identify whether a mutation falls in an active site, allosteric site, or drug-binding region</w:t>
            </w:r>
          </w:p>
        </w:tc>
        <w:tc>
          <w:tcPr>
            <w:tcW w:type="dxa" w:w="1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Phase 4</w:t>
            </w:r>
          </w:p>
        </w:tc>
        <w:tc>
          <w:tcPr>
            <w:tcW w:type="dxa" w:w="13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FR-032</w:t>
            </w:r>
          </w:p>
        </w:tc>
        <w:tc>
          <w:tcPr>
            <w:tcW w:type="dxa" w:w="4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Every prediction output SHALL include at least one verifiable database reference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Phase 4</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Critical</w:t>
            </w:r>
          </w:p>
        </w:tc>
      </w:tr>
    </w:tbl>
    <w:p>
      <w:pPr>
        <w:spacing w:before="80" w:after="80"/>
      </w:pPr>
      <w:r>
        <w:t xml:space="preserve"/>
      </w:r>
    </w:p>
    <w:p>
      <w:pPr>
        <w:pStyle w:val="Heading3"/>
        <w:spacing w:before="200" w:after="80"/>
      </w:pPr>
      <w:r>
        <w:rPr>
          <w:rFonts w:ascii="Arial" w:cs="Arial" w:eastAsia="Arial" w:hAnsi="Arial"/>
          <w:b/>
          <w:bCs/>
          <w:color w:val="0070C0"/>
          <w:sz w:val="24"/>
          <w:szCs w:val="24"/>
        </w:rPr>
        <w:t xml:space="preserve">3.7.5  Model 2 — Protein-Protein Interaction Prediction</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4600"/>
        <w:gridCol w:w="1200"/>
        <w:gridCol w:w="1360"/>
      </w:tblGrid>
      <w:tr>
        <w:tc>
          <w:tcPr>
            <w:tcW w:type="dxa" w:w="12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FR ID</w:t>
            </w:r>
          </w:p>
        </w:tc>
        <w:tc>
          <w:tcPr>
            <w:tcW w:type="dxa" w:w="46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13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FR-033</w:t>
            </w:r>
          </w:p>
        </w:tc>
        <w:tc>
          <w:tcPr>
            <w:tcW w:type="dxa" w:w="4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System SHALL accept two protein inputs and predict interaction probability and type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Phase 5</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Critical</w:t>
            </w:r>
          </w:p>
        </w:tc>
      </w:tr>
      <w:tr>
        <w:tc>
          <w:tcPr>
            <w:tcW w:type="dxa" w:w="1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FR-034</w:t>
            </w:r>
          </w:p>
        </w:tc>
        <w:tc>
          <w:tcPr>
            <w:tcW w:type="dxa" w:w="4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PPI prediction SHALL use paired ESM-2 embeddings (concatenation + difference + product)</w:t>
            </w:r>
          </w:p>
        </w:tc>
        <w:tc>
          <w:tcPr>
            <w:tcW w:type="dxa" w:w="1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Phase 5</w:t>
            </w:r>
          </w:p>
        </w:tc>
        <w:tc>
          <w:tcPr>
            <w:tcW w:type="dxa" w:w="13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Critical</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FR-035</w:t>
            </w:r>
          </w:p>
        </w:tc>
        <w:tc>
          <w:tcPr>
            <w:tcW w:type="dxa" w:w="4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PPI output SHALL include predicted interaction residues and binding interface visualization</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Phase 5</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High</w:t>
            </w:r>
          </w:p>
        </w:tc>
      </w:tr>
      <w:tr>
        <w:tc>
          <w:tcPr>
            <w:tcW w:type="dxa" w:w="1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FR-036</w:t>
            </w:r>
          </w:p>
        </w:tc>
        <w:tc>
          <w:tcPr>
            <w:tcW w:type="dxa" w:w="4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PPI output SHALL query DrugBank for compounds targeting the interaction</w:t>
            </w:r>
          </w:p>
        </w:tc>
        <w:tc>
          <w:tcPr>
            <w:tcW w:type="dxa" w:w="1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Phase 5</w:t>
            </w:r>
          </w:p>
        </w:tc>
        <w:tc>
          <w:tcPr>
            <w:tcW w:type="dxa" w:w="13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FR-037</w:t>
            </w:r>
          </w:p>
        </w:tc>
        <w:tc>
          <w:tcPr>
            <w:tcW w:type="dxa" w:w="4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PPI output SHALL show the protein pair in their broader interaction network context</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Phase 5</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High</w:t>
            </w:r>
          </w:p>
        </w:tc>
      </w:tr>
    </w:tbl>
    <w:p>
      <w:pPr>
        <w:spacing w:before="80" w:after="80"/>
      </w:pPr>
      <w:r>
        <w:t xml:space="preserve"/>
      </w:r>
    </w:p>
    <w:p>
      <w:pPr>
        <w:pStyle w:val="Heading3"/>
        <w:spacing w:before="200" w:after="80"/>
      </w:pPr>
      <w:r>
        <w:rPr>
          <w:rFonts w:ascii="Arial" w:cs="Arial" w:eastAsia="Arial" w:hAnsi="Arial"/>
          <w:b/>
          <w:bCs/>
          <w:color w:val="0070C0"/>
          <w:sz w:val="24"/>
          <w:szCs w:val="24"/>
        </w:rPr>
        <w:t xml:space="preserve">3.7.6  Model 3 — Cross-Species Essentiality &amp; Mutation Analysis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4600"/>
        <w:gridCol w:w="1200"/>
        <w:gridCol w:w="1360"/>
      </w:tblGrid>
      <w:tr>
        <w:tc>
          <w:tcPr>
            <w:tcW w:type="dxa" w:w="12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FR ID</w:t>
            </w:r>
          </w:p>
        </w:tc>
        <w:tc>
          <w:tcPr>
            <w:tcW w:type="dxa" w:w="46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13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FR-038</w:t>
            </w:r>
          </w:p>
        </w:tc>
        <w:tc>
          <w:tcPr>
            <w:tcW w:type="dxa" w:w="4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System SHALL predict protein essentiality scores across human, mouse, and yeast</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Phase 6</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Critical</w:t>
            </w:r>
          </w:p>
        </w:tc>
      </w:tr>
      <w:tr>
        <w:tc>
          <w:tcPr>
            <w:tcW w:type="dxa" w:w="1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FR-039</w:t>
            </w:r>
          </w:p>
        </w:tc>
        <w:tc>
          <w:tcPr>
            <w:tcW w:type="dxa" w:w="4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System SHALL predict mutation effect as neutral, mildly disruptive, or severely damaging</w:t>
            </w:r>
          </w:p>
        </w:tc>
        <w:tc>
          <w:tcPr>
            <w:tcW w:type="dxa" w:w="1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Phase 6</w:t>
            </w:r>
          </w:p>
        </w:tc>
        <w:tc>
          <w:tcPr>
            <w:tcW w:type="dxa" w:w="13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Critical</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FR-040</w:t>
            </w:r>
          </w:p>
        </w:tc>
        <w:tc>
          <w:tcPr>
            <w:tcW w:type="dxa" w:w="4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Mutation analysis SHALL automatically render WT vs. mutant Structure Comparator overlay</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Phase 6</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High</w:t>
            </w:r>
          </w:p>
        </w:tc>
      </w:tr>
      <w:tr>
        <w:tc>
          <w:tcPr>
            <w:tcW w:type="dxa" w:w="1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FR-041</w:t>
            </w:r>
          </w:p>
        </w:tc>
        <w:tc>
          <w:tcPr>
            <w:tcW w:type="dxa" w:w="4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System SHALL support batch analysis of TCGA differentially expressed proteins for network-level essentiality mapping</w:t>
            </w:r>
          </w:p>
        </w:tc>
        <w:tc>
          <w:tcPr>
            <w:tcW w:type="dxa" w:w="1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Phase 6</w:t>
            </w:r>
          </w:p>
        </w:tc>
        <w:tc>
          <w:tcPr>
            <w:tcW w:type="dxa" w:w="13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High</w:t>
            </w:r>
          </w:p>
        </w:tc>
      </w:tr>
    </w:tbl>
    <w:p>
      <w:pPr>
        <w:spacing w:before="80" w:after="80"/>
      </w:pPr>
      <w:r>
        <w:t xml:space="preserve"/>
      </w:r>
    </w:p>
    <w:p>
      <w:pPr>
        <w:pStyle w:val="Heading3"/>
        <w:spacing w:before="200" w:after="80"/>
      </w:pPr>
      <w:r>
        <w:rPr>
          <w:rFonts w:ascii="Arial" w:cs="Arial" w:eastAsia="Arial" w:hAnsi="Arial"/>
          <w:b/>
          <w:bCs/>
          <w:color w:val="0070C0"/>
          <w:sz w:val="24"/>
          <w:szCs w:val="24"/>
        </w:rPr>
        <w:t xml:space="preserve">3.7.7  CCA Clinical Demonstration</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4600"/>
        <w:gridCol w:w="1200"/>
        <w:gridCol w:w="1360"/>
      </w:tblGrid>
      <w:tr>
        <w:tc>
          <w:tcPr>
            <w:tcW w:type="dxa" w:w="12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FR ID</w:t>
            </w:r>
          </w:p>
        </w:tc>
        <w:tc>
          <w:tcPr>
            <w:tcW w:type="dxa" w:w="46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13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FR-042</w:t>
            </w:r>
          </w:p>
        </w:tc>
        <w:tc>
          <w:tcPr>
            <w:tcW w:type="dxa" w:w="4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System SHALL identify significantly differentially expressed proteins in CCA tumor vs. normal tissue using TCGA data</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Phase 7</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Critical</w:t>
            </w:r>
          </w:p>
        </w:tc>
      </w:tr>
      <w:tr>
        <w:tc>
          <w:tcPr>
            <w:tcW w:type="dxa" w:w="1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FR-043</w:t>
            </w:r>
          </w:p>
        </w:tc>
        <w:tc>
          <w:tcPr>
            <w:tcW w:type="dxa" w:w="4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System SHALL run CCA candidate proteins through the full ProtMind pipeline automatically</w:t>
            </w:r>
          </w:p>
        </w:tc>
        <w:tc>
          <w:tcPr>
            <w:tcW w:type="dxa" w:w="1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Phase 7</w:t>
            </w:r>
          </w:p>
        </w:tc>
        <w:tc>
          <w:tcPr>
            <w:tcW w:type="dxa" w:w="13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Critical</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FR-044</w:t>
            </w:r>
          </w:p>
        </w:tc>
        <w:tc>
          <w:tcPr>
            <w:tcW w:type="dxa" w:w="4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System SHALL produce a ranked list of CCA biomarker and drug target candidates with full evidence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Phase 7</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Critical</w:t>
            </w:r>
          </w:p>
        </w:tc>
      </w:tr>
      <w:tr>
        <w:tc>
          <w:tcPr>
            <w:tcW w:type="dxa" w:w="1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FR-045</w:t>
            </w:r>
          </w:p>
        </w:tc>
        <w:tc>
          <w:tcPr>
            <w:tcW w:type="dxa" w:w="4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System SHALL export the full evidence graph and predictions as a structured PDF report</w:t>
            </w:r>
          </w:p>
        </w:tc>
        <w:tc>
          <w:tcPr>
            <w:tcW w:type="dxa" w:w="1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Phase 7</w:t>
            </w:r>
          </w:p>
        </w:tc>
        <w:tc>
          <w:tcPr>
            <w:tcW w:type="dxa" w:w="13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High</w:t>
            </w:r>
          </w:p>
        </w:tc>
      </w:tr>
    </w:tbl>
    <w:p>
      <w:pPr>
        <w:spacing w:before="80" w:after="80"/>
      </w:pPr>
      <w:r>
        <w:t xml:space="preserve"/>
      </w:r>
    </w:p>
    <w:p>
      <w:pPr>
        <w:pStyle w:val="Heading2"/>
        <w:spacing w:before="280" w:after="120"/>
      </w:pPr>
      <w:r>
        <w:rPr>
          <w:rFonts w:ascii="Arial" w:cs="Arial" w:eastAsia="Arial" w:hAnsi="Arial"/>
          <w:b/>
          <w:bCs/>
          <w:color w:val="2E75B6"/>
          <w:sz w:val="28"/>
          <w:szCs w:val="28"/>
        </w:rPr>
        <w:t xml:space="preserve">3.8  Non-Functional Requirements (NFR)</w:t>
      </w:r>
    </w:p>
    <w:p>
      <w:pPr>
        <w:pStyle w:val="Heading3"/>
        <w:spacing w:before="200" w:after="80"/>
      </w:pPr>
      <w:r>
        <w:rPr>
          <w:rFonts w:ascii="Arial" w:cs="Arial" w:eastAsia="Arial" w:hAnsi="Arial"/>
          <w:b/>
          <w:bCs/>
          <w:color w:val="0070C0"/>
          <w:sz w:val="24"/>
          <w:szCs w:val="24"/>
        </w:rPr>
        <w:t xml:space="preserve">3.8.1  Security</w:t>
      </w:r>
    </w:p>
    <w:p>
      <w:pPr>
        <w:pStyle w:val="ListParagraph"/>
        <w:numPr>
          <w:ilvl w:val="0"/>
          <w:numId w:val="3"/>
        </w:numPr>
        <w:spacing w:before="50" w:after="50"/>
      </w:pPr>
      <w:r>
        <w:rPr>
          <w:rFonts w:ascii="Arial" w:cs="Arial" w:eastAsia="Arial" w:hAnsi="Arial"/>
          <w:color w:val="1A1A2E"/>
          <w:sz w:val="22"/>
          <w:szCs w:val="22"/>
        </w:rPr>
        <w:t xml:space="preserve">NFR-001: All data in transit MUST be encrypted using TLS 1.3 or higher.</w:t>
      </w:r>
    </w:p>
    <w:p>
      <w:pPr>
        <w:pStyle w:val="ListParagraph"/>
        <w:numPr>
          <w:ilvl w:val="0"/>
          <w:numId w:val="3"/>
        </w:numPr>
        <w:spacing w:before="50" w:after="50"/>
      </w:pPr>
      <w:r>
        <w:rPr>
          <w:rFonts w:ascii="Arial" w:cs="Arial" w:eastAsia="Arial" w:hAnsi="Arial"/>
          <w:color w:val="1A1A2E"/>
          <w:sz w:val="22"/>
          <w:szCs w:val="22"/>
        </w:rPr>
        <w:t xml:space="preserve">NFR-002: No personally identifiable information (PII) or protected health information (PHI) SHALL be stored on the platform.</w:t>
      </w:r>
    </w:p>
    <w:p>
      <w:pPr>
        <w:pStyle w:val="ListParagraph"/>
        <w:numPr>
          <w:ilvl w:val="0"/>
          <w:numId w:val="3"/>
        </w:numPr>
        <w:spacing w:before="50" w:after="50"/>
      </w:pPr>
      <w:r>
        <w:rPr>
          <w:rFonts w:ascii="Arial" w:cs="Arial" w:eastAsia="Arial" w:hAnsi="Arial"/>
          <w:color w:val="1A1A2E"/>
          <w:sz w:val="22"/>
          <w:szCs w:val="22"/>
        </w:rPr>
        <w:t xml:space="preserve">NFR-003: API keys for external services MUST be stored in environment variables, never hardcoded in source code.</w:t>
      </w:r>
    </w:p>
    <w:p>
      <w:pPr>
        <w:pStyle w:val="ListParagraph"/>
        <w:numPr>
          <w:ilvl w:val="0"/>
          <w:numId w:val="3"/>
        </w:numPr>
        <w:spacing w:before="50" w:after="50"/>
      </w:pPr>
      <w:r>
        <w:rPr>
          <w:rFonts w:ascii="Arial" w:cs="Arial" w:eastAsia="Arial" w:hAnsi="Arial"/>
          <w:color w:val="1A1A2E"/>
          <w:sz w:val="22"/>
          <w:szCs w:val="22"/>
        </w:rPr>
        <w:t xml:space="preserve">NFR-004: Authentication tokens MUST expire and support refresh token rotation.</w:t>
      </w:r>
    </w:p>
    <w:p>
      <w:pPr>
        <w:pStyle w:val="ListParagraph"/>
        <w:numPr>
          <w:ilvl w:val="0"/>
          <w:numId w:val="3"/>
        </w:numPr>
        <w:spacing w:before="50" w:after="50"/>
      </w:pPr>
      <w:r>
        <w:rPr>
          <w:rFonts w:ascii="Arial" w:cs="Arial" w:eastAsia="Arial" w:hAnsi="Arial"/>
          <w:color w:val="1A1A2E"/>
          <w:sz w:val="22"/>
          <w:szCs w:val="22"/>
        </w:rPr>
        <w:t xml:space="preserve">NFR-005: SQL injection, XSS, and CSRF protections MUST be implemented across all API endpoints.</w:t>
      </w:r>
    </w:p>
    <w:p>
      <w:pPr>
        <w:spacing w:before="80" w:after="80"/>
      </w:pPr>
      <w:r>
        <w:t xml:space="preserve"/>
      </w:r>
    </w:p>
    <w:p>
      <w:pPr>
        <w:pStyle w:val="Heading3"/>
        <w:spacing w:before="200" w:after="80"/>
      </w:pPr>
      <w:r>
        <w:rPr>
          <w:rFonts w:ascii="Arial" w:cs="Arial" w:eastAsia="Arial" w:hAnsi="Arial"/>
          <w:b/>
          <w:bCs/>
          <w:color w:val="0070C0"/>
          <w:sz w:val="24"/>
          <w:szCs w:val="24"/>
        </w:rPr>
        <w:t xml:space="preserve">3.8.2  Performance</w:t>
      </w:r>
    </w:p>
    <w:p>
      <w:pPr>
        <w:pStyle w:val="ListParagraph"/>
        <w:numPr>
          <w:ilvl w:val="0"/>
          <w:numId w:val="3"/>
        </w:numPr>
        <w:spacing w:before="50" w:after="50"/>
      </w:pPr>
      <w:r>
        <w:rPr>
          <w:rFonts w:ascii="Arial" w:cs="Arial" w:eastAsia="Arial" w:hAnsi="Arial"/>
          <w:color w:val="1A1A2E"/>
          <w:sz w:val="22"/>
          <w:szCs w:val="22"/>
        </w:rPr>
        <w:t xml:space="preserve">NFR-006: 3D structure rendering for proteins up to 500 residues MUST complete within 3 seconds on recommended client hardware.</w:t>
      </w:r>
    </w:p>
    <w:p>
      <w:pPr>
        <w:pStyle w:val="ListParagraph"/>
        <w:numPr>
          <w:ilvl w:val="0"/>
          <w:numId w:val="3"/>
        </w:numPr>
        <w:spacing w:before="50" w:after="50"/>
      </w:pPr>
      <w:r>
        <w:rPr>
          <w:rFonts w:ascii="Arial" w:cs="Arial" w:eastAsia="Arial" w:hAnsi="Arial"/>
          <w:color w:val="1A1A2E"/>
          <w:sz w:val="22"/>
          <w:szCs w:val="22"/>
        </w:rPr>
        <w:t xml:space="preserve">NFR-007: Protein function prediction inference MUST complete within 10 seconds for a single protein.</w:t>
      </w:r>
    </w:p>
    <w:p>
      <w:pPr>
        <w:pStyle w:val="ListParagraph"/>
        <w:numPr>
          <w:ilvl w:val="0"/>
          <w:numId w:val="3"/>
        </w:numPr>
        <w:spacing w:before="50" w:after="50"/>
      </w:pPr>
      <w:r>
        <w:rPr>
          <w:rFonts w:ascii="Arial" w:cs="Arial" w:eastAsia="Arial" w:hAnsi="Arial"/>
          <w:color w:val="1A1A2E"/>
          <w:sz w:val="22"/>
          <w:szCs w:val="22"/>
        </w:rPr>
        <w:t xml:space="preserve">NFR-008: Dashboard initial load time MUST be under 2 seconds on a 50 Mbps connection.</w:t>
      </w:r>
    </w:p>
    <w:p>
      <w:pPr>
        <w:pStyle w:val="ListParagraph"/>
        <w:numPr>
          <w:ilvl w:val="0"/>
          <w:numId w:val="3"/>
        </w:numPr>
        <w:spacing w:before="50" w:after="50"/>
      </w:pPr>
      <w:r>
        <w:rPr>
          <w:rFonts w:ascii="Arial" w:cs="Arial" w:eastAsia="Arial" w:hAnsi="Arial"/>
          <w:color w:val="1A1A2E"/>
          <w:sz w:val="22"/>
          <w:szCs w:val="22"/>
        </w:rPr>
        <w:t xml:space="preserve">NFR-009: API responses for metadata queries (not structure files) MUST be under 500ms at the 95th percentile.</w:t>
      </w:r>
    </w:p>
    <w:p>
      <w:pPr>
        <w:spacing w:before="80" w:after="80"/>
      </w:pPr>
      <w:r>
        <w:t xml:space="preserve"/>
      </w:r>
    </w:p>
    <w:p>
      <w:pPr>
        <w:pStyle w:val="Heading3"/>
        <w:spacing w:before="200" w:after="80"/>
      </w:pPr>
      <w:r>
        <w:rPr>
          <w:rFonts w:ascii="Arial" w:cs="Arial" w:eastAsia="Arial" w:hAnsi="Arial"/>
          <w:b/>
          <w:bCs/>
          <w:color w:val="0070C0"/>
          <w:sz w:val="24"/>
          <w:szCs w:val="24"/>
        </w:rPr>
        <w:t xml:space="preserve">3.8.3  Scalability</w:t>
      </w:r>
    </w:p>
    <w:p>
      <w:pPr>
        <w:pStyle w:val="ListParagraph"/>
        <w:numPr>
          <w:ilvl w:val="0"/>
          <w:numId w:val="3"/>
        </w:numPr>
        <w:spacing w:before="50" w:after="50"/>
      </w:pPr>
      <w:r>
        <w:rPr>
          <w:rFonts w:ascii="Arial" w:cs="Arial" w:eastAsia="Arial" w:hAnsi="Arial"/>
          <w:color w:val="1A1A2E"/>
          <w:sz w:val="22"/>
          <w:szCs w:val="22"/>
        </w:rPr>
        <w:t xml:space="preserve">NFR-010: The system MUST support at least 100 concurrent users during MVP phase without performance degradation.</w:t>
      </w:r>
    </w:p>
    <w:p>
      <w:pPr>
        <w:pStyle w:val="ListParagraph"/>
        <w:numPr>
          <w:ilvl w:val="0"/>
          <w:numId w:val="3"/>
        </w:numPr>
        <w:spacing w:before="50" w:after="50"/>
      </w:pPr>
      <w:r>
        <w:rPr>
          <w:rFonts w:ascii="Arial" w:cs="Arial" w:eastAsia="Arial" w:hAnsi="Arial"/>
          <w:color w:val="1A1A2E"/>
          <w:sz w:val="22"/>
          <w:szCs w:val="22"/>
        </w:rPr>
        <w:t xml:space="preserve">NFR-011: The data pipeline MUST process a full UniProt Swiss-Prot refresh within 24 hours.</w:t>
      </w:r>
    </w:p>
    <w:p>
      <w:pPr>
        <w:pStyle w:val="ListParagraph"/>
        <w:numPr>
          <w:ilvl w:val="0"/>
          <w:numId w:val="3"/>
        </w:numPr>
        <w:spacing w:before="50" w:after="50"/>
      </w:pPr>
      <w:r>
        <w:rPr>
          <w:rFonts w:ascii="Arial" w:cs="Arial" w:eastAsia="Arial" w:hAnsi="Arial"/>
          <w:color w:val="1A1A2E"/>
          <w:sz w:val="22"/>
          <w:szCs w:val="22"/>
        </w:rPr>
        <w:t xml:space="preserve">NFR-012: The architecture MUST support horizontal scaling of the API layer without application changes.</w:t>
      </w:r>
    </w:p>
    <w:p>
      <w:pPr>
        <w:spacing w:before="80" w:after="80"/>
      </w:pPr>
      <w:r>
        <w:t xml:space="preserve"/>
      </w:r>
    </w:p>
    <w:p>
      <w:pPr>
        <w:pStyle w:val="Heading3"/>
        <w:spacing w:before="200" w:after="80"/>
      </w:pPr>
      <w:r>
        <w:rPr>
          <w:rFonts w:ascii="Arial" w:cs="Arial" w:eastAsia="Arial" w:hAnsi="Arial"/>
          <w:b/>
          <w:bCs/>
          <w:color w:val="0070C0"/>
          <w:sz w:val="24"/>
          <w:szCs w:val="24"/>
        </w:rPr>
        <w:t xml:space="preserve">3.8.4  Usability &amp; UX</w:t>
      </w:r>
    </w:p>
    <w:p>
      <w:pPr>
        <w:pStyle w:val="ListParagraph"/>
        <w:numPr>
          <w:ilvl w:val="0"/>
          <w:numId w:val="3"/>
        </w:numPr>
        <w:spacing w:before="50" w:after="50"/>
      </w:pPr>
      <w:r>
        <w:rPr>
          <w:rFonts w:ascii="Arial" w:cs="Arial" w:eastAsia="Arial" w:hAnsi="Arial"/>
          <w:color w:val="1A1A2E"/>
          <w:sz w:val="22"/>
          <w:szCs w:val="22"/>
        </w:rPr>
        <w:t xml:space="preserve">NFR-013: A researcher new to the platform MUST be able to complete a protein function prediction within 5 minutes of first use without documentation.</w:t>
      </w:r>
    </w:p>
    <w:p>
      <w:pPr>
        <w:pStyle w:val="ListParagraph"/>
        <w:numPr>
          <w:ilvl w:val="0"/>
          <w:numId w:val="3"/>
        </w:numPr>
        <w:spacing w:before="50" w:after="50"/>
      </w:pPr>
      <w:r>
        <w:rPr>
          <w:rFonts w:ascii="Arial" w:cs="Arial" w:eastAsia="Arial" w:hAnsi="Arial"/>
          <w:color w:val="1A1A2E"/>
          <w:sz w:val="22"/>
          <w:szCs w:val="22"/>
        </w:rPr>
        <w:t xml:space="preserve">NFR-014: All visualization tools MUST be accessible within 2 clicks from the main dashboard.</w:t>
      </w:r>
    </w:p>
    <w:p>
      <w:pPr>
        <w:pStyle w:val="ListParagraph"/>
        <w:numPr>
          <w:ilvl w:val="0"/>
          <w:numId w:val="3"/>
        </w:numPr>
        <w:spacing w:before="50" w:after="50"/>
      </w:pPr>
      <w:r>
        <w:rPr>
          <w:rFonts w:ascii="Arial" w:cs="Arial" w:eastAsia="Arial" w:hAnsi="Arial"/>
          <w:color w:val="1A1A2E"/>
          <w:sz w:val="22"/>
          <w:szCs w:val="22"/>
        </w:rPr>
        <w:t xml:space="preserve">NFR-015: Error messages MUST be descriptive and suggest corrective action (not raw stack traces).</w:t>
      </w:r>
    </w:p>
    <w:p>
      <w:pPr>
        <w:pStyle w:val="ListParagraph"/>
        <w:numPr>
          <w:ilvl w:val="0"/>
          <w:numId w:val="3"/>
        </w:numPr>
        <w:spacing w:before="50" w:after="50"/>
      </w:pPr>
      <w:r>
        <w:rPr>
          <w:rFonts w:ascii="Arial" w:cs="Arial" w:eastAsia="Arial" w:hAnsi="Arial"/>
          <w:color w:val="1A1A2E"/>
          <w:sz w:val="22"/>
          <w:szCs w:val="22"/>
        </w:rPr>
        <w:t xml:space="preserve">NFR-016: The interface MUST be responsive and usable on screens from 1280×720 to 4K resolution.</w:t>
      </w:r>
    </w:p>
    <w:p>
      <w:pPr>
        <w:spacing w:before="80" w:after="80"/>
      </w:pPr>
      <w:r>
        <w:t xml:space="preserve"/>
      </w:r>
    </w:p>
    <w:p>
      <w:pPr>
        <w:pStyle w:val="Heading3"/>
        <w:spacing w:before="200" w:after="80"/>
      </w:pPr>
      <w:r>
        <w:rPr>
          <w:rFonts w:ascii="Arial" w:cs="Arial" w:eastAsia="Arial" w:hAnsi="Arial"/>
          <w:b/>
          <w:bCs/>
          <w:color w:val="0070C0"/>
          <w:sz w:val="24"/>
          <w:szCs w:val="24"/>
        </w:rPr>
        <w:t xml:space="preserve">3.8.5  Reproducibility &amp; Scientific Integrity</w:t>
      </w:r>
    </w:p>
    <w:p>
      <w:pPr>
        <w:pStyle w:val="ListParagraph"/>
        <w:numPr>
          <w:ilvl w:val="0"/>
          <w:numId w:val="3"/>
        </w:numPr>
        <w:spacing w:before="50" w:after="50"/>
      </w:pPr>
      <w:r>
        <w:rPr>
          <w:rFonts w:ascii="Arial" w:cs="Arial" w:eastAsia="Arial" w:hAnsi="Arial"/>
          <w:color w:val="1A1A2E"/>
          <w:sz w:val="22"/>
          <w:szCs w:val="22"/>
        </w:rPr>
        <w:t xml:space="preserve">NFR-017: All model training runs MUST be fully reproducible from a documented configuration file (random seeds, data versions, hyperparameters).</w:t>
      </w:r>
    </w:p>
    <w:p>
      <w:pPr>
        <w:pStyle w:val="ListParagraph"/>
        <w:numPr>
          <w:ilvl w:val="0"/>
          <w:numId w:val="3"/>
        </w:numPr>
        <w:spacing w:before="50" w:after="50"/>
      </w:pPr>
      <w:r>
        <w:rPr>
          <w:rFonts w:ascii="Arial" w:cs="Arial" w:eastAsia="Arial" w:hAnsi="Arial"/>
          <w:color w:val="1A1A2E"/>
          <w:sz w:val="22"/>
          <w:szCs w:val="22"/>
        </w:rPr>
        <w:t xml:space="preserve">NFR-018: Every prediction output MUST include the model version and dataset version used to generate it.</w:t>
      </w:r>
    </w:p>
    <w:p>
      <w:pPr>
        <w:pStyle w:val="ListParagraph"/>
        <w:numPr>
          <w:ilvl w:val="0"/>
          <w:numId w:val="3"/>
        </w:numPr>
        <w:spacing w:before="50" w:after="50"/>
      </w:pPr>
      <w:r>
        <w:rPr>
          <w:rFonts w:ascii="Arial" w:cs="Arial" w:eastAsia="Arial" w:hAnsi="Arial"/>
          <w:color w:val="1A1A2E"/>
          <w:sz w:val="22"/>
          <w:szCs w:val="22"/>
        </w:rPr>
        <w:t xml:space="preserve">NFR-019: The data pipeline MUST be idempotent — running it twice on the same inputs produces identical outputs.</w:t>
      </w:r>
    </w:p>
    <w:p>
      <w:pPr>
        <w:spacing w:before="80" w:after="80"/>
      </w:pPr>
      <w:r>
        <w:t xml:space="preserve"/>
      </w:r>
    </w:p>
    <w:p>
      <w:pPr>
        <w:pStyle w:val="Heading3"/>
        <w:spacing w:before="200" w:after="80"/>
      </w:pPr>
      <w:r>
        <w:rPr>
          <w:rFonts w:ascii="Arial" w:cs="Arial" w:eastAsia="Arial" w:hAnsi="Arial"/>
          <w:b/>
          <w:bCs/>
          <w:color w:val="0070C0"/>
          <w:sz w:val="24"/>
          <w:szCs w:val="24"/>
        </w:rPr>
        <w:t xml:space="preserve">3.8.6  Portability &amp; Reliability</w:t>
      </w:r>
    </w:p>
    <w:p>
      <w:pPr>
        <w:pStyle w:val="ListParagraph"/>
        <w:numPr>
          <w:ilvl w:val="0"/>
          <w:numId w:val="3"/>
        </w:numPr>
        <w:spacing w:before="50" w:after="50"/>
      </w:pPr>
      <w:r>
        <w:rPr>
          <w:rFonts w:ascii="Arial" w:cs="Arial" w:eastAsia="Arial" w:hAnsi="Arial"/>
          <w:color w:val="1A1A2E"/>
          <w:sz w:val="22"/>
          <w:szCs w:val="22"/>
        </w:rPr>
        <w:t xml:space="preserve">NFR-020: The visualization layer MUST render identically on macOS, Windows, and Linux in all supported browsers.</w:t>
      </w:r>
    </w:p>
    <w:p>
      <w:pPr>
        <w:pStyle w:val="ListParagraph"/>
        <w:numPr>
          <w:ilvl w:val="0"/>
          <w:numId w:val="3"/>
        </w:numPr>
        <w:spacing w:before="50" w:after="50"/>
      </w:pPr>
      <w:r>
        <w:rPr>
          <w:rFonts w:ascii="Arial" w:cs="Arial" w:eastAsia="Arial" w:hAnsi="Arial"/>
          <w:color w:val="1A1A2E"/>
          <w:sz w:val="22"/>
          <w:szCs w:val="22"/>
        </w:rPr>
        <w:t xml:space="preserve">NFR-021: Dashboard uptime MUST be 99.5% or higher during active research periods.</w:t>
      </w:r>
    </w:p>
    <w:p>
      <w:pPr>
        <w:pStyle w:val="ListParagraph"/>
        <w:numPr>
          <w:ilvl w:val="0"/>
          <w:numId w:val="3"/>
        </w:numPr>
        <w:spacing w:before="50" w:after="50"/>
      </w:pPr>
      <w:r>
        <w:rPr>
          <w:rFonts w:ascii="Arial" w:cs="Arial" w:eastAsia="Arial" w:hAnsi="Arial"/>
          <w:color w:val="1A1A2E"/>
          <w:sz w:val="22"/>
          <w:szCs w:val="22"/>
        </w:rPr>
        <w:t xml:space="preserve">NFR-022: All external API calls MUST implement retry logic with exponential backoff and graceful degradation.</w:t>
      </w:r>
    </w:p>
    <w:p>
      <w:pPr>
        <w:pStyle w:val="ListParagraph"/>
        <w:numPr>
          <w:ilvl w:val="0"/>
          <w:numId w:val="3"/>
        </w:numPr>
        <w:spacing w:before="50" w:after="50"/>
      </w:pPr>
      <w:r>
        <w:rPr>
          <w:rFonts w:ascii="Arial" w:cs="Arial" w:eastAsia="Arial" w:hAnsi="Arial"/>
          <w:color w:val="1A1A2E"/>
          <w:sz w:val="22"/>
          <w:szCs w:val="22"/>
        </w:rPr>
        <w:t xml:space="preserve">NFR-023: The system MUST provide fallback behavior (static rendering) when WebGL is unavailable.</w:t>
      </w:r>
    </w:p>
    <w:p>
      <w:pPr>
        <w:spacing w:before="80" w:after="80"/>
      </w:pPr>
      <w:r>
        <w:t xml:space="preserve"/>
      </w:r>
    </w:p>
    <w:p>
      <w:pPr>
        <w:pStyle w:val="Heading2"/>
        <w:spacing w:before="280" w:after="120"/>
      </w:pPr>
      <w:r>
        <w:rPr>
          <w:rFonts w:ascii="Arial" w:cs="Arial" w:eastAsia="Arial" w:hAnsi="Arial"/>
          <w:b/>
          <w:bCs/>
          <w:color w:val="2E75B6"/>
          <w:sz w:val="28"/>
          <w:szCs w:val="28"/>
        </w:rPr>
        <w:t xml:space="preserve">3.9  Feasibility Study</w:t>
      </w:r>
    </w:p>
    <w:p>
      <w:pPr>
        <w:pStyle w:val="Heading3"/>
        <w:spacing w:before="200" w:after="80"/>
      </w:pPr>
      <w:r>
        <w:rPr>
          <w:rFonts w:ascii="Arial" w:cs="Arial" w:eastAsia="Arial" w:hAnsi="Arial"/>
          <w:b/>
          <w:bCs/>
          <w:color w:val="0070C0"/>
          <w:sz w:val="24"/>
          <w:szCs w:val="24"/>
        </w:rPr>
        <w:t xml:space="preserve">3.9.1  Technical Feasibility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2760"/>
      </w:tblGrid>
      <w:tr>
        <w:tc>
          <w:tcPr>
            <w:tcW w:type="dxa" w:w="26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Technical Component</w:t>
            </w:r>
          </w:p>
        </w:tc>
        <w:tc>
          <w:tcPr>
            <w:tcW w:type="dxa" w:w="40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Feasibility Assessment</w:t>
            </w:r>
          </w:p>
        </w:tc>
        <w:tc>
          <w:tcPr>
            <w:tcW w:type="dxa" w:w="27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Risk Level</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ESM-2 embeddings extraction</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High — publicly available model with documented API</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Low</w:t>
            </w:r>
          </w:p>
        </w:tc>
      </w:tr>
      <w:tr>
        <w:tc>
          <w:tcPr>
            <w:tcW w:type="dxa" w:w="2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WebGL 3D visualization (Mol*, 3Dmol.js)</w:t>
            </w:r>
          </w:p>
        </w:tc>
        <w:tc>
          <w:tcPr>
            <w:tcW w:type="dxa" w:w="40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High — production-ready libraries in use on major portals</w:t>
            </w:r>
          </w:p>
        </w:tc>
        <w:tc>
          <w:tcPr>
            <w:tcW w:type="dxa" w:w="27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Low</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AlphaFold DB API integration</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High — stable REST API with documented endpoints</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Low</w:t>
            </w:r>
          </w:p>
        </w:tc>
      </w:tr>
      <w:tr>
        <w:tc>
          <w:tcPr>
            <w:tcW w:type="dxa" w:w="2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SWISS-MODEL homology modeling (fallback)</w:t>
            </w:r>
          </w:p>
        </w:tc>
        <w:tc>
          <w:tcPr>
            <w:tcW w:type="dxa" w:w="40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Medium — depends on SWISS-MODEL API availability and rate limits</w:t>
            </w:r>
          </w:p>
        </w:tc>
        <w:tc>
          <w:tcPr>
            <w:tcW w:type="dxa" w:w="27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Medium</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Multi-label GO MF classification</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High — well-studied problem with established baselines</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Low</w:t>
            </w:r>
          </w:p>
        </w:tc>
      </w:tr>
      <w:tr>
        <w:tc>
          <w:tcPr>
            <w:tcW w:type="dxa" w:w="2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GPU compute for training</w:t>
            </w:r>
          </w:p>
        </w:tc>
        <w:tc>
          <w:tcPr>
            <w:tcW w:type="dxa" w:w="40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Medium — available after MVP; gated on resource acquisition</w:t>
            </w:r>
          </w:p>
        </w:tc>
        <w:tc>
          <w:tcPr>
            <w:tcW w:type="dxa" w:w="27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Medium</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Cross-species essentiality model (Phase 6)</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Medium-Low — less established; depends on training data quality</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High</w:t>
            </w:r>
          </w:p>
        </w:tc>
      </w:tr>
      <w:tr>
        <w:tc>
          <w:tcPr>
            <w:tcW w:type="dxa" w:w="2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PDF report export from evidence graph</w:t>
            </w:r>
          </w:p>
        </w:tc>
        <w:tc>
          <w:tcPr>
            <w:tcW w:type="dxa" w:w="40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High — standard tooling (Puppeteer, WeasyPrint)</w:t>
            </w:r>
          </w:p>
        </w:tc>
        <w:tc>
          <w:tcPr>
            <w:tcW w:type="dxa" w:w="27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Low</w:t>
            </w:r>
          </w:p>
        </w:tc>
      </w:tr>
    </w:tbl>
    <w:p>
      <w:pPr>
        <w:spacing w:before="80" w:after="80"/>
      </w:pPr>
      <w:r>
        <w:t xml:space="preserve"/>
      </w:r>
    </w:p>
    <w:p>
      <w:pPr>
        <w:pStyle w:val="Heading3"/>
        <w:spacing w:before="200" w:after="80"/>
      </w:pPr>
      <w:r>
        <w:rPr>
          <w:rFonts w:ascii="Arial" w:cs="Arial" w:eastAsia="Arial" w:hAnsi="Arial"/>
          <w:b/>
          <w:bCs/>
          <w:color w:val="0070C0"/>
          <w:sz w:val="24"/>
          <w:szCs w:val="24"/>
        </w:rPr>
        <w:t xml:space="preserve">3.9.2  Operational Feasibility</w:t>
      </w:r>
    </w:p>
    <w:p>
      <w:pPr>
        <w:spacing w:before="60" w:after="100"/>
      </w:pPr>
      <w:r>
        <w:rPr>
          <w:rFonts w:ascii="Arial" w:cs="Arial" w:eastAsia="Arial" w:hAnsi="Arial"/>
          <w:color w:val="1A1A2E"/>
          <w:sz w:val="22"/>
          <w:szCs w:val="22"/>
        </w:rPr>
        <w:t xml:space="preserve">The platform directly addresses workflows that researchers already perform manually. The value proposition is reduction of steps, not addition of new processes. Early phases (1–2) deliver standalone visualization value before any AI model is deployed, reducing the risk that the platform needs to demonstrate prediction quality before earning user trust. The structured output format (summary → steps → details → references) mirrors how research findings are already communicated in the field, lowering the cognitive barrier to adoption.</w:t>
      </w:r>
    </w:p>
    <w:p>
      <w:pPr>
        <w:spacing w:before="80" w:after="80"/>
      </w:pPr>
      <w:r>
        <w:t xml:space="preserve"/>
      </w:r>
    </w:p>
    <w:p>
      <w:pPr>
        <w:pStyle w:val="Heading3"/>
        <w:spacing w:before="200" w:after="80"/>
      </w:pPr>
      <w:r>
        <w:rPr>
          <w:rFonts w:ascii="Arial" w:cs="Arial" w:eastAsia="Arial" w:hAnsi="Arial"/>
          <w:b/>
          <w:bCs/>
          <w:color w:val="0070C0"/>
          <w:sz w:val="24"/>
          <w:szCs w:val="24"/>
        </w:rPr>
        <w:t xml:space="preserve">3.9.3  Economic Feasibility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00"/>
        <w:gridCol w:w="4160"/>
      </w:tblGrid>
      <w:tr>
        <w:tc>
          <w:tcPr>
            <w:tcW w:type="dxa" w:w="16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18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Compute Cost</w:t>
            </w:r>
          </w:p>
        </w:tc>
        <w:tc>
          <w:tcPr>
            <w:tcW w:type="dxa" w:w="18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Data Cost</w:t>
            </w:r>
          </w:p>
        </w:tc>
        <w:tc>
          <w:tcPr>
            <w:tcW w:type="dxa" w:w="41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Phase 1 — Data Pipeline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Low (CPU only)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Free</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All sources open-access; standard cloud VM</w:t>
            </w:r>
          </w:p>
        </w:tc>
      </w:tr>
      <w:tr>
        <w:tc>
          <w:tcPr>
            <w:tcW w:type="dxa" w:w="1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Phase 2 — Visualization Suite</w:t>
            </w:r>
          </w:p>
        </w:tc>
        <w:tc>
          <w:tcPr>
            <w:tcW w:type="dxa" w:w="18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Low (CPU only)</w:t>
            </w:r>
          </w:p>
        </w:tc>
        <w:tc>
          <w:tcPr>
            <w:tcW w:type="dxa" w:w="18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Free</w:t>
            </w:r>
          </w:p>
        </w:tc>
        <w:tc>
          <w:tcPr>
            <w:tcW w:type="dxa" w:w="41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WebGL rendering is client-side</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Phase 3 — MVP Model 1</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Medium (GPU required)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Free</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A100 or equivalent for ESM-2 extraction</w:t>
            </w:r>
          </w:p>
        </w:tc>
      </w:tr>
      <w:tr>
        <w:tc>
          <w:tcPr>
            <w:tcW w:type="dxa" w:w="1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Phase 4 — Explainability</w:t>
            </w:r>
          </w:p>
        </w:tc>
        <w:tc>
          <w:tcPr>
            <w:tcW w:type="dxa" w:w="18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Low-Medium</w:t>
            </w:r>
          </w:p>
        </w:tc>
        <w:tc>
          <w:tcPr>
            <w:tcW w:type="dxa" w:w="18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Free</w:t>
            </w:r>
          </w:p>
        </w:tc>
        <w:tc>
          <w:tcPr>
            <w:tcW w:type="dxa" w:w="41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Calibration and evidence layer are compute-light</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Phase 5 — Model 2</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Medium (GPU required)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Free</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Paired embedding computation is more expensive</w:t>
            </w:r>
          </w:p>
        </w:tc>
      </w:tr>
      <w:tr>
        <w:tc>
          <w:tcPr>
            <w:tcW w:type="dxa" w:w="1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Phase 6 — Model 3</w:t>
            </w:r>
          </w:p>
        </w:tc>
        <w:tc>
          <w:tcPr>
            <w:tcW w:type="dxa" w:w="18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High (GPU required)</w:t>
            </w:r>
          </w:p>
        </w:tc>
        <w:tc>
          <w:tcPr>
            <w:tcW w:type="dxa" w:w="18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Free</w:t>
            </w:r>
          </w:p>
        </w:tc>
        <w:tc>
          <w:tcPr>
            <w:tcW w:type="dxa" w:w="41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Cross-species model is most compute-intensive</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Phase 7 — CCA Demo</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Medium</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Free</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Pipeline runs on already-trained models</w:t>
            </w:r>
          </w:p>
        </w:tc>
      </w:tr>
    </w:tbl>
    <w:p>
      <w:pPr>
        <w:spacing w:before="80" w:after="80"/>
      </w:pPr>
      <w:r>
        <w:t xml:space="preserve"/>
      </w:r>
    </w:p>
    <w:p>
      <w:pPr>
        <w:pStyle w:val="Heading2"/>
        <w:spacing w:before="280" w:after="120"/>
      </w:pPr>
      <w:r>
        <w:rPr>
          <w:rFonts w:ascii="Arial" w:cs="Arial" w:eastAsia="Arial" w:hAnsi="Arial"/>
          <w:b/>
          <w:bCs/>
          <w:color w:val="2E75B6"/>
          <w:sz w:val="28"/>
          <w:szCs w:val="28"/>
        </w:rPr>
        <w:t xml:space="preserve">3.10  Use Case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400"/>
        <w:gridCol w:w="3960"/>
      </w:tblGrid>
      <w:tr>
        <w:tc>
          <w:tcPr>
            <w:tcW w:type="dxa" w:w="12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Use Case</w:t>
            </w:r>
          </w:p>
        </w:tc>
        <w:tc>
          <w:tcPr>
            <w:tcW w:type="dxa" w:w="18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Actor</w:t>
            </w:r>
          </w:p>
        </w:tc>
        <w:tc>
          <w:tcPr>
            <w:tcW w:type="dxa" w:w="24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Related FR</w:t>
            </w:r>
          </w:p>
        </w:tc>
        <w:tc>
          <w:tcPr>
            <w:tcW w:type="dxa" w:w="39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Phase</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UC-001: Query protein function by UniProt ID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Researcher</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FR-021 to FR-027</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Phase 3</w:t>
            </w:r>
          </w:p>
        </w:tc>
      </w:tr>
      <w:tr>
        <w:tc>
          <w:tcPr>
            <w:tcW w:type="dxa" w:w="1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UC-002: Explore 3D structure interactively</w:t>
            </w:r>
          </w:p>
        </w:tc>
        <w:tc>
          <w:tcPr>
            <w:tcW w:type="dxa" w:w="18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Researcher</w:t>
            </w:r>
          </w:p>
        </w:tc>
        <w:tc>
          <w:tcPr>
            <w:tcW w:type="dxa" w:w="24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FR-009 to FR-014</w:t>
            </w:r>
          </w:p>
        </w:tc>
        <w:tc>
          <w:tcPr>
            <w:tcW w:type="dxa" w:w="39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Phase 2</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UC-003: Compare wild-type vs. mutant structure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Researcher</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FR-016, FR-040</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Phase 2, 6</w:t>
            </w:r>
          </w:p>
        </w:tc>
      </w:tr>
      <w:tr>
        <w:tc>
          <w:tcPr>
            <w:tcW w:type="dxa" w:w="1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UC-004: View annotated protein sequence</w:t>
            </w:r>
          </w:p>
        </w:tc>
        <w:tc>
          <w:tcPr>
            <w:tcW w:type="dxa" w:w="18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Researcher</w:t>
            </w:r>
          </w:p>
        </w:tc>
        <w:tc>
          <w:tcPr>
            <w:tcW w:type="dxa" w:w="24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FR-015, FR-025</w:t>
            </w:r>
          </w:p>
        </w:tc>
        <w:tc>
          <w:tcPr>
            <w:tcW w:type="dxa" w:w="39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Phase 2, 3</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UC-005: Predict protein-protein interaction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Researcher</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FR-033 to FR-037</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Phase 5</w:t>
            </w:r>
          </w:p>
        </w:tc>
      </w:tr>
      <w:tr>
        <w:tc>
          <w:tcPr>
            <w:tcW w:type="dxa" w:w="1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UC-006: Explore interaction network</w:t>
            </w:r>
          </w:p>
        </w:tc>
        <w:tc>
          <w:tcPr>
            <w:tcW w:type="dxa" w:w="18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Researcher</w:t>
            </w:r>
          </w:p>
        </w:tc>
        <w:tc>
          <w:tcPr>
            <w:tcW w:type="dxa" w:w="24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FR-017, FR-037</w:t>
            </w:r>
          </w:p>
        </w:tc>
        <w:tc>
          <w:tcPr>
            <w:tcW w:type="dxa" w:w="39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Phase 2, 5</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UC-007: Analyze mutation effect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Researcher</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FR-031, FR-039, FR-040</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Phase 4, 6</w:t>
            </w:r>
          </w:p>
        </w:tc>
      </w:tr>
      <w:tr>
        <w:tc>
          <w:tcPr>
            <w:tcW w:type="dxa" w:w="1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UC-008: View CCA expression heatmap</w:t>
            </w:r>
          </w:p>
        </w:tc>
        <w:tc>
          <w:tcPr>
            <w:tcW w:type="dxa" w:w="18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Clinical Scientist</w:t>
            </w:r>
          </w:p>
        </w:tc>
        <w:tc>
          <w:tcPr>
            <w:tcW w:type="dxa" w:w="24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FR-018, FR-007</w:t>
            </w:r>
          </w:p>
        </w:tc>
        <w:tc>
          <w:tcPr>
            <w:tcW w:type="dxa" w:w="39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Phase 2, 7</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UC-009: Generate CCA biomarker candidate report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Clinical Scientist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FR-042 to FR-045</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Phase 7</w:t>
            </w:r>
          </w:p>
        </w:tc>
      </w:tr>
      <w:tr>
        <w:tc>
          <w:tcPr>
            <w:tcW w:type="dxa" w:w="1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UC-010: Export prediction as PDF report</w:t>
            </w:r>
          </w:p>
        </w:tc>
        <w:tc>
          <w:tcPr>
            <w:tcW w:type="dxa" w:w="18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Researcher</w:t>
            </w:r>
          </w:p>
        </w:tc>
        <w:tc>
          <w:tcPr>
            <w:tcW w:type="dxa" w:w="24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FR-045</w:t>
            </w:r>
          </w:p>
        </w:tc>
        <w:tc>
          <w:tcPr>
            <w:tcW w:type="dxa" w:w="39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Phase 7</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UC-011: Re-run data pipeline on new UniProt release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Platform Admin</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FR-008</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Phase 1</w:t>
            </w:r>
          </w:p>
        </w:tc>
      </w:tr>
      <w:tr>
        <w:tc>
          <w:tcPr>
            <w:tcW w:type="dxa" w:w="1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UC-012: Monitor system health and pipeline status</w:t>
            </w:r>
          </w:p>
        </w:tc>
        <w:tc>
          <w:tcPr>
            <w:tcW w:type="dxa" w:w="18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Platform Admin</w:t>
            </w:r>
          </w:p>
        </w:tc>
        <w:tc>
          <w:tcPr>
            <w:tcW w:type="dxa" w:w="24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FR-004</w:t>
            </w:r>
          </w:p>
        </w:tc>
        <w:tc>
          <w:tcPr>
            <w:tcW w:type="dxa" w:w="39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Phase 1</w:t>
            </w:r>
          </w:p>
        </w:tc>
      </w:tr>
    </w:tbl>
    <w:p>
      <w:pPr>
        <w:spacing w:before="80" w:after="80"/>
      </w:pPr>
      <w:r>
        <w:t xml:space="preserve"/>
      </w:r>
    </w:p>
    <w:p>
      <w:pPr>
        <w:pStyle w:val="Heading2"/>
        <w:spacing w:before="280" w:after="120"/>
      </w:pPr>
      <w:r>
        <w:rPr>
          <w:rFonts w:ascii="Arial" w:cs="Arial" w:eastAsia="Arial" w:hAnsi="Arial"/>
          <w:b/>
          <w:bCs/>
          <w:color w:val="2E75B6"/>
          <w:sz w:val="28"/>
          <w:szCs w:val="28"/>
        </w:rPr>
        <w:t xml:space="preserve">3.11  System Constraints (Detailed Analysis)</w:t>
      </w:r>
    </w:p>
    <w:p>
      <w:pPr>
        <w:pStyle w:val="Heading3"/>
        <w:spacing w:before="200" w:after="80"/>
      </w:pPr>
      <w:r>
        <w:rPr>
          <w:rFonts w:ascii="Arial" w:cs="Arial" w:eastAsia="Arial" w:hAnsi="Arial"/>
          <w:b/>
          <w:bCs/>
          <w:color w:val="0070C0"/>
          <w:sz w:val="24"/>
          <w:szCs w:val="24"/>
        </w:rPr>
        <w:t xml:space="preserve">3.11.1  Schedule and Time Constraints</w:t>
      </w:r>
    </w:p>
    <w:p>
      <w:pPr>
        <w:spacing w:before="60" w:after="100"/>
      </w:pPr>
      <w:r>
        <w:rPr>
          <w:rFonts w:ascii="Arial" w:cs="Arial" w:eastAsia="Arial" w:hAnsi="Arial"/>
          <w:color w:val="1A1A2E"/>
          <w:sz w:val="22"/>
          <w:szCs w:val="22"/>
        </w:rPr>
        <w:t xml:space="preserve">The project is structured in seven sequential phases with dependencies between them. Phases 1–2 have no GPU compute dependency and can proceed immediately. Phase 3 is the critical milestone that gates GPU resource allocation. The sequencing of visualization tools before models (Phase 2 before Phase 3) is intentional — it delivers demonstrable value early and tests infrastructure before model integration begins.</w:t>
      </w:r>
    </w:p>
    <w:p>
      <w:pPr>
        <w:pStyle w:val="ListParagraph"/>
        <w:numPr>
          <w:ilvl w:val="0"/>
          <w:numId w:val="3"/>
        </w:numPr>
        <w:spacing w:before="50" w:after="50"/>
      </w:pPr>
      <w:r>
        <w:rPr>
          <w:rFonts w:ascii="Arial" w:cs="Arial" w:eastAsia="Arial" w:hAnsi="Arial"/>
          <w:color w:val="1A1A2E"/>
          <w:sz w:val="22"/>
          <w:szCs w:val="22"/>
        </w:rPr>
        <w:t xml:space="preserve">Phase 1–2 are CPU-only and can begin immediately with standard cloud resources.</w:t>
      </w:r>
    </w:p>
    <w:p>
      <w:pPr>
        <w:pStyle w:val="ListParagraph"/>
        <w:numPr>
          <w:ilvl w:val="0"/>
          <w:numId w:val="3"/>
        </w:numPr>
        <w:spacing w:before="50" w:after="50"/>
      </w:pPr>
      <w:r>
        <w:rPr>
          <w:rFonts w:ascii="Arial" w:cs="Arial" w:eastAsia="Arial" w:hAnsi="Arial"/>
          <w:color w:val="1A1A2E"/>
          <w:sz w:val="22"/>
          <w:szCs w:val="22"/>
        </w:rPr>
        <w:t xml:space="preserve">Phase 3 is gated on GPU availability — delays in securing compute directly delay Phases 3–6.</w:t>
      </w:r>
    </w:p>
    <w:p>
      <w:pPr>
        <w:pStyle w:val="ListParagraph"/>
        <w:numPr>
          <w:ilvl w:val="0"/>
          <w:numId w:val="3"/>
        </w:numPr>
        <w:spacing w:before="50" w:after="50"/>
      </w:pPr>
      <w:r>
        <w:rPr>
          <w:rFonts w:ascii="Arial" w:cs="Arial" w:eastAsia="Arial" w:hAnsi="Arial"/>
          <w:color w:val="1A1A2E"/>
          <w:sz w:val="22"/>
          <w:szCs w:val="22"/>
        </w:rPr>
        <w:t xml:space="preserve">Phase 7 depends on all three models being trained and evaluated, making it the terminal phase.</w:t>
      </w:r>
    </w:p>
    <w:p>
      <w:pPr>
        <w:spacing w:before="80" w:after="80"/>
      </w:pPr>
      <w:r>
        <w:t xml:space="preserve"/>
      </w:r>
    </w:p>
    <w:p>
      <w:pPr>
        <w:pStyle w:val="Heading3"/>
        <w:spacing w:before="200" w:after="80"/>
      </w:pPr>
      <w:r>
        <w:rPr>
          <w:rFonts w:ascii="Arial" w:cs="Arial" w:eastAsia="Arial" w:hAnsi="Arial"/>
          <w:b/>
          <w:bCs/>
          <w:color w:val="0070C0"/>
          <w:sz w:val="24"/>
          <w:szCs w:val="24"/>
        </w:rPr>
        <w:t xml:space="preserve">3.11.2  Financial and Resource Constraints</w:t>
      </w:r>
    </w:p>
    <w:p>
      <w:pPr>
        <w:pStyle w:val="ListParagraph"/>
        <w:numPr>
          <w:ilvl w:val="0"/>
          <w:numId w:val="3"/>
        </w:numPr>
        <w:spacing w:before="50" w:after="50"/>
      </w:pPr>
      <w:r>
        <w:rPr>
          <w:rFonts w:ascii="Arial" w:cs="Arial" w:eastAsia="Arial" w:hAnsi="Arial"/>
          <w:color w:val="1A1A2E"/>
          <w:sz w:val="22"/>
          <w:szCs w:val="22"/>
        </w:rPr>
        <w:t xml:space="preserve">All data sources are free for research use; however, commercial use of DrugBank data requires licensing.</w:t>
      </w:r>
    </w:p>
    <w:p>
      <w:pPr>
        <w:pStyle w:val="ListParagraph"/>
        <w:numPr>
          <w:ilvl w:val="0"/>
          <w:numId w:val="3"/>
        </w:numPr>
        <w:spacing w:before="50" w:after="50"/>
      </w:pPr>
      <w:r>
        <w:rPr>
          <w:rFonts w:ascii="Arial" w:cs="Arial" w:eastAsia="Arial" w:hAnsi="Arial"/>
          <w:color w:val="1A1A2E"/>
          <w:sz w:val="22"/>
          <w:szCs w:val="22"/>
        </w:rPr>
        <w:t xml:space="preserve">GPU compute (Phase 3+) requires either institutional HPC access, cloud GPU instances, or research grant allocation.</w:t>
      </w:r>
    </w:p>
    <w:p>
      <w:pPr>
        <w:pStyle w:val="ListParagraph"/>
        <w:numPr>
          <w:ilvl w:val="0"/>
          <w:numId w:val="3"/>
        </w:numPr>
        <w:spacing w:before="50" w:after="50"/>
      </w:pPr>
      <w:r>
        <w:rPr>
          <w:rFonts w:ascii="Arial" w:cs="Arial" w:eastAsia="Arial" w:hAnsi="Arial"/>
          <w:color w:val="1A1A2E"/>
          <w:sz w:val="22"/>
          <w:szCs w:val="22"/>
        </w:rPr>
        <w:t xml:space="preserve">The system is designed to minimize infrastructure cost during Phases 1–2 — standard web hosting is sufficient.</w:t>
      </w:r>
    </w:p>
    <w:p>
      <w:pPr>
        <w:spacing w:before="80" w:after="80"/>
      </w:pPr>
      <w:r>
        <w:t xml:space="preserve"/>
      </w:r>
    </w:p>
    <w:p>
      <w:pPr>
        <w:pStyle w:val="Heading3"/>
        <w:spacing w:before="200" w:after="80"/>
      </w:pPr>
      <w:r>
        <w:rPr>
          <w:rFonts w:ascii="Arial" w:cs="Arial" w:eastAsia="Arial" w:hAnsi="Arial"/>
          <w:b/>
          <w:bCs/>
          <w:color w:val="0070C0"/>
          <w:sz w:val="24"/>
          <w:szCs w:val="24"/>
        </w:rPr>
        <w:t xml:space="preserve">3.11.3  Legal and Compliance Constraints</w:t>
      </w:r>
    </w:p>
    <w:p>
      <w:pPr>
        <w:pStyle w:val="ListParagraph"/>
        <w:numPr>
          <w:ilvl w:val="0"/>
          <w:numId w:val="3"/>
        </w:numPr>
        <w:spacing w:before="50" w:after="50"/>
      </w:pPr>
      <w:r>
        <w:rPr>
          <w:rFonts w:ascii="Arial" w:cs="Arial" w:eastAsia="Arial" w:hAnsi="Arial"/>
          <w:color w:val="1A1A2E"/>
          <w:sz w:val="22"/>
          <w:szCs w:val="22"/>
        </w:rPr>
        <w:t xml:space="preserve">All six data sources must be used in compliance with their respective licenses. No patient-level data from TCGA may be stored or exposed beyond what is permitted by the TCGA data use agreement.</w:t>
      </w:r>
    </w:p>
    <w:p>
      <w:pPr>
        <w:pStyle w:val="ListParagraph"/>
        <w:numPr>
          <w:ilvl w:val="0"/>
          <w:numId w:val="3"/>
        </w:numPr>
        <w:spacing w:before="50" w:after="50"/>
      </w:pPr>
      <w:r>
        <w:rPr>
          <w:rFonts w:ascii="Arial" w:cs="Arial" w:eastAsia="Arial" w:hAnsi="Arial"/>
          <w:color w:val="1A1A2E"/>
          <w:sz w:val="22"/>
          <w:szCs w:val="22"/>
        </w:rPr>
        <w:t xml:space="preserve">ESM-2 model weights are released under the MIT license — commercial use is permitted with attribution.</w:t>
      </w:r>
    </w:p>
    <w:p>
      <w:pPr>
        <w:pStyle w:val="ListParagraph"/>
        <w:numPr>
          <w:ilvl w:val="0"/>
          <w:numId w:val="3"/>
        </w:numPr>
        <w:spacing w:before="50" w:after="50"/>
      </w:pPr>
      <w:r>
        <w:rPr>
          <w:rFonts w:ascii="Arial" w:cs="Arial" w:eastAsia="Arial" w:hAnsi="Arial"/>
          <w:color w:val="1A1A2E"/>
          <w:sz w:val="22"/>
          <w:szCs w:val="22"/>
        </w:rPr>
        <w:t xml:space="preserve">Mol* and 3Dmol.js are released under open-source licenses compatible with research use.</w:t>
      </w:r>
    </w:p>
    <w:p>
      <w:pPr>
        <w:spacing w:before="80" w:after="80"/>
      </w:pPr>
      <w:r>
        <w:t xml:space="preserve"/>
      </w:r>
    </w:p>
    <w:p>
      <w:pPr>
        <w:pStyle w:val="Heading3"/>
        <w:spacing w:before="200" w:after="80"/>
      </w:pPr>
      <w:r>
        <w:rPr>
          <w:rFonts w:ascii="Arial" w:cs="Arial" w:eastAsia="Arial" w:hAnsi="Arial"/>
          <w:b/>
          <w:bCs/>
          <w:color w:val="0070C0"/>
          <w:sz w:val="24"/>
          <w:szCs w:val="24"/>
        </w:rPr>
        <w:t xml:space="preserve">3.11.4  Technical and Environmental Constraints</w:t>
      </w:r>
    </w:p>
    <w:p>
      <w:pPr>
        <w:pStyle w:val="ListParagraph"/>
        <w:numPr>
          <w:ilvl w:val="0"/>
          <w:numId w:val="3"/>
        </w:numPr>
        <w:spacing w:before="50" w:after="50"/>
      </w:pPr>
      <w:r>
        <w:rPr>
          <w:rFonts w:ascii="Arial" w:cs="Arial" w:eastAsia="Arial" w:hAnsi="Arial"/>
          <w:color w:val="1A1A2E"/>
          <w:sz w:val="22"/>
          <w:szCs w:val="22"/>
        </w:rPr>
        <w:t xml:space="preserve">WebGL is a hard dependency for 3D visualization. Environments that block WebGL (some corporate browsers, privacy extensions) will experience degraded functionality.</w:t>
      </w:r>
    </w:p>
    <w:p>
      <w:pPr>
        <w:pStyle w:val="ListParagraph"/>
        <w:numPr>
          <w:ilvl w:val="0"/>
          <w:numId w:val="3"/>
        </w:numPr>
        <w:spacing w:before="50" w:after="50"/>
      </w:pPr>
      <w:r>
        <w:rPr>
          <w:rFonts w:ascii="Arial" w:cs="Arial" w:eastAsia="Arial" w:hAnsi="Arial"/>
          <w:color w:val="1A1A2E"/>
          <w:sz w:val="22"/>
          <w:szCs w:val="22"/>
        </w:rPr>
        <w:t xml:space="preserve">SWISS-MODEL API rate limits constrain how many homology modeling requests can be made per session; caching and queuing are required.</w:t>
      </w:r>
    </w:p>
    <w:p>
      <w:pPr>
        <w:pStyle w:val="ListParagraph"/>
        <w:numPr>
          <w:ilvl w:val="0"/>
          <w:numId w:val="3"/>
        </w:numPr>
        <w:spacing w:before="50" w:after="50"/>
      </w:pPr>
      <w:r>
        <w:rPr>
          <w:rFonts w:ascii="Arial" w:cs="Arial" w:eastAsia="Arial" w:hAnsi="Arial"/>
          <w:color w:val="1A1A2E"/>
          <w:sz w:val="22"/>
          <w:szCs w:val="22"/>
        </w:rPr>
        <w:t xml:space="preserve">AlphaFold DB covers approximately 200 million protein sequences but does not cover all possible sequences — especially novel variants.</w:t>
      </w:r>
    </w:p>
    <w:p>
      <w:pPr>
        <w:spacing w:before="80" w:after="80"/>
      </w:pPr>
      <w:r>
        <w:t xml:space="preserve"/>
      </w:r>
    </w:p>
    <w:p>
      <w:pPr>
        <w:pStyle w:val="Heading3"/>
        <w:spacing w:before="200" w:after="80"/>
      </w:pPr>
      <w:r>
        <w:rPr>
          <w:rFonts w:ascii="Arial" w:cs="Arial" w:eastAsia="Arial" w:hAnsi="Arial"/>
          <w:b/>
          <w:bCs/>
          <w:color w:val="0070C0"/>
          <w:sz w:val="24"/>
          <w:szCs w:val="24"/>
        </w:rPr>
        <w:t xml:space="preserve">3.11.5  Data Scope and Security Constraints</w:t>
      </w:r>
    </w:p>
    <w:p>
      <w:pPr>
        <w:pStyle w:val="ListParagraph"/>
        <w:numPr>
          <w:ilvl w:val="0"/>
          <w:numId w:val="3"/>
        </w:numPr>
        <w:spacing w:before="50" w:after="50"/>
      </w:pPr>
      <w:r>
        <w:rPr>
          <w:rFonts w:ascii="Arial" w:cs="Arial" w:eastAsia="Arial" w:hAnsi="Arial"/>
          <w:color w:val="1A1A2E"/>
          <w:sz w:val="22"/>
          <w:szCs w:val="22"/>
        </w:rPr>
        <w:t xml:space="preserve">The platform handles protein research data only. No patient data, no clinical records, and no identifiable personal information is in scope.</w:t>
      </w:r>
    </w:p>
    <w:p>
      <w:pPr>
        <w:pStyle w:val="ListParagraph"/>
        <w:numPr>
          <w:ilvl w:val="0"/>
          <w:numId w:val="3"/>
        </w:numPr>
        <w:spacing w:before="50" w:after="50"/>
      </w:pPr>
      <w:r>
        <w:rPr>
          <w:rFonts w:ascii="Arial" w:cs="Arial" w:eastAsia="Arial" w:hAnsi="Arial"/>
          <w:color w:val="1A1A2E"/>
          <w:sz w:val="22"/>
          <w:szCs w:val="22"/>
        </w:rPr>
        <w:t xml:space="preserve">TCGA expression data used is aggregate/summary-level, not individual patient records.</w:t>
      </w:r>
    </w:p>
    <w:p>
      <w:pPr>
        <w:pStyle w:val="ListParagraph"/>
        <w:numPr>
          <w:ilvl w:val="0"/>
          <w:numId w:val="3"/>
        </w:numPr>
        <w:spacing w:before="50" w:after="50"/>
      </w:pPr>
      <w:r>
        <w:rPr>
          <w:rFonts w:ascii="Arial" w:cs="Arial" w:eastAsia="Arial" w:hAnsi="Arial"/>
          <w:color w:val="1A1A2E"/>
          <w:sz w:val="22"/>
          <w:szCs w:val="22"/>
        </w:rPr>
        <w:t xml:space="preserve">All database credentials and API keys must be managed through a secrets manager in production.</w:t>
      </w:r>
    </w:p>
    <w:p>
      <w:pPr>
        <w:spacing w:before="80" w:after="80"/>
      </w:pPr>
      <w:r>
        <w:t xml:space="preserve"/>
      </w:r>
    </w:p>
    <w:p>
      <w:pPr>
        <w:pStyle w:val="Heading2"/>
        <w:spacing w:before="280" w:after="120"/>
      </w:pPr>
      <w:r>
        <w:rPr>
          <w:rFonts w:ascii="Arial" w:cs="Arial" w:eastAsia="Arial" w:hAnsi="Arial"/>
          <w:b/>
          <w:bCs/>
          <w:color w:val="2E75B6"/>
          <w:sz w:val="28"/>
          <w:szCs w:val="28"/>
        </w:rPr>
        <w:t xml:space="preserve">3.12  System Assumptions (Operational Premises)</w:t>
      </w:r>
    </w:p>
    <w:p>
      <w:pPr>
        <w:pStyle w:val="Heading3"/>
        <w:spacing w:before="200" w:after="80"/>
      </w:pPr>
      <w:r>
        <w:rPr>
          <w:rFonts w:ascii="Arial" w:cs="Arial" w:eastAsia="Arial" w:hAnsi="Arial"/>
          <w:b/>
          <w:bCs/>
          <w:color w:val="0070C0"/>
          <w:sz w:val="24"/>
          <w:szCs w:val="24"/>
        </w:rPr>
        <w:t xml:space="preserve">3.12.1  Infrastructure and Connectivity Assumptions</w:t>
      </w:r>
    </w:p>
    <w:p>
      <w:pPr>
        <w:pStyle w:val="ListParagraph"/>
        <w:numPr>
          <w:ilvl w:val="0"/>
          <w:numId w:val="3"/>
        </w:numPr>
        <w:spacing w:before="50" w:after="50"/>
      </w:pPr>
      <w:r>
        <w:rPr>
          <w:rFonts w:ascii="Arial" w:cs="Arial" w:eastAsia="Arial" w:hAnsi="Arial"/>
          <w:color w:val="1A1A2E"/>
          <w:sz w:val="22"/>
          <w:szCs w:val="22"/>
        </w:rPr>
        <w:t xml:space="preserve">Researchers have reliable internet connectivity during active platform sessions (required for real-time AlphaFold DB and SWISS-MODEL queries).</w:t>
      </w:r>
    </w:p>
    <w:p>
      <w:pPr>
        <w:pStyle w:val="ListParagraph"/>
        <w:numPr>
          <w:ilvl w:val="0"/>
          <w:numId w:val="3"/>
        </w:numPr>
        <w:spacing w:before="50" w:after="50"/>
      </w:pPr>
      <w:r>
        <w:rPr>
          <w:rFonts w:ascii="Arial" w:cs="Arial" w:eastAsia="Arial" w:hAnsi="Arial"/>
          <w:color w:val="1A1A2E"/>
          <w:sz w:val="22"/>
          <w:szCs w:val="22"/>
        </w:rPr>
        <w:t xml:space="preserve">The hosting environment provides persistent object storage for PDB and structure files.</w:t>
      </w:r>
    </w:p>
    <w:p>
      <w:pPr>
        <w:pStyle w:val="ListParagraph"/>
        <w:numPr>
          <w:ilvl w:val="0"/>
          <w:numId w:val="3"/>
        </w:numPr>
        <w:spacing w:before="50" w:after="50"/>
      </w:pPr>
      <w:r>
        <w:rPr>
          <w:rFonts w:ascii="Arial" w:cs="Arial" w:eastAsia="Arial" w:hAnsi="Arial"/>
          <w:color w:val="1A1A2E"/>
          <w:sz w:val="22"/>
          <w:szCs w:val="22"/>
        </w:rPr>
        <w:t xml:space="preserve">SSL/TLS certificates are available and automatically renewed in the production environment.</w:t>
      </w:r>
    </w:p>
    <w:p>
      <w:pPr>
        <w:spacing w:before="80" w:after="80"/>
      </w:pPr>
      <w:r>
        <w:t xml:space="preserve"/>
      </w:r>
    </w:p>
    <w:p>
      <w:pPr>
        <w:pStyle w:val="Heading3"/>
        <w:spacing w:before="200" w:after="80"/>
      </w:pPr>
      <w:r>
        <w:rPr>
          <w:rFonts w:ascii="Arial" w:cs="Arial" w:eastAsia="Arial" w:hAnsi="Arial"/>
          <w:b/>
          <w:bCs/>
          <w:color w:val="0070C0"/>
          <w:sz w:val="24"/>
          <w:szCs w:val="24"/>
        </w:rPr>
        <w:t xml:space="preserve">3.12.2  Data Quality Assumptions</w:t>
      </w:r>
    </w:p>
    <w:p>
      <w:pPr>
        <w:pStyle w:val="ListParagraph"/>
        <w:numPr>
          <w:ilvl w:val="0"/>
          <w:numId w:val="3"/>
        </w:numPr>
        <w:spacing w:before="50" w:after="50"/>
      </w:pPr>
      <w:r>
        <w:rPr>
          <w:rFonts w:ascii="Arial" w:cs="Arial" w:eastAsia="Arial" w:hAnsi="Arial"/>
          <w:color w:val="1A1A2E"/>
          <w:sz w:val="22"/>
          <w:szCs w:val="22"/>
        </w:rPr>
        <w:t xml:space="preserve">UniProt Swiss-Prot reviewed entries are assumed to be of higher quality than TrEMBL unreviewed entries for training purposes.</w:t>
      </w:r>
    </w:p>
    <w:p>
      <w:pPr>
        <w:pStyle w:val="ListParagraph"/>
        <w:numPr>
          <w:ilvl w:val="0"/>
          <w:numId w:val="3"/>
        </w:numPr>
        <w:spacing w:before="50" w:after="50"/>
      </w:pPr>
      <w:r>
        <w:rPr>
          <w:rFonts w:ascii="Arial" w:cs="Arial" w:eastAsia="Arial" w:hAnsi="Arial"/>
          <w:color w:val="1A1A2E"/>
          <w:sz w:val="22"/>
          <w:szCs w:val="22"/>
        </w:rPr>
        <w:t xml:space="preserve">GO experimental evidence codes accurately distinguish experimentally validated from computationally predicted annotations.</w:t>
      </w:r>
    </w:p>
    <w:p>
      <w:pPr>
        <w:pStyle w:val="ListParagraph"/>
        <w:numPr>
          <w:ilvl w:val="0"/>
          <w:numId w:val="3"/>
        </w:numPr>
        <w:spacing w:before="50" w:after="50"/>
      </w:pPr>
      <w:r>
        <w:rPr>
          <w:rFonts w:ascii="Arial" w:cs="Arial" w:eastAsia="Arial" w:hAnsi="Arial"/>
          <w:color w:val="1A1A2E"/>
          <w:sz w:val="22"/>
          <w:szCs w:val="22"/>
        </w:rPr>
        <w:t xml:space="preserve">AlphaFold DB structure predictions are of sufficient quality for visualization and as training features, with pLDDT and PAE scores as quality proxies.</w:t>
      </w:r>
    </w:p>
    <w:p>
      <w:pPr>
        <w:spacing w:before="80" w:after="80"/>
      </w:pPr>
      <w:r>
        <w:t xml:space="preserve"/>
      </w:r>
    </w:p>
    <w:p>
      <w:pPr>
        <w:pStyle w:val="Heading3"/>
        <w:spacing w:before="200" w:after="80"/>
      </w:pPr>
      <w:r>
        <w:rPr>
          <w:rFonts w:ascii="Arial" w:cs="Arial" w:eastAsia="Arial" w:hAnsi="Arial"/>
          <w:b/>
          <w:bCs/>
          <w:color w:val="0070C0"/>
          <w:sz w:val="24"/>
          <w:szCs w:val="24"/>
        </w:rPr>
        <w:t xml:space="preserve">3.12.3  Scientific and Domain Assumptions</w:t>
      </w:r>
    </w:p>
    <w:p>
      <w:pPr>
        <w:pStyle w:val="ListParagraph"/>
        <w:numPr>
          <w:ilvl w:val="0"/>
          <w:numId w:val="3"/>
        </w:numPr>
        <w:spacing w:before="50" w:after="50"/>
      </w:pPr>
      <w:r>
        <w:rPr>
          <w:rFonts w:ascii="Arial" w:cs="Arial" w:eastAsia="Arial" w:hAnsi="Arial"/>
          <w:color w:val="1A1A2E"/>
          <w:sz w:val="22"/>
          <w:szCs w:val="22"/>
        </w:rPr>
        <w:t xml:space="preserve">ESM-2 embeddings capture sufficient protein sequence information to enable accurate function, interaction, and essentiality predictions.</w:t>
      </w:r>
    </w:p>
    <w:p>
      <w:pPr>
        <w:pStyle w:val="ListParagraph"/>
        <w:numPr>
          <w:ilvl w:val="0"/>
          <w:numId w:val="3"/>
        </w:numPr>
        <w:spacing w:before="50" w:after="50"/>
      </w:pPr>
      <w:r>
        <w:rPr>
          <w:rFonts w:ascii="Arial" w:cs="Arial" w:eastAsia="Arial" w:hAnsi="Arial"/>
          <w:color w:val="1A1A2E"/>
          <w:sz w:val="22"/>
          <w:szCs w:val="22"/>
        </w:rPr>
        <w:t xml:space="preserve">TCGA CCA expression data is representative of CCA biology at the protein level and appropriate for biomarker candidate identification.</w:t>
      </w:r>
    </w:p>
    <w:p>
      <w:pPr>
        <w:pStyle w:val="ListParagraph"/>
        <w:numPr>
          <w:ilvl w:val="0"/>
          <w:numId w:val="3"/>
        </w:numPr>
        <w:spacing w:before="50" w:after="50"/>
      </w:pPr>
      <w:r>
        <w:rPr>
          <w:rFonts w:ascii="Arial" w:cs="Arial" w:eastAsia="Arial" w:hAnsi="Arial"/>
          <w:color w:val="1A1A2E"/>
          <w:sz w:val="22"/>
          <w:szCs w:val="22"/>
        </w:rPr>
        <w:t xml:space="preserve">Time-based data splitting (using annotation dates) is a scientifically valid approach to preventing temporal leakage in protein function prediction benchmarks.</w:t>
      </w:r>
    </w:p>
    <w:p>
      <w:pPr>
        <w:spacing w:before="80" w:after="80"/>
      </w:pPr>
      <w:r>
        <w:t xml:space="preserve"/>
      </w:r>
    </w:p>
    <w:p>
      <w:pPr>
        <w:pStyle w:val="Heading3"/>
        <w:spacing w:before="200" w:after="80"/>
      </w:pPr>
      <w:r>
        <w:rPr>
          <w:rFonts w:ascii="Arial" w:cs="Arial" w:eastAsia="Arial" w:hAnsi="Arial"/>
          <w:b/>
          <w:bCs/>
          <w:color w:val="0070C0"/>
          <w:sz w:val="24"/>
          <w:szCs w:val="24"/>
        </w:rPr>
        <w:t xml:space="preserve">3.12.4  User Behavior Assumptions</w:t>
      </w:r>
    </w:p>
    <w:p>
      <w:pPr>
        <w:pStyle w:val="ListParagraph"/>
        <w:numPr>
          <w:ilvl w:val="0"/>
          <w:numId w:val="3"/>
        </w:numPr>
        <w:spacing w:before="50" w:after="50"/>
      </w:pPr>
      <w:r>
        <w:rPr>
          <w:rFonts w:ascii="Arial" w:cs="Arial" w:eastAsia="Arial" w:hAnsi="Arial"/>
          <w:color w:val="1A1A2E"/>
          <w:sz w:val="22"/>
          <w:szCs w:val="22"/>
        </w:rPr>
        <w:t xml:space="preserve">Users are assumed to have a basic understanding of protein biology concepts (sequences, structures, GO terms). The system provides context but is not designed as a primary biology education tool.</w:t>
      </w:r>
    </w:p>
    <w:p>
      <w:pPr>
        <w:pStyle w:val="ListParagraph"/>
        <w:numPr>
          <w:ilvl w:val="0"/>
          <w:numId w:val="3"/>
        </w:numPr>
        <w:spacing w:before="50" w:after="50"/>
      </w:pPr>
      <w:r>
        <w:rPr>
          <w:rFonts w:ascii="Arial" w:cs="Arial" w:eastAsia="Arial" w:hAnsi="Arial"/>
          <w:color w:val="1A1A2E"/>
          <w:sz w:val="22"/>
          <w:szCs w:val="22"/>
        </w:rPr>
        <w:t xml:space="preserve">Users are assumed to operate in good faith — the system is a research tool, not a public consumer application.</w:t>
      </w:r>
    </w:p>
    <w:p>
      <w:pPr>
        <w:pStyle w:val="ListParagraph"/>
        <w:numPr>
          <w:ilvl w:val="0"/>
          <w:numId w:val="3"/>
        </w:numPr>
        <w:spacing w:before="50" w:after="50"/>
      </w:pPr>
      <w:r>
        <w:rPr>
          <w:rFonts w:ascii="Arial" w:cs="Arial" w:eastAsia="Arial" w:hAnsi="Arial"/>
          <w:color w:val="1A1A2E"/>
          <w:sz w:val="22"/>
          <w:szCs w:val="22"/>
        </w:rPr>
        <w:t xml:space="preserve">Platform administrators are assumed to have basic Linux and Docker proficiency for system operations.</w:t>
      </w:r>
    </w:p>
    <w:p>
      <w:pPr>
        <w:pBdr>
          <w:bottom w:val="single" w:color="D0E4F5" w:sz="3" w:space="1"/>
        </w:pBdr>
        <w:spacing w:before="180" w:after="180"/>
      </w:pPr>
      <w:r>
        <w:t xml:space="preserve"/>
      </w:r>
    </w:p>
    <w:p>
      <w:r>
        <w:br w:type="page"/>
      </w:r>
    </w:p>
    <w:p>
      <w:pPr>
        <w:pStyle w:val="Heading1"/>
        <w:pBdr>
          <w:bottom w:val="single" w:color="2E75B6" w:sz="8" w:space="6"/>
        </w:pBdr>
        <w:spacing w:before="360" w:after="160"/>
      </w:pPr>
      <w:r>
        <w:rPr>
          <w:rFonts w:ascii="Arial" w:cs="Arial" w:eastAsia="Arial" w:hAnsi="Arial"/>
          <w:b/>
          <w:bCs/>
          <w:color w:val="1B4F8A"/>
          <w:sz w:val="36"/>
          <w:szCs w:val="36"/>
        </w:rPr>
        <w:t xml:space="preserve">Chapter 4: System Design</w:t>
      </w:r>
    </w:p>
    <w:p>
      <w:pPr>
        <w:spacing w:before="80" w:after="80"/>
      </w:pPr>
      <w:r>
        <w:t xml:space="preserve"/>
      </w:r>
    </w:p>
    <w:p>
      <w:pPr>
        <w:pStyle w:val="Heading2"/>
        <w:spacing w:before="280" w:after="120"/>
      </w:pPr>
      <w:r>
        <w:rPr>
          <w:rFonts w:ascii="Arial" w:cs="Arial" w:eastAsia="Arial" w:hAnsi="Arial"/>
          <w:b/>
          <w:bCs/>
          <w:color w:val="2E75B6"/>
          <w:sz w:val="28"/>
          <w:szCs w:val="28"/>
        </w:rPr>
        <w:t xml:space="preserve">4.1  System Architecture (High-Level Design)</w:t>
      </w:r>
    </w:p>
    <w:p>
      <w:pPr>
        <w:pStyle w:val="Heading3"/>
        <w:spacing w:before="200" w:after="80"/>
      </w:pPr>
      <w:r>
        <w:rPr>
          <w:rFonts w:ascii="Arial" w:cs="Arial" w:eastAsia="Arial" w:hAnsi="Arial"/>
          <w:b/>
          <w:bCs/>
          <w:color w:val="0070C0"/>
          <w:sz w:val="24"/>
          <w:szCs w:val="24"/>
        </w:rPr>
        <w:t xml:space="preserve">4.1.1  Architectural Style</w:t>
      </w:r>
    </w:p>
    <w:p>
      <w:pPr>
        <w:spacing w:before="60" w:after="100"/>
      </w:pPr>
      <w:r>
        <w:rPr>
          <w:rFonts w:ascii="Arial" w:cs="Arial" w:eastAsia="Arial" w:hAnsi="Arial"/>
          <w:color w:val="1A1A2E"/>
          <w:sz w:val="22"/>
          <w:szCs w:val="22"/>
        </w:rPr>
        <w:t xml:space="preserve">ProtMind follows a layered service-oriented architecture with a clear separation between the frontend presentation layer, backend API layer, ML inference services, and data layer. The architecture prioritizes modularity — each visualization tool and each prediction model is a deployable service unit — enabling independent scaling and phased delivery.</w:t>
      </w:r>
    </w:p>
    <w:p>
      <w:pPr>
        <w:spacing w:before="80" w:after="80"/>
      </w:pPr>
      <w:r>
        <w:t xml:space="preserve"/>
      </w:r>
    </w:p>
    <w:p>
      <w:pPr>
        <w:pStyle w:val="Heading3"/>
        <w:spacing w:before="200" w:after="80"/>
      </w:pPr>
      <w:r>
        <w:rPr>
          <w:rFonts w:ascii="Arial" w:cs="Arial" w:eastAsia="Arial" w:hAnsi="Arial"/>
          <w:b/>
          <w:bCs/>
          <w:color w:val="0070C0"/>
          <w:sz w:val="24"/>
          <w:szCs w:val="24"/>
        </w:rPr>
        <w:t xml:space="preserve">4.1.2  High-Level 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2"/>
              <w:left w:val="single" w:color="2E75B6" w:sz="2"/>
              <w:bottom w:val="single" w:color="2E75B6" w:sz="2"/>
              <w:right w:val="single" w:color="2E75B6" w:sz="2"/>
            </w:tcBorders>
            <w:shd w:fill="F5F9FF" w:val="clear"/>
            <w:tcMar>
              <w:top w:type="dxa" w:w="180"/>
              <w:left w:type="dxa" w:w="260"/>
              <w:bottom w:type="dxa" w:w="180"/>
              <w:right w:type="dxa" w:w="260"/>
            </w:tcMar>
          </w:tcPr>
          <w:p>
            <w:pPr>
              <w:jc w:val="center"/>
            </w:pPr>
            <w:r>
              <w:rPr>
                <w:rFonts w:ascii="Courier New" w:cs="Courier New" w:eastAsia="Courier New" w:hAnsi="Courier New"/>
                <w:color w:val="666666"/>
                <w:sz w:val="18"/>
                <w:szCs w:val="18"/>
              </w:rPr>
              <w:t xml:space="preserve">┌─────────────────────────────────────────────────────┐</w:t>
            </w:r>
          </w:p>
          <w:p>
            <w:pPr>
              <w:jc w:val="center"/>
            </w:pPr>
            <w:r>
              <w:rPr>
                <w:rFonts w:ascii="Courier New" w:cs="Courier New" w:eastAsia="Courier New" w:hAnsi="Courier New"/>
                <w:b/>
                <w:bCs/>
                <w:color w:val="1B4F8A"/>
                <w:sz w:val="18"/>
                <w:szCs w:val="18"/>
              </w:rPr>
              <w:t xml:space="preserve">│           PRESENTATION LAYER (React Frontend)        │</w:t>
            </w:r>
          </w:p>
          <w:p>
            <w:pPr>
              <w:jc w:val="center"/>
            </w:pPr>
            <w:r>
              <w:rPr>
                <w:rFonts w:ascii="Courier New" w:cs="Courier New" w:eastAsia="Courier New" w:hAnsi="Courier New"/>
                <w:color w:val="1A1A2E"/>
                <w:sz w:val="17"/>
                <w:szCs w:val="17"/>
              </w:rPr>
              <w:t xml:space="preserve">│  Dashboard UI  |  Viz Tools  |  Report Views         │</w:t>
            </w:r>
          </w:p>
          <w:p>
            <w:pPr>
              <w:jc w:val="center"/>
            </w:pPr>
            <w:r>
              <w:rPr>
                <w:rFonts w:ascii="Courier New" w:cs="Courier New" w:eastAsia="Courier New" w:hAnsi="Courier New"/>
                <w:color w:val="666666"/>
                <w:sz w:val="18"/>
                <w:szCs w:val="18"/>
              </w:rPr>
              <w:t xml:space="preserve">└──────────────────────┬──────────────────────────────┘</w:t>
            </w:r>
          </w:p>
          <w:p>
            <w:pPr>
              <w:jc w:val="center"/>
            </w:pPr>
            <w:r>
              <w:rPr>
                <w:rFonts w:ascii="Courier New" w:cs="Courier New" w:eastAsia="Courier New" w:hAnsi="Courier New"/>
                <w:color w:val="666666"/>
                <w:sz w:val="17"/>
                <w:szCs w:val="17"/>
              </w:rPr>
              <w:t xml:space="preserve">                       │ REST API / WebSocket</w:t>
            </w:r>
          </w:p>
          <w:p>
            <w:pPr>
              <w:jc w:val="center"/>
            </w:pPr>
            <w:r>
              <w:rPr>
                <w:rFonts w:ascii="Courier New" w:cs="Courier New" w:eastAsia="Courier New" w:hAnsi="Courier New"/>
                <w:color w:val="666666"/>
                <w:sz w:val="18"/>
                <w:szCs w:val="18"/>
              </w:rPr>
              <w:t xml:space="preserve">┌──────────────────────┴──────────────────────────────┐</w:t>
            </w:r>
          </w:p>
          <w:p>
            <w:pPr>
              <w:jc w:val="center"/>
            </w:pPr>
            <w:r>
              <w:rPr>
                <w:rFonts w:ascii="Courier New" w:cs="Courier New" w:eastAsia="Courier New" w:hAnsi="Courier New"/>
                <w:b/>
                <w:bCs/>
                <w:color w:val="1B4F8A"/>
                <w:sz w:val="18"/>
                <w:szCs w:val="18"/>
              </w:rPr>
              <w:t xml:space="preserve">│         API GATEWAY + LLM ROUTER (FastAPI)           │</w:t>
            </w:r>
          </w:p>
          <w:p>
            <w:pPr>
              <w:jc w:val="center"/>
            </w:pPr>
            <w:r>
              <w:rPr>
                <w:rFonts w:ascii="Courier New" w:cs="Courier New" w:eastAsia="Courier New" w:hAnsi="Courier New"/>
                <w:color w:val="1A1A2E"/>
                <w:sz w:val="17"/>
                <w:szCs w:val="17"/>
              </w:rPr>
              <w:t xml:space="preserve">│   Auth  |  Rate Limiting  |  Task Orchestration       │</w:t>
            </w:r>
          </w:p>
          <w:p>
            <w:pPr>
              <w:jc w:val="center"/>
            </w:pPr>
            <w:r>
              <w:rPr>
                <w:rFonts w:ascii="Courier New" w:cs="Courier New" w:eastAsia="Courier New" w:hAnsi="Courier New"/>
                <w:color w:val="666666"/>
                <w:sz w:val="18"/>
                <w:szCs w:val="18"/>
              </w:rPr>
              <w:t xml:space="preserve">└──┬──────────┬───────────────┬──────────────────────┬──┘</w:t>
            </w:r>
          </w:p>
          <w:p>
            <w:pPr>
              <w:jc w:val="center"/>
            </w:pPr>
            <w:r>
              <w:rPr>
                <w:rFonts w:ascii="Courier New" w:cs="Courier New" w:eastAsia="Courier New" w:hAnsi="Courier New"/>
                <w:color w:val="666666"/>
                <w:sz w:val="17"/>
                <w:szCs w:val="17"/>
              </w:rPr>
              <w:t xml:space="preserve">   ▼          ▼               ▼                      ▼</w:t>
            </w:r>
          </w:p>
          <w:p>
            <w:pPr>
              <w:jc w:val="center"/>
            </w:pPr>
            <w:r>
              <w:rPr>
                <w:rFonts w:ascii="Courier New" w:cs="Courier New" w:eastAsia="Courier New" w:hAnsi="Courier New"/>
                <w:color w:val="1A1A2E"/>
                <w:sz w:val="17"/>
                <w:szCs w:val="17"/>
              </w:rPr>
              <w:t xml:space="preserve">[Data Svc]  [Viz Engine]  [ML Inference]  [External APIs]</w:t>
            </w:r>
          </w:p>
          <w:p>
            <w:pPr>
              <w:jc w:val="center"/>
            </w:pPr>
            <w:r>
              <w:rPr>
                <w:rFonts w:ascii="Courier New" w:cs="Courier New" w:eastAsia="Courier New" w:hAnsi="Courier New"/>
                <w:color w:val="666666"/>
                <w:sz w:val="17"/>
                <w:szCs w:val="17"/>
              </w:rPr>
              <w:t xml:space="preserve">   │          │               │                      │</w:t>
            </w:r>
          </w:p>
          <w:p>
            <w:pPr>
              <w:jc w:val="center"/>
            </w:pPr>
            <w:r>
              <w:rPr>
                <w:rFonts w:ascii="Courier New" w:cs="Courier New" w:eastAsia="Courier New" w:hAnsi="Courier New"/>
                <w:color w:val="666666"/>
                <w:sz w:val="18"/>
                <w:szCs w:val="18"/>
              </w:rPr>
              <w:t xml:space="preserve">┌──┴──────────┴───────────────┴──────────────────────┴──┐</w:t>
            </w:r>
          </w:p>
          <w:p>
            <w:pPr>
              <w:jc w:val="center"/>
            </w:pPr>
            <w:r>
              <w:rPr>
                <w:rFonts w:ascii="Courier New" w:cs="Courier New" w:eastAsia="Courier New" w:hAnsi="Courier New"/>
                <w:b/>
                <w:bCs/>
                <w:color w:val="1B4F8A"/>
                <w:sz w:val="18"/>
                <w:szCs w:val="18"/>
              </w:rPr>
              <w:t xml:space="preserve">│                    DATA LAYER                        │</w:t>
            </w:r>
          </w:p>
          <w:p>
            <w:pPr>
              <w:jc w:val="center"/>
            </w:pPr>
            <w:r>
              <w:rPr>
                <w:rFonts w:ascii="Courier New" w:cs="Courier New" w:eastAsia="Courier New" w:hAnsi="Courier New"/>
                <w:color w:val="1A1A2E"/>
                <w:sz w:val="17"/>
                <w:szCs w:val="17"/>
              </w:rPr>
              <w:t xml:space="preserve">│  PostgreSQL  |  Object Storage  |  Embedding Cache   │</w:t>
            </w:r>
          </w:p>
          <w:p>
            <w:pPr>
              <w:jc w:val="center"/>
            </w:pPr>
            <w:r>
              <w:rPr>
                <w:rFonts w:ascii="Courier New" w:cs="Courier New" w:eastAsia="Courier New" w:hAnsi="Courier New"/>
                <w:color w:val="666666"/>
                <w:sz w:val="18"/>
                <w:szCs w:val="18"/>
              </w:rPr>
              <w:t xml:space="preserve">└─────────────────────────────────────────────────────┘</w:t>
            </w:r>
          </w:p>
        </w:tc>
      </w:tr>
    </w:tbl>
    <w:p>
      <w:pPr>
        <w:spacing w:before="80" w:after="80"/>
      </w:pPr>
      <w:r>
        <w:t xml:space="preserve"/>
      </w:r>
    </w:p>
    <w:p>
      <w:pPr>
        <w:pStyle w:val="Heading3"/>
        <w:spacing w:before="200" w:after="80"/>
      </w:pPr>
      <w:r>
        <w:rPr>
          <w:rFonts w:ascii="Arial" w:cs="Arial" w:eastAsia="Arial" w:hAnsi="Arial"/>
          <w:b/>
          <w:bCs/>
          <w:color w:val="0070C0"/>
          <w:sz w:val="24"/>
          <w:szCs w:val="24"/>
        </w:rPr>
        <w:t xml:space="preserve">4.1.3  Major System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24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47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Responsibility</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Frontend (SPA)</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React + TypeScript</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Dashboard UI, visualization rendering, user interaction</w:t>
            </w:r>
          </w:p>
        </w:tc>
      </w:tr>
      <w:tr>
        <w:tc>
          <w:tcPr>
            <w:tcW w:type="dxa" w:w="2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3D Visualization Engine</w:t>
            </w:r>
          </w:p>
        </w:tc>
        <w:tc>
          <w:tcPr>
            <w:tcW w:type="dxa" w:w="24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Mol* / 3Dmol.js (WebGL)</w:t>
            </w:r>
          </w:p>
        </w:tc>
        <w:tc>
          <w:tcPr>
            <w:tcW w:type="dxa" w:w="47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Browser-based 3D structure rendering</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API Gateway</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FastAPI (Python)</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Request routing, authentication, rate limiting, WebSocket</w:t>
            </w:r>
          </w:p>
        </w:tc>
      </w:tr>
      <w:tr>
        <w:tc>
          <w:tcPr>
            <w:tcW w:type="dxa" w:w="2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LLM Router / Orchestrator</w:t>
            </w:r>
          </w:p>
        </w:tc>
        <w:tc>
          <w:tcPr>
            <w:tcW w:type="dxa" w:w="24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LangChain + OpenAI/local LLM</w:t>
            </w:r>
          </w:p>
        </w:tc>
        <w:tc>
          <w:tcPr>
            <w:tcW w:type="dxa" w:w="47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Natural language query parsing, tool selection, pipeline orchestration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Data Service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FastAPI + SQLAlchemy</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Protein metadata, annotation, and interaction queries</w:t>
            </w:r>
          </w:p>
        </w:tc>
      </w:tr>
      <w:tr>
        <w:tc>
          <w:tcPr>
            <w:tcW w:type="dxa" w:w="2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ML Inference Service</w:t>
            </w:r>
          </w:p>
        </w:tc>
        <w:tc>
          <w:tcPr>
            <w:tcW w:type="dxa" w:w="24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PyTorch + ESM-2</w:t>
            </w:r>
          </w:p>
        </w:tc>
        <w:tc>
          <w:tcPr>
            <w:tcW w:type="dxa" w:w="47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Function, PPI, and essentiality model inference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Data Pipeline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Apache Airflow / Prefect</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Scheduled ingestion and normalization from external DBs</w:t>
            </w:r>
          </w:p>
        </w:tc>
      </w:tr>
      <w:tr>
        <w:tc>
          <w:tcPr>
            <w:tcW w:type="dxa" w:w="2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Primary Database</w:t>
            </w:r>
          </w:p>
        </w:tc>
        <w:tc>
          <w:tcPr>
            <w:tcW w:type="dxa" w:w="24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PostgreSQL 15</w:t>
            </w:r>
          </w:p>
        </w:tc>
        <w:tc>
          <w:tcPr>
            <w:tcW w:type="dxa" w:w="47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Relational data: proteins, annotations, interactions, dataset splits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Object Storage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S3-compatible</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PDB files, structure files, model checkpoints</w:t>
            </w:r>
          </w:p>
        </w:tc>
      </w:tr>
      <w:tr>
        <w:tc>
          <w:tcPr>
            <w:tcW w:type="dxa" w:w="2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Embedding Cache</w:t>
            </w:r>
          </w:p>
        </w:tc>
        <w:tc>
          <w:tcPr>
            <w:tcW w:type="dxa" w:w="24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Redis</w:t>
            </w:r>
          </w:p>
        </w:tc>
        <w:tc>
          <w:tcPr>
            <w:tcW w:type="dxa" w:w="47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Cached ESM-2 embeddings to avoid re-computation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Task Queue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Celery + Redis</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Async jobs: structure building, model inference, report generation</w:t>
            </w:r>
          </w:p>
        </w:tc>
      </w:tr>
    </w:tbl>
    <w:p>
      <w:pPr>
        <w:spacing w:before="80" w:after="80"/>
      </w:pPr>
      <w:r>
        <w:t xml:space="preserve"/>
      </w:r>
    </w:p>
    <w:p>
      <w:pPr>
        <w:pStyle w:val="Heading3"/>
        <w:spacing w:before="200" w:after="80"/>
      </w:pPr>
      <w:r>
        <w:rPr>
          <w:rFonts w:ascii="Arial" w:cs="Arial" w:eastAsia="Arial" w:hAnsi="Arial"/>
          <w:b/>
          <w:bCs/>
          <w:color w:val="0070C0"/>
          <w:sz w:val="24"/>
          <w:szCs w:val="24"/>
        </w:rPr>
        <w:t xml:space="preserve">4.1.4  API Communication Model</w:t>
      </w:r>
    </w:p>
    <w:p>
      <w:pPr>
        <w:pStyle w:val="ListParagraph"/>
        <w:numPr>
          <w:ilvl w:val="0"/>
          <w:numId w:val="3"/>
        </w:numPr>
        <w:spacing w:before="50" w:after="50"/>
      </w:pPr>
      <w:r>
        <w:rPr>
          <w:rFonts w:ascii="Arial" w:cs="Arial" w:eastAsia="Arial" w:hAnsi="Arial"/>
          <w:color w:val="1A1A2E"/>
          <w:sz w:val="22"/>
          <w:szCs w:val="22"/>
        </w:rPr>
        <w:t xml:space="preserve">All frontend-to-backend communication uses versioned REST endpoints under /api/v1/.</w:t>
      </w:r>
    </w:p>
    <w:p>
      <w:pPr>
        <w:pStyle w:val="ListParagraph"/>
        <w:numPr>
          <w:ilvl w:val="0"/>
          <w:numId w:val="3"/>
        </w:numPr>
        <w:spacing w:before="50" w:after="50"/>
      </w:pPr>
      <w:r>
        <w:rPr>
          <w:rFonts w:ascii="Arial" w:cs="Arial" w:eastAsia="Arial" w:hAnsi="Arial"/>
          <w:color w:val="1A1A2E"/>
          <w:sz w:val="22"/>
          <w:szCs w:val="22"/>
        </w:rPr>
        <w:t xml:space="preserve">Long-running operations (homology modeling, model inference) return a job ID immediately and push progress via WebSocket.</w:t>
      </w:r>
    </w:p>
    <w:p>
      <w:pPr>
        <w:pStyle w:val="ListParagraph"/>
        <w:numPr>
          <w:ilvl w:val="0"/>
          <w:numId w:val="3"/>
        </w:numPr>
        <w:spacing w:before="50" w:after="50"/>
      </w:pPr>
      <w:r>
        <w:rPr>
          <w:rFonts w:ascii="Arial" w:cs="Arial" w:eastAsia="Arial" w:hAnsi="Arial"/>
          <w:color w:val="1A1A2E"/>
          <w:sz w:val="22"/>
          <w:szCs w:val="22"/>
        </w:rPr>
        <w:t xml:space="preserve">The frontend polls /api/v1/jobs/{id}/status for environments that cannot maintain WebSocket connections.</w:t>
      </w:r>
    </w:p>
    <w:p>
      <w:pPr>
        <w:pStyle w:val="ListParagraph"/>
        <w:numPr>
          <w:ilvl w:val="0"/>
          <w:numId w:val="3"/>
        </w:numPr>
        <w:spacing w:before="50" w:after="50"/>
      </w:pPr>
      <w:r>
        <w:rPr>
          <w:rFonts w:ascii="Arial" w:cs="Arial" w:eastAsia="Arial" w:hAnsi="Arial"/>
          <w:color w:val="1A1A2E"/>
          <w:sz w:val="22"/>
          <w:szCs w:val="22"/>
        </w:rPr>
        <w:t xml:space="preserve">External API calls (AlphaFold, SWISS-MODEL, STRING) are made by the backend only — never directly from the frontend — to protect API keys and enable caching.</w:t>
      </w:r>
    </w:p>
    <w:p>
      <w:pPr>
        <w:spacing w:before="80" w:after="80"/>
      </w:pPr>
      <w:r>
        <w:t xml:space="preserve"/>
      </w:r>
    </w:p>
    <w:p>
      <w:pPr>
        <w:pStyle w:val="Heading3"/>
        <w:spacing w:before="200" w:after="80"/>
      </w:pPr>
      <w:r>
        <w:rPr>
          <w:rFonts w:ascii="Arial" w:cs="Arial" w:eastAsia="Arial" w:hAnsi="Arial"/>
          <w:b/>
          <w:bCs/>
          <w:color w:val="0070C0"/>
          <w:sz w:val="24"/>
          <w:szCs w:val="24"/>
        </w:rPr>
        <w:t xml:space="preserve">4.1.5  Security Architecture</w:t>
      </w:r>
    </w:p>
    <w:p>
      <w:pPr>
        <w:pStyle w:val="ListParagraph"/>
        <w:numPr>
          <w:ilvl w:val="0"/>
          <w:numId w:val="3"/>
        </w:numPr>
        <w:spacing w:before="50" w:after="50"/>
      </w:pPr>
      <w:r>
        <w:rPr>
          <w:rFonts w:ascii="Arial" w:cs="Arial" w:eastAsia="Arial" w:hAnsi="Arial"/>
          <w:color w:val="1A1A2E"/>
          <w:sz w:val="22"/>
          <w:szCs w:val="22"/>
        </w:rPr>
        <w:t xml:space="preserve">JWT-based authentication with refresh token rotation. Access tokens expire in 15 minutes; refresh tokens in 7 days.</w:t>
      </w:r>
    </w:p>
    <w:p>
      <w:pPr>
        <w:pStyle w:val="ListParagraph"/>
        <w:numPr>
          <w:ilvl w:val="0"/>
          <w:numId w:val="3"/>
        </w:numPr>
        <w:spacing w:before="50" w:after="50"/>
      </w:pPr>
      <w:r>
        <w:rPr>
          <w:rFonts w:ascii="Arial" w:cs="Arial" w:eastAsia="Arial" w:hAnsi="Arial"/>
          <w:color w:val="1A1A2E"/>
          <w:sz w:val="22"/>
          <w:szCs w:val="22"/>
        </w:rPr>
        <w:t xml:space="preserve">Role-based access control (RBAC): Researcher, Clinical Scientist, Platform Admin roles with scoped permissions.</w:t>
      </w:r>
    </w:p>
    <w:p>
      <w:pPr>
        <w:pStyle w:val="ListParagraph"/>
        <w:numPr>
          <w:ilvl w:val="0"/>
          <w:numId w:val="3"/>
        </w:numPr>
        <w:spacing w:before="50" w:after="50"/>
      </w:pPr>
      <w:r>
        <w:rPr>
          <w:rFonts w:ascii="Arial" w:cs="Arial" w:eastAsia="Arial" w:hAnsi="Arial"/>
          <w:color w:val="1A1A2E"/>
          <w:sz w:val="22"/>
          <w:szCs w:val="22"/>
        </w:rPr>
        <w:t xml:space="preserve">All external API keys stored in environment variables via a secrets manager (AWS Secrets Manager or equivalent).</w:t>
      </w:r>
    </w:p>
    <w:p>
      <w:pPr>
        <w:pStyle w:val="ListParagraph"/>
        <w:numPr>
          <w:ilvl w:val="0"/>
          <w:numId w:val="3"/>
        </w:numPr>
        <w:spacing w:before="50" w:after="50"/>
      </w:pPr>
      <w:r>
        <w:rPr>
          <w:rFonts w:ascii="Arial" w:cs="Arial" w:eastAsia="Arial" w:hAnsi="Arial"/>
          <w:color w:val="1A1A2E"/>
          <w:sz w:val="22"/>
          <w:szCs w:val="22"/>
        </w:rPr>
        <w:t xml:space="preserve">Database credentials rotated automatically via infrastructure-as-code tooling.</w:t>
      </w:r>
    </w:p>
    <w:p>
      <w:pPr>
        <w:spacing w:before="80" w:after="80"/>
      </w:pPr>
      <w:r>
        <w:t xml:space="preserve"/>
      </w:r>
    </w:p>
    <w:p>
      <w:pPr>
        <w:pStyle w:val="Heading3"/>
        <w:spacing w:before="200" w:after="80"/>
      </w:pPr>
      <w:r>
        <w:rPr>
          <w:rFonts w:ascii="Arial" w:cs="Arial" w:eastAsia="Arial" w:hAnsi="Arial"/>
          <w:b/>
          <w:bCs/>
          <w:color w:val="0070C0"/>
          <w:sz w:val="24"/>
          <w:szCs w:val="24"/>
        </w:rPr>
        <w:t xml:space="preserve">4.1.6  Logical Deployment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Environment</w:t>
            </w:r>
          </w:p>
        </w:tc>
        <w:tc>
          <w:tcPr>
            <w:tcW w:type="dxa" w:w="30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43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Services Running</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Development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Local Docker Compose</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All services on single machine; mock external APIs available</w:t>
            </w:r>
          </w:p>
        </w:tc>
      </w:tr>
      <w:tr>
        <w:tc>
          <w:tcPr>
            <w:tcW w:type="dxa" w:w="20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Staging</w:t>
            </w:r>
          </w:p>
        </w:tc>
        <w:tc>
          <w:tcPr>
            <w:tcW w:type="dxa" w:w="30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Cloud (CPU only)</w:t>
            </w:r>
          </w:p>
        </w:tc>
        <w:tc>
          <w:tcPr>
            <w:tcW w:type="dxa" w:w="43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Full stack without GPU inference; static ESM-2 embeddings for testing</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Production (Phase 1–2)</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Cloud VM (CPU)</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Frontend, API, Data Service, PostgreSQL, Object Storage</w:t>
            </w:r>
          </w:p>
        </w:tc>
      </w:tr>
      <w:tr>
        <w:tc>
          <w:tcPr>
            <w:tcW w:type="dxa" w:w="20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Production (Phase 3+)</w:t>
            </w:r>
          </w:p>
        </w:tc>
        <w:tc>
          <w:tcPr>
            <w:tcW w:type="dxa" w:w="30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Cloud VM + GPU node</w:t>
            </w:r>
          </w:p>
        </w:tc>
        <w:tc>
          <w:tcPr>
            <w:tcW w:type="dxa" w:w="43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All Phase 1–2 services + ML Inference Service on GPU instance</w:t>
            </w:r>
          </w:p>
        </w:tc>
      </w:tr>
    </w:tbl>
    <w:p>
      <w:pPr>
        <w:spacing w:before="80" w:after="80"/>
      </w:pPr>
      <w:r>
        <w:t xml:space="preserve"/>
      </w:r>
    </w:p>
    <w:p>
      <w:pPr>
        <w:pStyle w:val="Heading2"/>
        <w:spacing w:before="280" w:after="120"/>
      </w:pPr>
      <w:r>
        <w:rPr>
          <w:rFonts w:ascii="Arial" w:cs="Arial" w:eastAsia="Arial" w:hAnsi="Arial"/>
          <w:b/>
          <w:bCs/>
          <w:color w:val="2E75B6"/>
          <w:sz w:val="28"/>
          <w:szCs w:val="28"/>
        </w:rPr>
        <w:t xml:space="preserve">4.2  Technology Stack</w:t>
      </w:r>
    </w:p>
    <w:p>
      <w:pPr>
        <w:pStyle w:val="Heading3"/>
        <w:spacing w:before="200" w:after="80"/>
      </w:pPr>
      <w:r>
        <w:rPr>
          <w:rFonts w:ascii="Arial" w:cs="Arial" w:eastAsia="Arial" w:hAnsi="Arial"/>
          <w:b/>
          <w:bCs/>
          <w:color w:val="0070C0"/>
          <w:sz w:val="24"/>
          <w:szCs w:val="24"/>
        </w:rPr>
        <w:t xml:space="preserve">4.2.1  Backend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16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Version</w:t>
            </w:r>
          </w:p>
        </w:tc>
        <w:tc>
          <w:tcPr>
            <w:tcW w:type="dxa" w:w="55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Python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3.11+</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Primary backend language</w:t>
            </w:r>
          </w:p>
        </w:tc>
      </w:tr>
      <w:tr>
        <w:tc>
          <w:tcPr>
            <w:tcW w:type="dxa" w:w="2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FastAPI</w:t>
            </w:r>
          </w:p>
        </w:tc>
        <w:tc>
          <w:tcPr>
            <w:tcW w:type="dxa" w:w="1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0.110+</w:t>
            </w:r>
          </w:p>
        </w:tc>
        <w:tc>
          <w:tcPr>
            <w:tcW w:type="dxa" w:w="55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REST API framework — async, type-safe, OpenAPI auto-docs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PyTorch</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2.0+</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ML model training, inference, ESM-2 integration</w:t>
            </w:r>
          </w:p>
        </w:tc>
      </w:tr>
      <w:tr>
        <w:tc>
          <w:tcPr>
            <w:tcW w:type="dxa" w:w="2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ESM-2 (fair-esm)</w:t>
            </w:r>
          </w:p>
        </w:tc>
        <w:tc>
          <w:tcPr>
            <w:tcW w:type="dxa" w:w="1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2.0</w:t>
            </w:r>
          </w:p>
        </w:tc>
        <w:tc>
          <w:tcPr>
            <w:tcW w:type="dxa" w:w="55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Protein language model for sequence embeddings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scikit-learn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1.4+</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XGBoost/MLP classifiers, calibration, evaluation metrics</w:t>
            </w:r>
          </w:p>
        </w:tc>
      </w:tr>
      <w:tr>
        <w:tc>
          <w:tcPr>
            <w:tcW w:type="dxa" w:w="2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SQLAlchemy</w:t>
            </w:r>
          </w:p>
        </w:tc>
        <w:tc>
          <w:tcPr>
            <w:tcW w:type="dxa" w:w="1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2.0+</w:t>
            </w:r>
          </w:p>
        </w:tc>
        <w:tc>
          <w:tcPr>
            <w:tcW w:type="dxa" w:w="55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ORM for PostgreSQL interaction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Celery</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5.3+</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Async task queue for long-running jobs</w:t>
            </w:r>
          </w:p>
        </w:tc>
      </w:tr>
      <w:tr>
        <w:tc>
          <w:tcPr>
            <w:tcW w:type="dxa" w:w="2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Apache Airflow</w:t>
            </w:r>
          </w:p>
        </w:tc>
        <w:tc>
          <w:tcPr>
            <w:tcW w:type="dxa" w:w="1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2.8+</w:t>
            </w:r>
          </w:p>
        </w:tc>
        <w:tc>
          <w:tcPr>
            <w:tcW w:type="dxa" w:w="55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Data pipeline orchestration and scheduling</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BioPython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1.83+</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Protein sequence parsing, PDB file handling</w:t>
            </w:r>
          </w:p>
        </w:tc>
      </w:tr>
      <w:tr>
        <w:tc>
          <w:tcPr>
            <w:tcW w:type="dxa" w:w="2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pandas / numpy</w:t>
            </w:r>
          </w:p>
        </w:tc>
        <w:tc>
          <w:tcPr>
            <w:tcW w:type="dxa" w:w="1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Latest stable</w:t>
            </w:r>
          </w:p>
        </w:tc>
        <w:tc>
          <w:tcPr>
            <w:tcW w:type="dxa" w:w="55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Data manipulation and numerical computation</w:t>
            </w:r>
          </w:p>
        </w:tc>
      </w:tr>
    </w:tbl>
    <w:p>
      <w:pPr>
        <w:spacing w:before="80" w:after="80"/>
      </w:pPr>
      <w:r>
        <w:t xml:space="preserve"/>
      </w:r>
    </w:p>
    <w:p>
      <w:pPr>
        <w:pStyle w:val="Heading3"/>
        <w:spacing w:before="200" w:after="80"/>
      </w:pPr>
      <w:r>
        <w:rPr>
          <w:rFonts w:ascii="Arial" w:cs="Arial" w:eastAsia="Arial" w:hAnsi="Arial"/>
          <w:b/>
          <w:bCs/>
          <w:color w:val="0070C0"/>
          <w:sz w:val="24"/>
          <w:szCs w:val="24"/>
        </w:rPr>
        <w:t xml:space="preserve">4.2.2  Frontend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16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Version</w:t>
            </w:r>
          </w:p>
        </w:tc>
        <w:tc>
          <w:tcPr>
            <w:tcW w:type="dxa" w:w="55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React</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18+</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SPA framework — component-based UI</w:t>
            </w:r>
          </w:p>
        </w:tc>
      </w:tr>
      <w:tr>
        <w:tc>
          <w:tcPr>
            <w:tcW w:type="dxa" w:w="2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TypeScript</w:t>
            </w:r>
          </w:p>
        </w:tc>
        <w:tc>
          <w:tcPr>
            <w:tcW w:type="dxa" w:w="1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5.0+</w:t>
            </w:r>
          </w:p>
        </w:tc>
        <w:tc>
          <w:tcPr>
            <w:tcW w:type="dxa" w:w="55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Type-safe frontend development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Mol*</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Latest</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Primary WebGL 3D protein structure viewer</w:t>
            </w:r>
          </w:p>
        </w:tc>
      </w:tr>
      <w:tr>
        <w:tc>
          <w:tcPr>
            <w:tcW w:type="dxa" w:w="2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3Dmol.js</w:t>
            </w:r>
          </w:p>
        </w:tc>
        <w:tc>
          <w:tcPr>
            <w:tcW w:type="dxa" w:w="1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2.0+</w:t>
            </w:r>
          </w:p>
        </w:tc>
        <w:tc>
          <w:tcPr>
            <w:tcW w:type="dxa" w:w="55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Alternative/fallback WebGL viewer for simpler rendering cases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D3.js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7.0+</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Network graph rendering for Interaction Network Viewer</w:t>
            </w:r>
          </w:p>
        </w:tc>
      </w:tr>
      <w:tr>
        <w:tc>
          <w:tcPr>
            <w:tcW w:type="dxa" w:w="2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Recharts</w:t>
            </w:r>
          </w:p>
        </w:tc>
        <w:tc>
          <w:tcPr>
            <w:tcW w:type="dxa" w:w="1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2.0+</w:t>
            </w:r>
          </w:p>
        </w:tc>
        <w:tc>
          <w:tcPr>
            <w:tcW w:type="dxa" w:w="55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Expression heatmap and calibration curve visualizations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TailwindCSS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3.0+</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Utility-first styling</w:t>
            </w:r>
          </w:p>
        </w:tc>
      </w:tr>
      <w:tr>
        <w:tc>
          <w:tcPr>
            <w:tcW w:type="dxa" w:w="2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Zustand</w:t>
            </w:r>
          </w:p>
        </w:tc>
        <w:tc>
          <w:tcPr>
            <w:tcW w:type="dxa" w:w="1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4.0+</w:t>
            </w:r>
          </w:p>
        </w:tc>
        <w:tc>
          <w:tcPr>
            <w:tcW w:type="dxa" w:w="55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Lightweight state management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React Query</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5.0+</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Data fetching, caching, and WebSocket integration</w:t>
            </w:r>
          </w:p>
        </w:tc>
      </w:tr>
    </w:tbl>
    <w:p>
      <w:pPr>
        <w:spacing w:before="80" w:after="80"/>
      </w:pPr>
      <w:r>
        <w:t xml:space="preserve"/>
      </w:r>
    </w:p>
    <w:p>
      <w:pPr>
        <w:pStyle w:val="Heading3"/>
        <w:spacing w:before="200" w:after="80"/>
      </w:pPr>
      <w:r>
        <w:rPr>
          <w:rFonts w:ascii="Arial" w:cs="Arial" w:eastAsia="Arial" w:hAnsi="Arial"/>
          <w:b/>
          <w:bCs/>
          <w:color w:val="0070C0"/>
          <w:sz w:val="24"/>
          <w:szCs w:val="24"/>
        </w:rPr>
        <w:t xml:space="preserve">4.2.3  Database Management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System</w:t>
            </w:r>
          </w:p>
        </w:tc>
        <w:tc>
          <w:tcPr>
            <w:tcW w:type="dxa" w:w="30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c>
          <w:tcPr>
            <w:tcW w:type="dxa" w:w="43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Justification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PostgreSQL 15</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Primary relational database</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ACID compliance, excellent JSON support, proven at scale</w:t>
            </w:r>
          </w:p>
        </w:tc>
      </w:tr>
      <w:tr>
        <w:tc>
          <w:tcPr>
            <w:tcW w:type="dxa" w:w="20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Redis 7</w:t>
            </w:r>
          </w:p>
        </w:tc>
        <w:tc>
          <w:tcPr>
            <w:tcW w:type="dxa" w:w="30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Embedding cache + task queue broker</w:t>
            </w:r>
          </w:p>
        </w:tc>
        <w:tc>
          <w:tcPr>
            <w:tcW w:type="dxa" w:w="43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Sub-millisecond reads for cached embeddings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S3-compatible Object Storage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PDB files, model checkpoints, report PDFs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Cost-effective for large binary files; CDN-ready</w:t>
            </w:r>
          </w:p>
        </w:tc>
      </w:tr>
    </w:tbl>
    <w:p>
      <w:pPr>
        <w:spacing w:before="80" w:after="80"/>
      </w:pPr>
      <w:r>
        <w:t xml:space="preserve"/>
      </w:r>
    </w:p>
    <w:p>
      <w:pPr>
        <w:pStyle w:val="Heading3"/>
        <w:spacing w:before="200" w:after="80"/>
      </w:pPr>
      <w:r>
        <w:rPr>
          <w:rFonts w:ascii="Arial" w:cs="Arial" w:eastAsia="Arial" w:hAnsi="Arial"/>
          <w:b/>
          <w:bCs/>
          <w:color w:val="0070C0"/>
          <w:sz w:val="24"/>
          <w:szCs w:val="24"/>
        </w:rPr>
        <w:t xml:space="preserve">4.2.4  Configuration and Environment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Tool</w:t>
            </w:r>
          </w:p>
        </w:tc>
        <w:tc>
          <w:tcPr>
            <w:tcW w:type="dxa" w:w="67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Docker + Docker Compose</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Containerization and local development environment</w:t>
            </w:r>
          </w:p>
        </w:tc>
      </w:tr>
      <w:tr>
        <w:tc>
          <w:tcPr>
            <w:tcW w:type="dxa" w:w="2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Kubernetes (K8s)</w:t>
            </w:r>
          </w:p>
        </w:tc>
        <w:tc>
          <w:tcPr>
            <w:tcW w:type="dxa" w:w="67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Production orchestration and horizontal scaling</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GitHub Actions</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CI/CD pipeline — automated testing, linting, Docker builds</w:t>
            </w:r>
          </w:p>
        </w:tc>
      </w:tr>
      <w:tr>
        <w:tc>
          <w:tcPr>
            <w:tcW w:type="dxa" w:w="2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Prometheus + Grafana</w:t>
            </w:r>
          </w:p>
        </w:tc>
        <w:tc>
          <w:tcPr>
            <w:tcW w:type="dxa" w:w="67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System monitoring and alerting</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Sentry</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Error tracking and performance monitoring</w:t>
            </w:r>
          </w:p>
        </w:tc>
      </w:tr>
    </w:tbl>
    <w:p>
      <w:pPr>
        <w:spacing w:before="80" w:after="80"/>
      </w:pPr>
      <w:r>
        <w:t xml:space="preserve"/>
      </w:r>
    </w:p>
    <w:p>
      <w:pPr>
        <w:pStyle w:val="Heading3"/>
        <w:spacing w:before="200" w:after="80"/>
      </w:pPr>
      <w:r>
        <w:rPr>
          <w:rFonts w:ascii="Arial" w:cs="Arial" w:eastAsia="Arial" w:hAnsi="Arial"/>
          <w:b/>
          <w:bCs/>
          <w:color w:val="0070C0"/>
          <w:sz w:val="24"/>
          <w:szCs w:val="24"/>
        </w:rPr>
        <w:t xml:space="preserve">4.2.5  Architectural Trade-offs &amp; Strategic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Decision</w:t>
            </w:r>
          </w:p>
        </w:tc>
        <w:tc>
          <w:tcPr>
            <w:tcW w:type="dxa" w:w="30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Chosen Approach</w:t>
            </w:r>
          </w:p>
        </w:tc>
        <w:tc>
          <w:tcPr>
            <w:tcW w:type="dxa" w:w="41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Frontend framework</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React + TypeScript over Vue/Svelte</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Larger ecosystem; better Mol* integration examples available</w:t>
            </w:r>
          </w:p>
        </w:tc>
      </w:tr>
      <w:tr>
        <w:tc>
          <w:tcPr>
            <w:tcW w:type="dxa" w:w="2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Backend framework</w:t>
            </w:r>
          </w:p>
        </w:tc>
        <w:tc>
          <w:tcPr>
            <w:tcW w:type="dxa" w:w="30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FastAPI over Django</w:t>
            </w:r>
          </w:p>
        </w:tc>
        <w:tc>
          <w:tcPr>
            <w:tcW w:type="dxa" w:w="41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Async-native; auto-OpenAPI docs; better for ML service integration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3D Viewer</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Mol* primary, 3Dmol.js fallback</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Mol* is used on PDB.org and EBI; 3Dmol.js as proven lighter fallback</w:t>
            </w:r>
          </w:p>
        </w:tc>
      </w:tr>
      <w:tr>
        <w:tc>
          <w:tcPr>
            <w:tcW w:type="dxa" w:w="2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ML Framework</w:t>
            </w:r>
          </w:p>
        </w:tc>
        <w:tc>
          <w:tcPr>
            <w:tcW w:type="dxa" w:w="30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PyTorch over TensorFlow</w:t>
            </w:r>
          </w:p>
        </w:tc>
        <w:tc>
          <w:tcPr>
            <w:tcW w:type="dxa" w:w="41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ESM-2 is distributed as a PyTorch model; ecosystem alignment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Database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PostgreSQL over NoSQL</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Structured relationships (proteins → annotations → interactions) benefit from relational model</w:t>
            </w:r>
          </w:p>
        </w:tc>
      </w:tr>
      <w:tr>
        <w:tc>
          <w:tcPr>
            <w:tcW w:type="dxa" w:w="2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Task Queue</w:t>
            </w:r>
          </w:p>
        </w:tc>
        <w:tc>
          <w:tcPr>
            <w:tcW w:type="dxa" w:w="30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Celery + Redis over cloud-native queues</w:t>
            </w:r>
          </w:p>
        </w:tc>
        <w:tc>
          <w:tcPr>
            <w:tcW w:type="dxa" w:w="41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Avoids vendor lock-in; self-hosted Redis doubles as embedding cache</w:t>
            </w:r>
          </w:p>
        </w:tc>
      </w:tr>
    </w:tbl>
    <w:p>
      <w:pPr>
        <w:spacing w:before="80" w:after="80"/>
      </w:pPr>
      <w:r>
        <w:t xml:space="preserve"/>
      </w:r>
    </w:p>
    <w:p>
      <w:pPr>
        <w:pStyle w:val="Heading2"/>
        <w:spacing w:before="280" w:after="120"/>
      </w:pPr>
      <w:r>
        <w:rPr>
          <w:rFonts w:ascii="Arial" w:cs="Arial" w:eastAsia="Arial" w:hAnsi="Arial"/>
          <w:b/>
          <w:bCs/>
          <w:color w:val="2E75B6"/>
          <w:sz w:val="28"/>
          <w:szCs w:val="28"/>
        </w:rPr>
        <w:t xml:space="preserve">4.3  Use Case Specifications</w:t>
      </w:r>
    </w:p>
    <w:p>
      <w:pPr>
        <w:spacing w:before="80" w:after="80"/>
      </w:pPr>
      <w:r>
        <w:t xml:space="preserve"/>
      </w:r>
    </w:p>
    <w:p>
      <w:pPr>
        <w:pStyle w:val="Heading3"/>
        <w:spacing w:before="200" w:after="80"/>
      </w:pPr>
      <w:r>
        <w:rPr>
          <w:rFonts w:ascii="Arial" w:cs="Arial" w:eastAsia="Arial" w:hAnsi="Arial"/>
          <w:b/>
          <w:bCs/>
          <w:color w:val="0070C0"/>
          <w:sz w:val="24"/>
          <w:szCs w:val="24"/>
        </w:rPr>
        <w:t xml:space="preserve">4.3.1  Researcher — Protein Function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Attribute</w:t>
            </w:r>
          </w:p>
        </w:tc>
        <w:tc>
          <w:tcPr>
            <w:tcW w:type="dxa" w:w="71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Use Case ID</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UC-001</w:t>
            </w:r>
          </w:p>
        </w:tc>
      </w:tr>
      <w:tr>
        <w:tc>
          <w:tcPr>
            <w:tcW w:type="dxa" w:w="2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Name</w:t>
            </w:r>
          </w:p>
        </w:tc>
        <w:tc>
          <w:tcPr>
            <w:tcW w:type="dxa" w:w="71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Query Protein Function by UniProt ID or Sequence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Actor</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Biomedical Researcher</w:t>
            </w:r>
          </w:p>
        </w:tc>
      </w:tr>
      <w:tr>
        <w:tc>
          <w:tcPr>
            <w:tcW w:type="dxa" w:w="2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Preconditions</w:t>
            </w:r>
          </w:p>
        </w:tc>
        <w:tc>
          <w:tcPr>
            <w:tcW w:type="dxa" w:w="71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User is authenticated; Model 1 is deployed; protein exists in database or can be fetched from UniProt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Trigger</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User enters a UniProt ID (e.g., P01308) or raw amino acid sequence in the dashboard search bar</w:t>
            </w:r>
          </w:p>
        </w:tc>
      </w:tr>
      <w:tr>
        <w:tc>
          <w:tcPr>
            <w:tcW w:type="dxa" w:w="2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Main Flow</w:t>
            </w:r>
          </w:p>
        </w:tc>
        <w:tc>
          <w:tcPr>
            <w:tcW w:type="dxa" w:w="71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1. User enters UniProt ID or sequence
2. System fetches protein metadata from database/UniProt API
3. System retrieves or computes ESM-2 embeddings
4. Model 1 generates GO MF predictions with confidence scores
5. System generates residue-level attention heatmap
6. Dashboard renders: function prediction report + Sequence Annotator + 3D Viewer with highlighted residues
7. Evidence Graph is assembled and displayed
8. User can expand any GO term to see supporting database references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Alternate Flow</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If protein not in AlphaFold DB: SWISS-MODEL fallback is triggered; user sees a 'Building homology model...' progress indicator</w:t>
            </w:r>
          </w:p>
        </w:tc>
      </w:tr>
      <w:tr>
        <w:tc>
          <w:tcPr>
            <w:tcW w:type="dxa" w:w="2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Postconditions</w:t>
            </w:r>
          </w:p>
        </w:tc>
        <w:tc>
          <w:tcPr>
            <w:tcW w:type="dxa" w:w="71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User has a complete, evidence-backed function prediction with visualizations and references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Exceptions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Invalid UniProt ID: system returns descriptive error suggesting the user verify the ID on UniProt directly</w:t>
            </w:r>
          </w:p>
        </w:tc>
      </w:tr>
    </w:tbl>
    <w:p>
      <w:pPr>
        <w:spacing w:before="80" w:after="80"/>
      </w:pPr>
      <w:r>
        <w:t xml:space="preserve"/>
      </w:r>
    </w:p>
    <w:p>
      <w:pPr>
        <w:pStyle w:val="Heading3"/>
        <w:spacing w:before="200" w:after="80"/>
      </w:pPr>
      <w:r>
        <w:rPr>
          <w:rFonts w:ascii="Arial" w:cs="Arial" w:eastAsia="Arial" w:hAnsi="Arial"/>
          <w:b/>
          <w:bCs/>
          <w:color w:val="0070C0"/>
          <w:sz w:val="24"/>
          <w:szCs w:val="24"/>
        </w:rPr>
        <w:t xml:space="preserve">4.3.2  Researcher — 3D Structure Exploration (Standalone)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Attribute</w:t>
            </w:r>
          </w:p>
        </w:tc>
        <w:tc>
          <w:tcPr>
            <w:tcW w:type="dxa" w:w="71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Use Case ID</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UC-002</w:t>
            </w:r>
          </w:p>
        </w:tc>
      </w:tr>
      <w:tr>
        <w:tc>
          <w:tcPr>
            <w:tcW w:type="dxa" w:w="2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Name</w:t>
            </w:r>
          </w:p>
        </w:tc>
        <w:tc>
          <w:tcPr>
            <w:tcW w:type="dxa" w:w="71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Explore 3D Protein Structure Interactively</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Actor</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Biomedical Researcher / Graduate Student</w:t>
            </w:r>
          </w:p>
        </w:tc>
      </w:tr>
      <w:tr>
        <w:tc>
          <w:tcPr>
            <w:tcW w:type="dxa" w:w="2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Preconditions</w:t>
            </w:r>
          </w:p>
        </w:tc>
        <w:tc>
          <w:tcPr>
            <w:tcW w:type="dxa" w:w="71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User has a UniProt ID, PDB ID, or PDB file; WebGL is supported by the browser</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Trigger</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User opens '3D Structure Viewer' tool from the dashboard</w:t>
            </w:r>
          </w:p>
        </w:tc>
      </w:tr>
      <w:tr>
        <w:tc>
          <w:tcPr>
            <w:tcW w:type="dxa" w:w="2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Main Flow</w:t>
            </w:r>
          </w:p>
        </w:tc>
        <w:tc>
          <w:tcPr>
            <w:tcW w:type="dxa" w:w="71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1. User enters PDB ID, UniProt ID (mapped to AlphaFold accession), or uploads a PDB file
2. System fetches structure from PDB, AlphaFold DB, or accepts upload
3. Structure is rendered in the browser using Mol* with default cartoon representation
4. User can switch representation (cartoon/surface/ball-and-stick), color by pLDDT or B-factor, highlight residues
5. User can export the current view as a PNG image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Postconditions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User has an interactive 3D protein structure view without any desktop software installation</w:t>
            </w:r>
          </w:p>
        </w:tc>
      </w:tr>
      <w:tr>
        <w:tc>
          <w:tcPr>
            <w:tcW w:type="dxa" w:w="2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Exceptions</w:t>
            </w:r>
          </w:p>
        </w:tc>
        <w:tc>
          <w:tcPr>
            <w:tcW w:type="dxa" w:w="71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Structure file too large (&gt;50MB): user is warned and offered a simplified rendering mode</w:t>
            </w:r>
          </w:p>
        </w:tc>
      </w:tr>
    </w:tbl>
    <w:p>
      <w:pPr>
        <w:spacing w:before="80" w:after="80"/>
      </w:pPr>
      <w:r>
        <w:t xml:space="preserve"/>
      </w:r>
    </w:p>
    <w:p>
      <w:pPr>
        <w:pStyle w:val="Heading3"/>
        <w:spacing w:before="200" w:after="80"/>
      </w:pPr>
      <w:r>
        <w:rPr>
          <w:rFonts w:ascii="Arial" w:cs="Arial" w:eastAsia="Arial" w:hAnsi="Arial"/>
          <w:b/>
          <w:bCs/>
          <w:color w:val="0070C0"/>
          <w:sz w:val="24"/>
          <w:szCs w:val="24"/>
        </w:rPr>
        <w:t xml:space="preserve">4.3.3  Researcher — Protein-Protein Interaction Prediction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Attribute</w:t>
            </w:r>
          </w:p>
        </w:tc>
        <w:tc>
          <w:tcPr>
            <w:tcW w:type="dxa" w:w="71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Use Case ID</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UC-005</w:t>
            </w:r>
          </w:p>
        </w:tc>
      </w:tr>
      <w:tr>
        <w:tc>
          <w:tcPr>
            <w:tcW w:type="dxa" w:w="2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Name</w:t>
            </w:r>
          </w:p>
        </w:tc>
        <w:tc>
          <w:tcPr>
            <w:tcW w:type="dxa" w:w="71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Predict Protein-Protein Interaction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Actor</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Biomedical Researcher</w:t>
            </w:r>
          </w:p>
        </w:tc>
      </w:tr>
      <w:tr>
        <w:tc>
          <w:tcPr>
            <w:tcW w:type="dxa" w:w="2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Preconditions</w:t>
            </w:r>
          </w:p>
        </w:tc>
        <w:tc>
          <w:tcPr>
            <w:tcW w:type="dxa" w:w="71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Model 2 is deployed; both proteins exist in database or can be fetched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Trigger</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User enters two UniProt IDs in the PPI prediction tool</w:t>
            </w:r>
          </w:p>
        </w:tc>
      </w:tr>
      <w:tr>
        <w:tc>
          <w:tcPr>
            <w:tcW w:type="dxa" w:w="2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Main Flow</w:t>
            </w:r>
          </w:p>
        </w:tc>
        <w:tc>
          <w:tcPr>
            <w:tcW w:type="dxa" w:w="71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1. User enters UniProt ID A and UniProt ID B
2. System fetches or retrieves ESM-2 embeddings for both proteins
3. Paired embeddings (concatenation, difference, product) are computed
4. Model 2 outputs: interaction probability, interaction type (activating/inhibitory), predicted interaction residues
5. Co-visualization renders both proteins with binding interface highlighted
6. Interaction Network Viewer shows the pair in broader PPI network context
7. DrugBank is queried for compounds modulating this interaction
8. Full structured report is assembled and displayed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Postconditions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User has a complete PPI prediction with structural visualization, network context, and pharmacological relevance</w:t>
            </w:r>
          </w:p>
        </w:tc>
      </w:tr>
      <w:tr>
        <w:tc>
          <w:tcPr>
            <w:tcW w:type="dxa" w:w="2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Exceptions</w:t>
            </w:r>
          </w:p>
        </w:tc>
        <w:tc>
          <w:tcPr>
            <w:tcW w:type="dxa" w:w="71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If one or both proteins are not in training distribution, a distribution shift warning is shown</w:t>
            </w:r>
          </w:p>
        </w:tc>
      </w:tr>
    </w:tbl>
    <w:p>
      <w:pPr>
        <w:spacing w:before="80" w:after="80"/>
      </w:pPr>
      <w:r>
        <w:t xml:space="preserve"/>
      </w:r>
    </w:p>
    <w:p>
      <w:pPr>
        <w:pStyle w:val="Heading3"/>
        <w:spacing w:before="200" w:after="80"/>
      </w:pPr>
      <w:r>
        <w:rPr>
          <w:rFonts w:ascii="Arial" w:cs="Arial" w:eastAsia="Arial" w:hAnsi="Arial"/>
          <w:b/>
          <w:bCs/>
          <w:color w:val="0070C0"/>
          <w:sz w:val="24"/>
          <w:szCs w:val="24"/>
        </w:rPr>
        <w:t xml:space="preserve">4.3.4  Clinical Scientist — CCA Biomarker Candidate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Attribute</w:t>
            </w:r>
          </w:p>
        </w:tc>
        <w:tc>
          <w:tcPr>
            <w:tcW w:type="dxa" w:w="71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Use Case ID</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UC-009</w:t>
            </w:r>
          </w:p>
        </w:tc>
      </w:tr>
      <w:tr>
        <w:tc>
          <w:tcPr>
            <w:tcW w:type="dxa" w:w="2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Name</w:t>
            </w:r>
          </w:p>
        </w:tc>
        <w:tc>
          <w:tcPr>
            <w:tcW w:type="dxa" w:w="71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Generate CCA Biomarker Candidate Report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Actor</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Clinical Scientist</w:t>
            </w:r>
          </w:p>
        </w:tc>
      </w:tr>
      <w:tr>
        <w:tc>
          <w:tcPr>
            <w:tcW w:type="dxa" w:w="2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Preconditions</w:t>
            </w:r>
          </w:p>
        </w:tc>
        <w:tc>
          <w:tcPr>
            <w:tcW w:type="dxa" w:w="71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All three models are deployed; TCGA CCA expression data is loaded; user has Clinical Scientist role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Trigger</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User opens the 'CCA Biomarker Dashboard' from the dashboard</w:t>
            </w:r>
          </w:p>
        </w:tc>
      </w:tr>
      <w:tr>
        <w:tc>
          <w:tcPr>
            <w:tcW w:type="dxa" w:w="2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Main Flow</w:t>
            </w:r>
          </w:p>
        </w:tc>
        <w:tc>
          <w:tcPr>
            <w:tcW w:type="dxa" w:w="71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1. System loads pre-computed differential expression results for CCA (tumor vs. normal)
2. User can filter by fold-change threshold and statistical significance (p-value cutoff)
3. System runs candidate proteins through the full pipeline: function prediction → PPI mapping → essentiality analysis → mutation characterization → pharmacological cross-referencing
4. Results are ranked by a composite evidence score
5. User can click any candidate to view its full prediction report
6. User can export the ranked list and individual reports as a structured PDF</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Postconditions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User has a ranked, evidence-backed list of CCA biomarker and drug target candidates ready for experimental validation planning</w:t>
            </w:r>
          </w:p>
        </w:tc>
      </w:tr>
      <w:tr>
        <w:tc>
          <w:tcPr>
            <w:tcW w:type="dxa" w:w="2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Exceptions</w:t>
            </w:r>
          </w:p>
        </w:tc>
        <w:tc>
          <w:tcPr>
            <w:tcW w:type="dxa" w:w="71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If TCGA data is not loaded (e.g., data pipeline not run): system displays a clear status message with instructions</w:t>
            </w:r>
          </w:p>
        </w:tc>
      </w:tr>
    </w:tbl>
    <w:p>
      <w:pPr>
        <w:spacing w:before="80" w:after="80"/>
      </w:pPr>
      <w:r>
        <w:t xml:space="preserve"/>
      </w:r>
    </w:p>
    <w:p>
      <w:pPr>
        <w:pStyle w:val="Heading3"/>
        <w:spacing w:before="200" w:after="80"/>
      </w:pPr>
      <w:r>
        <w:rPr>
          <w:rFonts w:ascii="Arial" w:cs="Arial" w:eastAsia="Arial" w:hAnsi="Arial"/>
          <w:b/>
          <w:bCs/>
          <w:color w:val="0070C0"/>
          <w:sz w:val="24"/>
          <w:szCs w:val="24"/>
        </w:rPr>
        <w:t xml:space="preserve">4.3.5  Platform Administrator — Data Pipeline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Attribute</w:t>
            </w:r>
          </w:p>
        </w:tc>
        <w:tc>
          <w:tcPr>
            <w:tcW w:type="dxa" w:w="71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Use Case ID</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UC-011</w:t>
            </w:r>
          </w:p>
        </w:tc>
      </w:tr>
      <w:tr>
        <w:tc>
          <w:tcPr>
            <w:tcW w:type="dxa" w:w="2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Name</w:t>
            </w:r>
          </w:p>
        </w:tc>
        <w:tc>
          <w:tcPr>
            <w:tcW w:type="dxa" w:w="71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Re-run Data Pipeline on New UniProt Release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Actor</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Platform Administrator</w:t>
            </w:r>
          </w:p>
        </w:tc>
      </w:tr>
      <w:tr>
        <w:tc>
          <w:tcPr>
            <w:tcW w:type="dxa" w:w="2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Preconditions</w:t>
            </w:r>
          </w:p>
        </w:tc>
        <w:tc>
          <w:tcPr>
            <w:tcW w:type="dxa" w:w="71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New UniProt release is available; admin has pipeline execution permissions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Trigger</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Admin triggers pipeline run from admin dashboard or schedules it via Airflow DAG</w:t>
            </w:r>
          </w:p>
        </w:tc>
      </w:tr>
      <w:tr>
        <w:tc>
          <w:tcPr>
            <w:tcW w:type="dxa" w:w="2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Main Flow</w:t>
            </w:r>
          </w:p>
        </w:tc>
        <w:tc>
          <w:tcPr>
            <w:tcW w:type="dxa" w:w="71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1. Admin initiates pipeline run (manual trigger or scheduled)
2. Pipeline fetches latest Swiss-Prot reviewed entries
3. New entries are diffed against existing database; new proteins are added, updated entries are versioned
4. New GO annotations are fetched and filtered to experimental evidence codes
5. Dataset splits are recomputed (time-based)
6. New data card is generated with version, date, and change summary
7. Admin receives completion notification with summary statistics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Postconditions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Database reflects the latest UniProt release; all artifacts are versioned; models can be retrained on new data</w:t>
            </w:r>
          </w:p>
        </w:tc>
      </w:tr>
      <w:tr>
        <w:tc>
          <w:tcPr>
            <w:tcW w:type="dxa" w:w="2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Exceptions</w:t>
            </w:r>
          </w:p>
        </w:tc>
        <w:tc>
          <w:tcPr>
            <w:tcW w:type="dxa" w:w="71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API failure during ingestion: pipeline marks failed step, sends alert, and retries with exponential backoff. Partial failures do not corrupt existing data.</w:t>
            </w:r>
          </w:p>
        </w:tc>
      </w:tr>
    </w:tbl>
    <w:p>
      <w:pPr>
        <w:spacing w:before="80" w:after="80"/>
      </w:pPr>
      <w:r>
        <w:t xml:space="preserve"/>
      </w:r>
    </w:p>
    <w:p>
      <w:pPr>
        <w:pStyle w:val="Heading2"/>
        <w:spacing w:before="280" w:after="120"/>
      </w:pPr>
      <w:r>
        <w:rPr>
          <w:rFonts w:ascii="Arial" w:cs="Arial" w:eastAsia="Arial" w:hAnsi="Arial"/>
          <w:b/>
          <w:bCs/>
          <w:color w:val="2E75B6"/>
          <w:sz w:val="28"/>
          <w:szCs w:val="28"/>
        </w:rPr>
        <w:t xml:space="preserve">4.4  Use Case Diagrams</w:t>
      </w:r>
    </w:p>
    <w:p>
      <w:pPr>
        <w:spacing w:before="60" w:after="100"/>
      </w:pPr>
      <w:r>
        <w:rPr>
          <w:rFonts w:ascii="Arial" w:cs="Arial" w:eastAsia="Arial" w:hAnsi="Arial"/>
          <w:color w:val="1A1A2E"/>
          <w:sz w:val="22"/>
          <w:szCs w:val="22"/>
        </w:rPr>
        <w:t xml:space="preserve">The following sections describe the major actors and their interactions with ProtMind system modules. Full diagrammatic representations are to be produced using draw.io or Lucidchart during Phase 2 implementation.</w:t>
      </w:r>
    </w:p>
    <w:p>
      <w:pPr>
        <w:spacing w:before="80" w:after="80"/>
      </w:pPr>
      <w:r>
        <w:t xml:space="preserve"/>
      </w:r>
    </w:p>
    <w:p>
      <w:pPr>
        <w:pStyle w:val="Heading3"/>
        <w:spacing w:before="200" w:after="80"/>
      </w:pPr>
      <w:r>
        <w:rPr>
          <w:rFonts w:ascii="Arial" w:cs="Arial" w:eastAsia="Arial" w:hAnsi="Arial"/>
          <w:b/>
          <w:bCs/>
          <w:color w:val="0070C0"/>
          <w:sz w:val="24"/>
          <w:szCs w:val="24"/>
        </w:rPr>
        <w:t xml:space="preserve">4.4.1  Researcher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Actor</w:t>
            </w:r>
          </w:p>
        </w:tc>
        <w:tc>
          <w:tcPr>
            <w:tcW w:type="dxa" w:w="71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Use Cases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Researcher</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UC-001: Query protein function, UC-002: Explore 3D structure, UC-003: Compare structures, UC-004: View annotated sequence, UC-005: Predict PPI, UC-006: Explore interaction network, UC-007: Analyze mutation effect, UC-008: View expression heatmap, UC-010: Export PDF report</w:t>
            </w:r>
          </w:p>
        </w:tc>
      </w:tr>
    </w:tbl>
    <w:p>
      <w:pPr>
        <w:spacing w:before="80" w:after="80"/>
      </w:pPr>
      <w:r>
        <w:t xml:space="preserve"/>
      </w:r>
    </w:p>
    <w:p>
      <w:pPr>
        <w:pStyle w:val="Heading3"/>
        <w:spacing w:before="200" w:after="80"/>
      </w:pPr>
      <w:r>
        <w:rPr>
          <w:rFonts w:ascii="Arial" w:cs="Arial" w:eastAsia="Arial" w:hAnsi="Arial"/>
          <w:b/>
          <w:bCs/>
          <w:color w:val="0070C0"/>
          <w:sz w:val="24"/>
          <w:szCs w:val="24"/>
        </w:rPr>
        <w:t xml:space="preserve">4.4.2  Clinical Scientist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Actor</w:t>
            </w:r>
          </w:p>
        </w:tc>
        <w:tc>
          <w:tcPr>
            <w:tcW w:type="dxa" w:w="71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Use Cases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Clinical Scientist</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UC-009: Generate CCA biomarker candidate report, UC-008: View expression heatmap, UC-010: Export PDF report, UC-002: Explore 3D structure (for candidate review)</w:t>
            </w:r>
          </w:p>
        </w:tc>
      </w:tr>
    </w:tbl>
    <w:p>
      <w:pPr>
        <w:spacing w:before="80" w:after="80"/>
      </w:pPr>
      <w:r>
        <w:t xml:space="preserve"/>
      </w:r>
    </w:p>
    <w:p>
      <w:pPr>
        <w:pStyle w:val="Heading3"/>
        <w:spacing w:before="200" w:after="80"/>
      </w:pPr>
      <w:r>
        <w:rPr>
          <w:rFonts w:ascii="Arial" w:cs="Arial" w:eastAsia="Arial" w:hAnsi="Arial"/>
          <w:b/>
          <w:bCs/>
          <w:color w:val="0070C0"/>
          <w:sz w:val="24"/>
          <w:szCs w:val="24"/>
        </w:rPr>
        <w:t xml:space="preserve">4.4.3  Platform Administrator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Actor</w:t>
            </w:r>
          </w:p>
        </w:tc>
        <w:tc>
          <w:tcPr>
            <w:tcW w:type="dxa" w:w="71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Use Cases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Platform Admin</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UC-011: Re-run data pipeline, UC-012: Monitor system health and pipeline status, UC-013: Manage user access and roles, UC-014: View audit logs</w:t>
            </w:r>
          </w:p>
        </w:tc>
      </w:tr>
    </w:tbl>
    <w:p>
      <w:pPr>
        <w:spacing w:before="80" w:after="80"/>
      </w:pPr>
      <w:r>
        <w:t xml:space="preserve"/>
      </w:r>
    </w:p>
    <w:p>
      <w:pPr>
        <w:pStyle w:val="Heading2"/>
        <w:spacing w:before="280" w:after="120"/>
      </w:pPr>
      <w:r>
        <w:rPr>
          <w:rFonts w:ascii="Arial" w:cs="Arial" w:eastAsia="Arial" w:hAnsi="Arial"/>
          <w:b/>
          <w:bCs/>
          <w:color w:val="2E75B6"/>
          <w:sz w:val="28"/>
          <w:szCs w:val="28"/>
        </w:rPr>
        <w:t xml:space="preserve">4.5  Entity Relationship Diagram (ERD)</w:t>
      </w:r>
    </w:p>
    <w:p>
      <w:pPr>
        <w:pStyle w:val="Heading3"/>
        <w:spacing w:before="200" w:after="80"/>
      </w:pPr>
      <w:r>
        <w:rPr>
          <w:rFonts w:ascii="Arial" w:cs="Arial" w:eastAsia="Arial" w:hAnsi="Arial"/>
          <w:b/>
          <w:bCs/>
          <w:color w:val="0070C0"/>
          <w:sz w:val="24"/>
          <w:szCs w:val="24"/>
        </w:rPr>
        <w:t xml:space="preserve">4.5.1  Introduction</w:t>
      </w:r>
    </w:p>
    <w:p>
      <w:pPr>
        <w:spacing w:before="60" w:after="100"/>
      </w:pPr>
      <w:r>
        <w:rPr>
          <w:rFonts w:ascii="Arial" w:cs="Arial" w:eastAsia="Arial" w:hAnsi="Arial"/>
          <w:color w:val="1A1A2E"/>
          <w:sz w:val="22"/>
          <w:szCs w:val="22"/>
        </w:rPr>
        <w:t xml:space="preserve">The ProtMind data model is centered on the Proteins entity, which anchors all downstream data: annotations, interactions, structural files, dataset splits, and prediction results. The schema is designed to support both the data pipeline (write-heavy, batch operations) and the dashboard (read-heavy, real-time queries).</w:t>
      </w:r>
    </w:p>
    <w:p>
      <w:pPr>
        <w:spacing w:before="80" w:after="80"/>
      </w:pPr>
      <w:r>
        <w:t xml:space="preserve"/>
      </w:r>
    </w:p>
    <w:p>
      <w:pPr>
        <w:pStyle w:val="Heading3"/>
        <w:spacing w:before="200" w:after="80"/>
      </w:pPr>
      <w:r>
        <w:rPr>
          <w:rFonts w:ascii="Arial" w:cs="Arial" w:eastAsia="Arial" w:hAnsi="Arial"/>
          <w:b/>
          <w:bCs/>
          <w:color w:val="0070C0"/>
          <w:sz w:val="24"/>
          <w:szCs w:val="24"/>
        </w:rPr>
        <w:t xml:space="preserve">4.5.2  ERD Design Approach</w:t>
      </w:r>
    </w:p>
    <w:p>
      <w:pPr>
        <w:pStyle w:val="ListParagraph"/>
        <w:numPr>
          <w:ilvl w:val="0"/>
          <w:numId w:val="3"/>
        </w:numPr>
        <w:spacing w:before="50" w:after="50"/>
      </w:pPr>
      <w:r>
        <w:rPr>
          <w:rFonts w:ascii="Arial" w:cs="Arial" w:eastAsia="Arial" w:hAnsi="Arial"/>
          <w:color w:val="1A1A2E"/>
          <w:sz w:val="22"/>
          <w:szCs w:val="22"/>
        </w:rPr>
        <w:t xml:space="preserve">Normalization: The schema is normalized to 3NF to avoid redundancy and ensure consistency across pipeline updates.</w:t>
      </w:r>
    </w:p>
    <w:p>
      <w:pPr>
        <w:pStyle w:val="ListParagraph"/>
        <w:numPr>
          <w:ilvl w:val="0"/>
          <w:numId w:val="3"/>
        </w:numPr>
        <w:spacing w:before="50" w:after="50"/>
      </w:pPr>
      <w:r>
        <w:rPr>
          <w:rFonts w:ascii="Arial" w:cs="Arial" w:eastAsia="Arial" w:hAnsi="Arial"/>
          <w:color w:val="1A1A2E"/>
          <w:sz w:val="22"/>
          <w:szCs w:val="22"/>
        </w:rPr>
        <w:t xml:space="preserve">Versioning: Annotation and interaction tables include source and date fields to support time-based splitting and provenance tracking.</w:t>
      </w:r>
    </w:p>
    <w:p>
      <w:pPr>
        <w:pStyle w:val="ListParagraph"/>
        <w:numPr>
          <w:ilvl w:val="0"/>
          <w:numId w:val="3"/>
        </w:numPr>
        <w:spacing w:before="50" w:after="50"/>
      </w:pPr>
      <w:r>
        <w:rPr>
          <w:rFonts w:ascii="Arial" w:cs="Arial" w:eastAsia="Arial" w:hAnsi="Arial"/>
          <w:color w:val="1A1A2E"/>
          <w:sz w:val="22"/>
          <w:szCs w:val="22"/>
        </w:rPr>
        <w:t xml:space="preserve">Extensibility: The schema is designed to accommodate new data sources (e.g., additional interaction databases) without structural changes.</w:t>
      </w:r>
    </w:p>
    <w:p>
      <w:pPr>
        <w:spacing w:before="80" w:after="80"/>
      </w:pPr>
      <w:r>
        <w:t xml:space="preserve"/>
      </w:r>
    </w:p>
    <w:p>
      <w:pPr>
        <w:pStyle w:val="Heading3"/>
        <w:spacing w:before="200" w:after="80"/>
      </w:pPr>
      <w:r>
        <w:rPr>
          <w:rFonts w:ascii="Arial" w:cs="Arial" w:eastAsia="Arial" w:hAnsi="Arial"/>
          <w:b/>
          <w:bCs/>
          <w:color w:val="0070C0"/>
          <w:sz w:val="24"/>
          <w:szCs w:val="24"/>
        </w:rPr>
        <w:t xml:space="preserve">4.5.3  List of All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Entity</w:t>
            </w:r>
          </w:p>
        </w:tc>
        <w:tc>
          <w:tcPr>
            <w:tcW w:type="dxa" w:w="71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Proteins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Core entity — one row per UniProt reviewed entry</w:t>
            </w:r>
          </w:p>
        </w:tc>
      </w:tr>
      <w:tr>
        <w:tc>
          <w:tcPr>
            <w:tcW w:type="dxa" w:w="2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Annotations</w:t>
            </w:r>
          </w:p>
        </w:tc>
        <w:tc>
          <w:tcPr>
            <w:tcW w:type="dxa" w:w="71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GO term annotations with evidence codes and dates — linked to Proteins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Interactions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PPI data from BioGRID and STRING — linked to two Proteins entries</w:t>
            </w:r>
          </w:p>
        </w:tc>
      </w:tr>
      <w:tr>
        <w:tc>
          <w:tcPr>
            <w:tcW w:type="dxa" w:w="2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Structures</w:t>
            </w:r>
          </w:p>
        </w:tc>
        <w:tc>
          <w:tcPr>
            <w:tcW w:type="dxa" w:w="71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Structure file references (PDB, AlphaFold) — linked to Proteins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Embeddings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Cached ESM-2 embeddings — linked to Proteins</w:t>
            </w:r>
          </w:p>
        </w:tc>
      </w:tr>
      <w:tr>
        <w:tc>
          <w:tcPr>
            <w:tcW w:type="dxa" w:w="2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Dataset_Splits</w:t>
            </w:r>
          </w:p>
        </w:tc>
        <w:tc>
          <w:tcPr>
            <w:tcW w:type="dxa" w:w="71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Train/validation/test partition assignments — linked to Proteins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Predictions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Model outputs (function, PPI, essentiality) — linked to Proteins</w:t>
            </w:r>
          </w:p>
        </w:tc>
      </w:tr>
      <w:tr>
        <w:tc>
          <w:tcPr>
            <w:tcW w:type="dxa" w:w="2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Evidence_Items</w:t>
            </w:r>
          </w:p>
        </w:tc>
        <w:tc>
          <w:tcPr>
            <w:tcW w:type="dxa" w:w="71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Evidence Graph nodes — linked to Predictions and source databases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Expression_Data</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TCGA expression values — linked to Proteins and tissue/condition metadata</w:t>
            </w:r>
          </w:p>
        </w:tc>
      </w:tr>
      <w:tr>
        <w:tc>
          <w:tcPr>
            <w:tcW w:type="dxa" w:w="2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Pipeline_Runs</w:t>
            </w:r>
          </w:p>
        </w:tc>
        <w:tc>
          <w:tcPr>
            <w:tcW w:type="dxa" w:w="71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Data pipeline execution log with version and statistics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Users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Platform users with roles (Researcher, Clinical Scientist, Admin)</w:t>
            </w:r>
          </w:p>
        </w:tc>
      </w:tr>
      <w:tr>
        <w:tc>
          <w:tcPr>
            <w:tcW w:type="dxa" w:w="2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Sessions</w:t>
            </w:r>
          </w:p>
        </w:tc>
        <w:tc>
          <w:tcPr>
            <w:tcW w:type="dxa" w:w="71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User session management with refresh token references</w:t>
            </w:r>
          </w:p>
        </w:tc>
      </w:tr>
    </w:tbl>
    <w:p>
      <w:pPr>
        <w:spacing w:before="80" w:after="80"/>
      </w:pPr>
      <w:r>
        <w:t xml:space="preserve"/>
      </w:r>
    </w:p>
    <w:p>
      <w:pPr>
        <w:pStyle w:val="Heading3"/>
        <w:spacing w:before="200" w:after="80"/>
      </w:pPr>
      <w:r>
        <w:rPr>
          <w:rFonts w:ascii="Arial" w:cs="Arial" w:eastAsia="Arial" w:hAnsi="Arial"/>
          <w:b/>
          <w:bCs/>
          <w:color w:val="0070C0"/>
          <w:sz w:val="24"/>
          <w:szCs w:val="24"/>
        </w:rPr>
        <w:t xml:space="preserve">4.5.4  Tables of Entities and Attributes</w:t>
      </w:r>
    </w:p>
    <w:p>
      <w:pPr>
        <w:spacing w:before="80" w:after="80"/>
      </w:pPr>
      <w:r>
        <w:t xml:space="preserve"/>
      </w:r>
    </w:p>
    <w:p>
      <w:pPr>
        <w:spacing w:before="160" w:after="60"/>
      </w:pPr>
      <w:r>
        <w:rPr>
          <w:rFonts w:ascii="Arial" w:cs="Arial" w:eastAsia="Arial" w:hAnsi="Arial"/>
          <w:b/>
          <w:bCs/>
          <w:color w:val="1A1A2E"/>
          <w:sz w:val="22"/>
          <w:szCs w:val="22"/>
        </w:rPr>
        <w:t xml:space="preserve">4.5.4.1  Proteins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800"/>
        <w:gridCol w:w="1960"/>
      </w:tblGrid>
      <w:tr>
        <w:tc>
          <w:tcPr>
            <w:tcW w:type="dxa" w:w="20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Column</w:t>
            </w:r>
          </w:p>
        </w:tc>
        <w:tc>
          <w:tcPr>
            <w:tcW w:type="dxa" w:w="16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38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19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Constraints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uniprot_id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VARCHAR(20)</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UniProt accession number</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PK, NOT NULL, UNIQUE</w:t>
            </w:r>
          </w:p>
        </w:tc>
      </w:tr>
      <w:tr>
        <w:tc>
          <w:tcPr>
            <w:tcW w:type="dxa" w:w="20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entry_name</w:t>
            </w:r>
          </w:p>
        </w:tc>
        <w:tc>
          <w:tcPr>
            <w:tcW w:type="dxa" w:w="1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VARCHAR(100)</w:t>
            </w:r>
          </w:p>
        </w:tc>
        <w:tc>
          <w:tcPr>
            <w:tcW w:type="dxa" w:w="38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UniProt entry name (e.g., INS_HUMAN)</w:t>
            </w:r>
          </w:p>
        </w:tc>
        <w:tc>
          <w:tcPr>
            <w:tcW w:type="dxa" w:w="19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NOT NULL</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sequence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TEXT</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Full amino acid sequence</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NOT NULL</w:t>
            </w:r>
          </w:p>
        </w:tc>
      </w:tr>
      <w:tr>
        <w:tc>
          <w:tcPr>
            <w:tcW w:type="dxa" w:w="20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organism</w:t>
            </w:r>
          </w:p>
        </w:tc>
        <w:tc>
          <w:tcPr>
            <w:tcW w:type="dxa" w:w="1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VARCHAR(200)</w:t>
            </w:r>
          </w:p>
        </w:tc>
        <w:tc>
          <w:tcPr>
            <w:tcW w:type="dxa" w:w="38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Scientific organism name</w:t>
            </w:r>
          </w:p>
        </w:tc>
        <w:tc>
          <w:tcPr>
            <w:tcW w:type="dxa" w:w="19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NOT NULL</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taxon_id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INTEGER</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NCBI taxonomy ID</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NOT NULL</w:t>
            </w:r>
          </w:p>
        </w:tc>
      </w:tr>
      <w:tr>
        <w:tc>
          <w:tcPr>
            <w:tcW w:type="dxa" w:w="20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reviewed</w:t>
            </w:r>
          </w:p>
        </w:tc>
        <w:tc>
          <w:tcPr>
            <w:tcW w:type="dxa" w:w="1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BOOLEAN</w:t>
            </w:r>
          </w:p>
        </w:tc>
        <w:tc>
          <w:tcPr>
            <w:tcW w:type="dxa" w:w="38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TRUE = Swiss-Prot reviewed</w:t>
            </w:r>
          </w:p>
        </w:tc>
        <w:tc>
          <w:tcPr>
            <w:tcW w:type="dxa" w:w="19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NOT NULL, DEFAULT TRUE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protein_name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TEXT</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Full protein name from UniProt</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
            </w:r>
          </w:p>
        </w:tc>
      </w:tr>
      <w:tr>
        <w:tc>
          <w:tcPr>
            <w:tcW w:type="dxa" w:w="20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gene_names</w:t>
            </w:r>
          </w:p>
        </w:tc>
        <w:tc>
          <w:tcPr>
            <w:tcW w:type="dxa" w:w="1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TEXT</w:t>
            </w:r>
          </w:p>
        </w:tc>
        <w:tc>
          <w:tcPr>
            <w:tcW w:type="dxa" w:w="38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Gene symbol(s), semicolon-separated</w:t>
            </w:r>
          </w:p>
        </w:tc>
        <w:tc>
          <w:tcPr>
            <w:tcW w:type="dxa" w:w="19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sequence_length</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INTEGER</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Number of amino acid residues</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NOT NULL</w:t>
            </w:r>
          </w:p>
        </w:tc>
      </w:tr>
      <w:tr>
        <w:tc>
          <w:tcPr>
            <w:tcW w:type="dxa" w:w="20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created_at</w:t>
            </w:r>
          </w:p>
        </w:tc>
        <w:tc>
          <w:tcPr>
            <w:tcW w:type="dxa" w:w="1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TIMESTAMP</w:t>
            </w:r>
          </w:p>
        </w:tc>
        <w:tc>
          <w:tcPr>
            <w:tcW w:type="dxa" w:w="38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Date first added to database</w:t>
            </w:r>
          </w:p>
        </w:tc>
        <w:tc>
          <w:tcPr>
            <w:tcW w:type="dxa" w:w="19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NOT NULL</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updated_at</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TIMESTAMP</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Date last updated</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NOT NULL</w:t>
            </w:r>
          </w:p>
        </w:tc>
      </w:tr>
    </w:tbl>
    <w:p>
      <w:pPr>
        <w:spacing w:before="80" w:after="80"/>
      </w:pPr>
      <w:r>
        <w:t xml:space="preserve"/>
      </w:r>
    </w:p>
    <w:p>
      <w:pPr>
        <w:spacing w:before="160" w:after="60"/>
      </w:pPr>
      <w:r>
        <w:rPr>
          <w:rFonts w:ascii="Arial" w:cs="Arial" w:eastAsia="Arial" w:hAnsi="Arial"/>
          <w:b/>
          <w:bCs/>
          <w:color w:val="1A1A2E"/>
          <w:sz w:val="22"/>
          <w:szCs w:val="22"/>
        </w:rPr>
        <w:t xml:space="preserve">4.5.4.2  Annotations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800"/>
        <w:gridCol w:w="1960"/>
      </w:tblGrid>
      <w:tr>
        <w:tc>
          <w:tcPr>
            <w:tcW w:type="dxa" w:w="20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Column</w:t>
            </w:r>
          </w:p>
        </w:tc>
        <w:tc>
          <w:tcPr>
            <w:tcW w:type="dxa" w:w="16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38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19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Constraints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annotation_id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BIGSERIAL</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Surrogate primary key</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PK</w:t>
            </w:r>
          </w:p>
        </w:tc>
      </w:tr>
      <w:tr>
        <w:tc>
          <w:tcPr>
            <w:tcW w:type="dxa" w:w="20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uniprot_id</w:t>
            </w:r>
          </w:p>
        </w:tc>
        <w:tc>
          <w:tcPr>
            <w:tcW w:type="dxa" w:w="1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VARCHAR(20)</w:t>
            </w:r>
          </w:p>
        </w:tc>
        <w:tc>
          <w:tcPr>
            <w:tcW w:type="dxa" w:w="38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Reference to Proteins</w:t>
            </w:r>
          </w:p>
        </w:tc>
        <w:tc>
          <w:tcPr>
            <w:tcW w:type="dxa" w:w="19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FK → Proteins, NOT NULL</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go_id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VARCHAR(15)</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GO term accession (e.g., GO:0005515)</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NOT NULL</w:t>
            </w:r>
          </w:p>
        </w:tc>
      </w:tr>
      <w:tr>
        <w:tc>
          <w:tcPr>
            <w:tcW w:type="dxa" w:w="20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go_aspect</w:t>
            </w:r>
          </w:p>
        </w:tc>
        <w:tc>
          <w:tcPr>
            <w:tcW w:type="dxa" w:w="1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CHAR(1)</w:t>
            </w:r>
          </w:p>
        </w:tc>
        <w:tc>
          <w:tcPr>
            <w:tcW w:type="dxa" w:w="38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F=Molecular Function, P=Biological Process, C=Component</w:t>
            </w:r>
          </w:p>
        </w:tc>
        <w:tc>
          <w:tcPr>
            <w:tcW w:type="dxa" w:w="19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NOT NULL</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evidence_code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VARCHAR(10)</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Evidence code (EXP, IDA, IPI, IMP, IGI, IEP)</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NOT NULL</w:t>
            </w:r>
          </w:p>
        </w:tc>
      </w:tr>
      <w:tr>
        <w:tc>
          <w:tcPr>
            <w:tcW w:type="dxa" w:w="20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annotation_date</w:t>
            </w:r>
          </w:p>
        </w:tc>
        <w:tc>
          <w:tcPr>
            <w:tcW w:type="dxa" w:w="1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DATE</w:t>
            </w:r>
          </w:p>
        </w:tc>
        <w:tc>
          <w:tcPr>
            <w:tcW w:type="dxa" w:w="38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Date annotation was added to GOA</w:t>
            </w:r>
          </w:p>
        </w:tc>
        <w:tc>
          <w:tcPr>
            <w:tcW w:type="dxa" w:w="19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NOT NULL</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source_db</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VARCHAR(50)</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Source database (GOA, UniProt)</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NOT NULL</w:t>
            </w:r>
          </w:p>
        </w:tc>
      </w:tr>
    </w:tbl>
    <w:p>
      <w:pPr>
        <w:spacing w:before="80" w:after="80"/>
      </w:pPr>
      <w:r>
        <w:t xml:space="preserve"/>
      </w:r>
    </w:p>
    <w:p>
      <w:pPr>
        <w:spacing w:before="160" w:after="60"/>
      </w:pPr>
      <w:r>
        <w:rPr>
          <w:rFonts w:ascii="Arial" w:cs="Arial" w:eastAsia="Arial" w:hAnsi="Arial"/>
          <w:b/>
          <w:bCs/>
          <w:color w:val="1A1A2E"/>
          <w:sz w:val="22"/>
          <w:szCs w:val="22"/>
        </w:rPr>
        <w:t xml:space="preserve">4.5.4.3  Interactions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800"/>
        <w:gridCol w:w="1960"/>
      </w:tblGrid>
      <w:tr>
        <w:tc>
          <w:tcPr>
            <w:tcW w:type="dxa" w:w="20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Column</w:t>
            </w:r>
          </w:p>
        </w:tc>
        <w:tc>
          <w:tcPr>
            <w:tcW w:type="dxa" w:w="16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38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19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Constraints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interaction_id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BIGSERIAL</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Surrogate primary key</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PK</w:t>
            </w:r>
          </w:p>
        </w:tc>
      </w:tr>
      <w:tr>
        <w:tc>
          <w:tcPr>
            <w:tcW w:type="dxa" w:w="20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uniprot_id_a</w:t>
            </w:r>
          </w:p>
        </w:tc>
        <w:tc>
          <w:tcPr>
            <w:tcW w:type="dxa" w:w="1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VARCHAR(20)</w:t>
            </w:r>
          </w:p>
        </w:tc>
        <w:tc>
          <w:tcPr>
            <w:tcW w:type="dxa" w:w="38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First protein in interaction</w:t>
            </w:r>
          </w:p>
        </w:tc>
        <w:tc>
          <w:tcPr>
            <w:tcW w:type="dxa" w:w="19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FK → Proteins, NOT NULL</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uniprot_id_b</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VARCHAR(20)</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Second protein in interaction</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FK → Proteins, NOT NULL</w:t>
            </w:r>
          </w:p>
        </w:tc>
      </w:tr>
      <w:tr>
        <w:tc>
          <w:tcPr>
            <w:tcW w:type="dxa" w:w="20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interaction_type</w:t>
            </w:r>
          </w:p>
        </w:tc>
        <w:tc>
          <w:tcPr>
            <w:tcW w:type="dxa" w:w="1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VARCHAR(50)</w:t>
            </w:r>
          </w:p>
        </w:tc>
        <w:tc>
          <w:tcPr>
            <w:tcW w:type="dxa" w:w="38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Type: physical, genetic, co-expression, etc.</w:t>
            </w:r>
          </w:p>
        </w:tc>
        <w:tc>
          <w:tcPr>
            <w:tcW w:type="dxa" w:w="19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NOT NULL</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effect</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VARCHAR(50)</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Effect: activating, inhibitory, unknown</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
            </w:r>
          </w:p>
        </w:tc>
      </w:tr>
      <w:tr>
        <w:tc>
          <w:tcPr>
            <w:tcW w:type="dxa" w:w="20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confidence_score</w:t>
            </w:r>
          </w:p>
        </w:tc>
        <w:tc>
          <w:tcPr>
            <w:tcW w:type="dxa" w:w="1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FLOAT</w:t>
            </w:r>
          </w:p>
        </w:tc>
        <w:tc>
          <w:tcPr>
            <w:tcW w:type="dxa" w:w="38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STRING/BioGRID confidence score (0–1)</w:t>
            </w:r>
          </w:p>
        </w:tc>
        <w:tc>
          <w:tcPr>
            <w:tcW w:type="dxa" w:w="19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source_db</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VARCHAR(50)</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BioGRID or STRING</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NOT NULL</w:t>
            </w:r>
          </w:p>
        </w:tc>
      </w:tr>
      <w:tr>
        <w:tc>
          <w:tcPr>
            <w:tcW w:type="dxa" w:w="20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pmid</w:t>
            </w:r>
          </w:p>
        </w:tc>
        <w:tc>
          <w:tcPr>
            <w:tcW w:type="dxa" w:w="1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VARCHAR(20)</w:t>
            </w:r>
          </w:p>
        </w:tc>
        <w:tc>
          <w:tcPr>
            <w:tcW w:type="dxa" w:w="38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PubMed reference if available</w:t>
            </w:r>
          </w:p>
        </w:tc>
        <w:tc>
          <w:tcPr>
            <w:tcW w:type="dxa" w:w="19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
            </w:r>
          </w:p>
        </w:tc>
      </w:tr>
    </w:tbl>
    <w:p>
      <w:pPr>
        <w:spacing w:before="80" w:after="80"/>
      </w:pPr>
      <w:r>
        <w:t xml:space="preserve"/>
      </w:r>
    </w:p>
    <w:p>
      <w:pPr>
        <w:spacing w:before="160" w:after="60"/>
      </w:pPr>
      <w:r>
        <w:rPr>
          <w:rFonts w:ascii="Arial" w:cs="Arial" w:eastAsia="Arial" w:hAnsi="Arial"/>
          <w:b/>
          <w:bCs/>
          <w:color w:val="1A1A2E"/>
          <w:sz w:val="22"/>
          <w:szCs w:val="22"/>
        </w:rPr>
        <w:t xml:space="preserve">4.5.4.4  Structures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800"/>
        <w:gridCol w:w="1960"/>
      </w:tblGrid>
      <w:tr>
        <w:tc>
          <w:tcPr>
            <w:tcW w:type="dxa" w:w="20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Column</w:t>
            </w:r>
          </w:p>
        </w:tc>
        <w:tc>
          <w:tcPr>
            <w:tcW w:type="dxa" w:w="16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38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19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Constraints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structure_id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BIGSERIAL</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Surrogate primary key</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PK</w:t>
            </w:r>
          </w:p>
        </w:tc>
      </w:tr>
      <w:tr>
        <w:tc>
          <w:tcPr>
            <w:tcW w:type="dxa" w:w="20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uniprot_id</w:t>
            </w:r>
          </w:p>
        </w:tc>
        <w:tc>
          <w:tcPr>
            <w:tcW w:type="dxa" w:w="1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VARCHAR(20)</w:t>
            </w:r>
          </w:p>
        </w:tc>
        <w:tc>
          <w:tcPr>
            <w:tcW w:type="dxa" w:w="38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Reference to Proteins</w:t>
            </w:r>
          </w:p>
        </w:tc>
        <w:tc>
          <w:tcPr>
            <w:tcW w:type="dxa" w:w="19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FK → Proteins, NOT NULL</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source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VARCHAR(20)</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PDB, AlphaFold, SWISS-MODEL</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NOT NULL</w:t>
            </w:r>
          </w:p>
        </w:tc>
      </w:tr>
      <w:tr>
        <w:tc>
          <w:tcPr>
            <w:tcW w:type="dxa" w:w="20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accession</w:t>
            </w:r>
          </w:p>
        </w:tc>
        <w:tc>
          <w:tcPr>
            <w:tcW w:type="dxa" w:w="1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VARCHAR(50)</w:t>
            </w:r>
          </w:p>
        </w:tc>
        <w:tc>
          <w:tcPr>
            <w:tcW w:type="dxa" w:w="38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PDB ID or AlphaFold accession</w:t>
            </w:r>
          </w:p>
        </w:tc>
        <w:tc>
          <w:tcPr>
            <w:tcW w:type="dxa" w:w="19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NOT NULL</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file_path</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TEXT</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Object storage path to PDB/mmCIF file</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NOT NULL</w:t>
            </w:r>
          </w:p>
        </w:tc>
      </w:tr>
      <w:tr>
        <w:tc>
          <w:tcPr>
            <w:tcW w:type="dxa" w:w="20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plddt_mean</w:t>
            </w:r>
          </w:p>
        </w:tc>
        <w:tc>
          <w:tcPr>
            <w:tcW w:type="dxa" w:w="1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FLOAT</w:t>
            </w:r>
          </w:p>
        </w:tc>
        <w:tc>
          <w:tcPr>
            <w:tcW w:type="dxa" w:w="38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Mean pLDDT score (AlphaFold only)</w:t>
            </w:r>
          </w:p>
        </w:tc>
        <w:tc>
          <w:tcPr>
            <w:tcW w:type="dxa" w:w="19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resolution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FLOAT</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Resolution in Angstroms (PDB experimental only)</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
            </w:r>
          </w:p>
        </w:tc>
      </w:tr>
      <w:tr>
        <w:tc>
          <w:tcPr>
            <w:tcW w:type="dxa" w:w="20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fetched_at</w:t>
            </w:r>
          </w:p>
        </w:tc>
        <w:tc>
          <w:tcPr>
            <w:tcW w:type="dxa" w:w="1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TIMESTAMP</w:t>
            </w:r>
          </w:p>
        </w:tc>
        <w:tc>
          <w:tcPr>
            <w:tcW w:type="dxa" w:w="38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When structure was last fetched</w:t>
            </w:r>
          </w:p>
        </w:tc>
        <w:tc>
          <w:tcPr>
            <w:tcW w:type="dxa" w:w="19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NOT NULL</w:t>
            </w:r>
          </w:p>
        </w:tc>
      </w:tr>
    </w:tbl>
    <w:p>
      <w:pPr>
        <w:spacing w:before="80" w:after="80"/>
      </w:pPr>
      <w:r>
        <w:t xml:space="preserve"/>
      </w:r>
    </w:p>
    <w:p>
      <w:pPr>
        <w:spacing w:before="160" w:after="60"/>
      </w:pPr>
      <w:r>
        <w:rPr>
          <w:rFonts w:ascii="Arial" w:cs="Arial" w:eastAsia="Arial" w:hAnsi="Arial"/>
          <w:b/>
          <w:bCs/>
          <w:color w:val="1A1A2E"/>
          <w:sz w:val="22"/>
          <w:szCs w:val="22"/>
        </w:rPr>
        <w:t xml:space="preserve">4.5.4.5  Embeddings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800"/>
        <w:gridCol w:w="1960"/>
      </w:tblGrid>
      <w:tr>
        <w:tc>
          <w:tcPr>
            <w:tcW w:type="dxa" w:w="20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Column</w:t>
            </w:r>
          </w:p>
        </w:tc>
        <w:tc>
          <w:tcPr>
            <w:tcW w:type="dxa" w:w="16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38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19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Constraints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embedding_id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BIGSERIAL</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Surrogate primary key</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PK</w:t>
            </w:r>
          </w:p>
        </w:tc>
      </w:tr>
      <w:tr>
        <w:tc>
          <w:tcPr>
            <w:tcW w:type="dxa" w:w="20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uniprot_id</w:t>
            </w:r>
          </w:p>
        </w:tc>
        <w:tc>
          <w:tcPr>
            <w:tcW w:type="dxa" w:w="1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VARCHAR(20)</w:t>
            </w:r>
          </w:p>
        </w:tc>
        <w:tc>
          <w:tcPr>
            <w:tcW w:type="dxa" w:w="38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Reference to Proteins</w:t>
            </w:r>
          </w:p>
        </w:tc>
        <w:tc>
          <w:tcPr>
            <w:tcW w:type="dxa" w:w="19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FK → Proteins, NOT NULL, UNIQUE per model version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model_version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VARCHAR(50)</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ESM-2 model version used</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NOT NULL</w:t>
            </w:r>
          </w:p>
        </w:tc>
      </w:tr>
      <w:tr>
        <w:tc>
          <w:tcPr>
            <w:tcW w:type="dxa" w:w="20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embedding_path</w:t>
            </w:r>
          </w:p>
        </w:tc>
        <w:tc>
          <w:tcPr>
            <w:tcW w:type="dxa" w:w="1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TEXT</w:t>
            </w:r>
          </w:p>
        </w:tc>
        <w:tc>
          <w:tcPr>
            <w:tcW w:type="dxa" w:w="38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Object storage path to serialized embedding tensor</w:t>
            </w:r>
          </w:p>
        </w:tc>
        <w:tc>
          <w:tcPr>
            <w:tcW w:type="dxa" w:w="19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NOT NULL</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computed_at</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TIMESTAMP</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Computation timestamp</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NOT NULL</w:t>
            </w:r>
          </w:p>
        </w:tc>
      </w:tr>
    </w:tbl>
    <w:p>
      <w:pPr>
        <w:spacing w:before="80" w:after="80"/>
      </w:pPr>
      <w:r>
        <w:t xml:space="preserve"/>
      </w:r>
    </w:p>
    <w:p>
      <w:pPr>
        <w:spacing w:before="160" w:after="60"/>
      </w:pPr>
      <w:r>
        <w:rPr>
          <w:rFonts w:ascii="Arial" w:cs="Arial" w:eastAsia="Arial" w:hAnsi="Arial"/>
          <w:b/>
          <w:bCs/>
          <w:color w:val="1A1A2E"/>
          <w:sz w:val="22"/>
          <w:szCs w:val="22"/>
        </w:rPr>
        <w:t xml:space="preserve">4.5.4.6  Dataset_Splits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800"/>
        <w:gridCol w:w="1960"/>
      </w:tblGrid>
      <w:tr>
        <w:tc>
          <w:tcPr>
            <w:tcW w:type="dxa" w:w="20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Column</w:t>
            </w:r>
          </w:p>
        </w:tc>
        <w:tc>
          <w:tcPr>
            <w:tcW w:type="dxa" w:w="16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38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19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Constraints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split_id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BIGSERIAL</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Surrogate primary key</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PK</w:t>
            </w:r>
          </w:p>
        </w:tc>
      </w:tr>
      <w:tr>
        <w:tc>
          <w:tcPr>
            <w:tcW w:type="dxa" w:w="20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uniprot_id</w:t>
            </w:r>
          </w:p>
        </w:tc>
        <w:tc>
          <w:tcPr>
            <w:tcW w:type="dxa" w:w="1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VARCHAR(20)</w:t>
            </w:r>
          </w:p>
        </w:tc>
        <w:tc>
          <w:tcPr>
            <w:tcW w:type="dxa" w:w="38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Reference to Proteins</w:t>
            </w:r>
          </w:p>
        </w:tc>
        <w:tc>
          <w:tcPr>
            <w:tcW w:type="dxa" w:w="19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FK → Proteins, NOT NULL</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split_version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VARCHAR(50)</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Dataset split version identifier</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NOT NULL</w:t>
            </w:r>
          </w:p>
        </w:tc>
      </w:tr>
      <w:tr>
        <w:tc>
          <w:tcPr>
            <w:tcW w:type="dxa" w:w="20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partition</w:t>
            </w:r>
          </w:p>
        </w:tc>
        <w:tc>
          <w:tcPr>
            <w:tcW w:type="dxa" w:w="1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VARCHAR(20)</w:t>
            </w:r>
          </w:p>
        </w:tc>
        <w:tc>
          <w:tcPr>
            <w:tcW w:type="dxa" w:w="38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train, validation, or test</w:t>
            </w:r>
          </w:p>
        </w:tc>
        <w:tc>
          <w:tcPr>
            <w:tcW w:type="dxa" w:w="19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NOT NULL</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cutoff_date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DATE</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Annotation date cutoff for this partition</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NOT NULL</w:t>
            </w:r>
          </w:p>
        </w:tc>
      </w:tr>
    </w:tbl>
    <w:p>
      <w:pPr>
        <w:spacing w:before="80" w:after="80"/>
      </w:pPr>
      <w:r>
        <w:t xml:space="preserve"/>
      </w:r>
    </w:p>
    <w:p>
      <w:pPr>
        <w:spacing w:before="160" w:after="60"/>
      </w:pPr>
      <w:r>
        <w:rPr>
          <w:rFonts w:ascii="Arial" w:cs="Arial" w:eastAsia="Arial" w:hAnsi="Arial"/>
          <w:b/>
          <w:bCs/>
          <w:color w:val="1A1A2E"/>
          <w:sz w:val="22"/>
          <w:szCs w:val="22"/>
        </w:rPr>
        <w:t xml:space="preserve">4.5.4.7  Predictions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800"/>
        <w:gridCol w:w="1960"/>
      </w:tblGrid>
      <w:tr>
        <w:tc>
          <w:tcPr>
            <w:tcW w:type="dxa" w:w="20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Column</w:t>
            </w:r>
          </w:p>
        </w:tc>
        <w:tc>
          <w:tcPr>
            <w:tcW w:type="dxa" w:w="16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38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19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Constraints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prediction_id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BIGSERIAL</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Surrogate primary key</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PK</w:t>
            </w:r>
          </w:p>
        </w:tc>
      </w:tr>
      <w:tr>
        <w:tc>
          <w:tcPr>
            <w:tcW w:type="dxa" w:w="20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uniprot_id</w:t>
            </w:r>
          </w:p>
        </w:tc>
        <w:tc>
          <w:tcPr>
            <w:tcW w:type="dxa" w:w="1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VARCHAR(20)</w:t>
            </w:r>
          </w:p>
        </w:tc>
        <w:tc>
          <w:tcPr>
            <w:tcW w:type="dxa" w:w="38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Reference to Proteins</w:t>
            </w:r>
          </w:p>
        </w:tc>
        <w:tc>
          <w:tcPr>
            <w:tcW w:type="dxa" w:w="19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FK → Proteins, NOT NULL</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model_type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VARCHAR(20)</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function, ppi, essentiality, mutation</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NOT NULL</w:t>
            </w:r>
          </w:p>
        </w:tc>
      </w:tr>
      <w:tr>
        <w:tc>
          <w:tcPr>
            <w:tcW w:type="dxa" w:w="20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model_version</w:t>
            </w:r>
          </w:p>
        </w:tc>
        <w:tc>
          <w:tcPr>
            <w:tcW w:type="dxa" w:w="1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VARCHAR(50)</w:t>
            </w:r>
          </w:p>
        </w:tc>
        <w:tc>
          <w:tcPr>
            <w:tcW w:type="dxa" w:w="38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Model version that generated this prediction</w:t>
            </w:r>
          </w:p>
        </w:tc>
        <w:tc>
          <w:tcPr>
            <w:tcW w:type="dxa" w:w="19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NOT NULL</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input_hash</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VARCHAR(64)</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SHA-256 of input to enable result caching</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NOT NULL</w:t>
            </w:r>
          </w:p>
        </w:tc>
      </w:tr>
      <w:tr>
        <w:tc>
          <w:tcPr>
            <w:tcW w:type="dxa" w:w="20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output_json</w:t>
            </w:r>
          </w:p>
        </w:tc>
        <w:tc>
          <w:tcPr>
            <w:tcW w:type="dxa" w:w="1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JSONB</w:t>
            </w:r>
          </w:p>
        </w:tc>
        <w:tc>
          <w:tcPr>
            <w:tcW w:type="dxa" w:w="38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Full structured prediction output</w:t>
            </w:r>
          </w:p>
        </w:tc>
        <w:tc>
          <w:tcPr>
            <w:tcW w:type="dxa" w:w="19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NOT NULL</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created_at</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TIMESTAMP</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Prediction generation timestamp</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NOT NULL</w:t>
            </w:r>
          </w:p>
        </w:tc>
      </w:tr>
    </w:tbl>
    <w:p>
      <w:pPr>
        <w:spacing w:before="80" w:after="80"/>
      </w:pPr>
      <w:r>
        <w:t xml:space="preserve"/>
      </w:r>
    </w:p>
    <w:p>
      <w:pPr>
        <w:spacing w:before="160" w:after="60"/>
      </w:pPr>
      <w:r>
        <w:rPr>
          <w:rFonts w:ascii="Arial" w:cs="Arial" w:eastAsia="Arial" w:hAnsi="Arial"/>
          <w:b/>
          <w:bCs/>
          <w:color w:val="1A1A2E"/>
          <w:sz w:val="22"/>
          <w:szCs w:val="22"/>
        </w:rPr>
        <w:t xml:space="preserve">4.5.4.8  Expression_Data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800"/>
        <w:gridCol w:w="1960"/>
      </w:tblGrid>
      <w:tr>
        <w:tc>
          <w:tcPr>
            <w:tcW w:type="dxa" w:w="20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Column</w:t>
            </w:r>
          </w:p>
        </w:tc>
        <w:tc>
          <w:tcPr>
            <w:tcW w:type="dxa" w:w="16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38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19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Constraints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expression_id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BIGSERIAL</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Surrogate primary key</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PK</w:t>
            </w:r>
          </w:p>
        </w:tc>
      </w:tr>
      <w:tr>
        <w:tc>
          <w:tcPr>
            <w:tcW w:type="dxa" w:w="20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uniprot_id</w:t>
            </w:r>
          </w:p>
        </w:tc>
        <w:tc>
          <w:tcPr>
            <w:tcW w:type="dxa" w:w="1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VARCHAR(20)</w:t>
            </w:r>
          </w:p>
        </w:tc>
        <w:tc>
          <w:tcPr>
            <w:tcW w:type="dxa" w:w="38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Reference to Proteins</w:t>
            </w:r>
          </w:p>
        </w:tc>
        <w:tc>
          <w:tcPr>
            <w:tcW w:type="dxa" w:w="19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FK → Proteins, NOT NULL</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tcga_project</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VARCHAR(50)</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TCGA project code (e.g., TCGA-CHOL for CCA)</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NOT NULL</w:t>
            </w:r>
          </w:p>
        </w:tc>
      </w:tr>
      <w:tr>
        <w:tc>
          <w:tcPr>
            <w:tcW w:type="dxa" w:w="20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tissue_type</w:t>
            </w:r>
          </w:p>
        </w:tc>
        <w:tc>
          <w:tcPr>
            <w:tcW w:type="dxa" w:w="1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VARCHAR(100)</w:t>
            </w:r>
          </w:p>
        </w:tc>
        <w:tc>
          <w:tcPr>
            <w:tcW w:type="dxa" w:w="38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Tissue or condition label</w:t>
            </w:r>
          </w:p>
        </w:tc>
        <w:tc>
          <w:tcPr>
            <w:tcW w:type="dxa" w:w="19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NOT NULL</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sample_type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VARCHAR(50)</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tumor, normal, metastatic</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NOT NULL</w:t>
            </w:r>
          </w:p>
        </w:tc>
      </w:tr>
      <w:tr>
        <w:tc>
          <w:tcPr>
            <w:tcW w:type="dxa" w:w="20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expression_value</w:t>
            </w:r>
          </w:p>
        </w:tc>
        <w:tc>
          <w:tcPr>
            <w:tcW w:type="dxa" w:w="1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FLOAT</w:t>
            </w:r>
          </w:p>
        </w:tc>
        <w:tc>
          <w:tcPr>
            <w:tcW w:type="dxa" w:w="38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Normalized expression value (TPM or FPKM)</w:t>
            </w:r>
          </w:p>
        </w:tc>
        <w:tc>
          <w:tcPr>
            <w:tcW w:type="dxa" w:w="19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NOT NULL</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statistical_method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VARCHAR(50)</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Normalization method used</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NOT NULL</w:t>
            </w:r>
          </w:p>
        </w:tc>
      </w:tr>
    </w:tbl>
    <w:p>
      <w:pPr>
        <w:spacing w:before="80" w:after="80"/>
      </w:pPr>
      <w:r>
        <w:t xml:space="preserve"/>
      </w:r>
    </w:p>
    <w:p>
      <w:pPr>
        <w:pStyle w:val="Heading3"/>
        <w:spacing w:before="200" w:after="80"/>
      </w:pPr>
      <w:r>
        <w:rPr>
          <w:rFonts w:ascii="Arial" w:cs="Arial" w:eastAsia="Arial" w:hAnsi="Arial"/>
          <w:b/>
          <w:bCs/>
          <w:color w:val="0070C0"/>
          <w:sz w:val="24"/>
          <w:szCs w:val="24"/>
        </w:rPr>
        <w:t xml:space="preserve">4.5.5  Relationships Between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2560"/>
      </w:tblGrid>
      <w:tr>
        <w:tc>
          <w:tcPr>
            <w:tcW w:type="dxa" w:w="24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Entity A</w:t>
            </w:r>
          </w:p>
        </w:tc>
        <w:tc>
          <w:tcPr>
            <w:tcW w:type="dxa" w:w="20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Relationship</w:t>
            </w:r>
          </w:p>
        </w:tc>
        <w:tc>
          <w:tcPr>
            <w:tcW w:type="dxa" w:w="24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Entity B</w:t>
            </w:r>
          </w:p>
        </w:tc>
        <w:tc>
          <w:tcPr>
            <w:tcW w:type="dxa" w:w="25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Cardinality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Proteins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has many</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Annotations</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1 : N</w:t>
            </w:r>
          </w:p>
        </w:tc>
      </w:tr>
      <w:tr>
        <w:tc>
          <w:tcPr>
            <w:tcW w:type="dxa" w:w="24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Proteins</w:t>
            </w:r>
          </w:p>
        </w:tc>
        <w:tc>
          <w:tcPr>
            <w:tcW w:type="dxa" w:w="20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has many</w:t>
            </w:r>
          </w:p>
        </w:tc>
        <w:tc>
          <w:tcPr>
            <w:tcW w:type="dxa" w:w="24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Structures</w:t>
            </w:r>
          </w:p>
        </w:tc>
        <w:tc>
          <w:tcPr>
            <w:tcW w:type="dxa" w:w="25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1 : 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Proteins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has one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Embeddings (per model version)</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1 : N</w:t>
            </w:r>
          </w:p>
        </w:tc>
      </w:tr>
      <w:tr>
        <w:tc>
          <w:tcPr>
            <w:tcW w:type="dxa" w:w="24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Proteins</w:t>
            </w:r>
          </w:p>
        </w:tc>
        <w:tc>
          <w:tcPr>
            <w:tcW w:type="dxa" w:w="20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has many</w:t>
            </w:r>
          </w:p>
        </w:tc>
        <w:tc>
          <w:tcPr>
            <w:tcW w:type="dxa" w:w="24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Dataset_Splits</w:t>
            </w:r>
          </w:p>
        </w:tc>
        <w:tc>
          <w:tcPr>
            <w:tcW w:type="dxa" w:w="25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1 : 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Proteins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has many</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Predictions</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1 : N</w:t>
            </w:r>
          </w:p>
        </w:tc>
      </w:tr>
      <w:tr>
        <w:tc>
          <w:tcPr>
            <w:tcW w:type="dxa" w:w="24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Proteins</w:t>
            </w:r>
          </w:p>
        </w:tc>
        <w:tc>
          <w:tcPr>
            <w:tcW w:type="dxa" w:w="20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has many</w:t>
            </w:r>
          </w:p>
        </w:tc>
        <w:tc>
          <w:tcPr>
            <w:tcW w:type="dxa" w:w="24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Expression_Data</w:t>
            </w:r>
          </w:p>
        </w:tc>
        <w:tc>
          <w:tcPr>
            <w:tcW w:type="dxa" w:w="25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1 : 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Proteins (A &amp; B)</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participates in</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Interactions</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N : M (via Interactions table)</w:t>
            </w:r>
          </w:p>
        </w:tc>
      </w:tr>
      <w:tr>
        <w:tc>
          <w:tcPr>
            <w:tcW w:type="dxa" w:w="24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Predictions</w:t>
            </w:r>
          </w:p>
        </w:tc>
        <w:tc>
          <w:tcPr>
            <w:tcW w:type="dxa" w:w="20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has many</w:t>
            </w:r>
          </w:p>
        </w:tc>
        <w:tc>
          <w:tcPr>
            <w:tcW w:type="dxa" w:w="24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Evidence_Items</w:t>
            </w:r>
          </w:p>
        </w:tc>
        <w:tc>
          <w:tcPr>
            <w:tcW w:type="dxa" w:w="25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1 : N</w:t>
            </w:r>
          </w:p>
        </w:tc>
      </w:tr>
    </w:tbl>
    <w:p>
      <w:pPr>
        <w:spacing w:before="80" w:after="80"/>
      </w:pPr>
      <w:r>
        <w:t xml:space="preserve"/>
      </w:r>
    </w:p>
    <w:p>
      <w:pPr>
        <w:pStyle w:val="Heading2"/>
        <w:spacing w:before="280" w:after="120"/>
      </w:pPr>
      <w:r>
        <w:rPr>
          <w:rFonts w:ascii="Arial" w:cs="Arial" w:eastAsia="Arial" w:hAnsi="Arial"/>
          <w:b/>
          <w:bCs/>
          <w:color w:val="2E75B6"/>
          <w:sz w:val="28"/>
          <w:szCs w:val="28"/>
        </w:rPr>
        <w:t xml:space="preserve">4.6  Activity Diagrams &amp; Workflows</w:t>
      </w:r>
    </w:p>
    <w:p>
      <w:pPr>
        <w:spacing w:before="60" w:after="100"/>
      </w:pPr>
      <w:r>
        <w:rPr>
          <w:rFonts w:ascii="Arial" w:cs="Arial" w:eastAsia="Arial" w:hAnsi="Arial"/>
          <w:color w:val="1A1A2E"/>
          <w:sz w:val="22"/>
          <w:szCs w:val="22"/>
        </w:rPr>
        <w:t xml:space="preserve">The following workflows describe the key operational flows within ProtMind. Each activity diagram is documented in structured form, suitable for conversion to UML activity diagrams during implementation.</w:t>
      </w:r>
    </w:p>
    <w:p>
      <w:pPr>
        <w:spacing w:before="80" w:after="80"/>
      </w:pPr>
      <w:r>
        <w:t xml:space="preserve"/>
      </w:r>
    </w:p>
    <w:p>
      <w:pPr>
        <w:pStyle w:val="Heading3"/>
        <w:spacing w:before="200" w:after="80"/>
      </w:pPr>
      <w:r>
        <w:rPr>
          <w:rFonts w:ascii="Arial" w:cs="Arial" w:eastAsia="Arial" w:hAnsi="Arial"/>
          <w:b/>
          <w:bCs/>
          <w:color w:val="0070C0"/>
          <w:sz w:val="24"/>
          <w:szCs w:val="24"/>
        </w:rPr>
        <w:t xml:space="preserve">4.6.1  Activity 1: Protein Sequence Input &amp; Structure Retrieval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4400"/>
        <w:gridCol w:w="2760"/>
      </w:tblGrid>
      <w:tr>
        <w:tc>
          <w:tcPr>
            <w:tcW w:type="dxa" w:w="6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16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Actor</w:t>
            </w:r>
          </w:p>
        </w:tc>
        <w:tc>
          <w:tcPr>
            <w:tcW w:type="dxa" w:w="44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Action</w:t>
            </w:r>
          </w:p>
        </w:tc>
        <w:tc>
          <w:tcPr>
            <w:tcW w:type="dxa" w:w="27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Decision / Branch</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User</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Enter UniProt ID or raw amino acid sequence in dashboard search</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w:t>
            </w:r>
          </w:p>
        </w:tc>
      </w:tr>
      <w:tr>
        <w:tc>
          <w:tcPr>
            <w:tcW w:type="dxa" w:w="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2</w:t>
            </w:r>
          </w:p>
        </w:tc>
        <w:tc>
          <w:tcPr>
            <w:tcW w:type="dxa" w:w="1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System</w:t>
            </w:r>
          </w:p>
        </w:tc>
        <w:tc>
          <w:tcPr>
            <w:tcW w:type="dxa" w:w="44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Validate input: is it a valid UniProt ID or sequence format?</w:t>
            </w:r>
          </w:p>
        </w:tc>
        <w:tc>
          <w:tcPr>
            <w:tcW w:type="dxa" w:w="27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Invalid → return error message</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System</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Query local database for cached protein entry</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Not found → fetch from UniProt API</w:t>
            </w:r>
          </w:p>
        </w:tc>
      </w:tr>
      <w:tr>
        <w:tc>
          <w:tcPr>
            <w:tcW w:type="dxa" w:w="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4</w:t>
            </w:r>
          </w:p>
        </w:tc>
        <w:tc>
          <w:tcPr>
            <w:tcW w:type="dxa" w:w="1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System</w:t>
            </w:r>
          </w:p>
        </w:tc>
        <w:tc>
          <w:tcPr>
            <w:tcW w:type="dxa" w:w="44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Check if AlphaFold DB structure exists for this protein</w:t>
            </w:r>
          </w:p>
        </w:tc>
        <w:tc>
          <w:tcPr>
            <w:tcW w:type="dxa" w:w="27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Not found → trigger SWISS-MODEL fallback</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5a</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System (AlphaFold path)</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Fetch predicted structure + pLDDT scores + PAE matrix</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w:t>
            </w:r>
          </w:p>
        </w:tc>
      </w:tr>
      <w:tr>
        <w:tc>
          <w:tcPr>
            <w:tcW w:type="dxa" w:w="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5b</w:t>
            </w:r>
          </w:p>
        </w:tc>
        <w:tc>
          <w:tcPr>
            <w:tcW w:type="dxa" w:w="1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System (SWISS-MODEL path)</w:t>
            </w:r>
          </w:p>
        </w:tc>
        <w:tc>
          <w:tcPr>
            <w:tcW w:type="dxa" w:w="44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Submit homology modeling request; poll for completion</w:t>
            </w:r>
          </w:p>
        </w:tc>
        <w:tc>
          <w:tcPr>
            <w:tcW w:type="dxa" w:w="27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Timeout → return partial result with warning</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6</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System</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Store structure in object storage; update Structures table</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w:t>
            </w:r>
          </w:p>
        </w:tc>
      </w:tr>
      <w:tr>
        <w:tc>
          <w:tcPr>
            <w:tcW w:type="dxa" w:w="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7</w:t>
            </w:r>
          </w:p>
        </w:tc>
        <w:tc>
          <w:tcPr>
            <w:tcW w:type="dxa" w:w="1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Frontend</w:t>
            </w:r>
          </w:p>
        </w:tc>
        <w:tc>
          <w:tcPr>
            <w:tcW w:type="dxa" w:w="44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Render 3D structure in Mol* viewer with pLDDT coloring</w:t>
            </w:r>
          </w:p>
        </w:tc>
        <w:tc>
          <w:tcPr>
            <w:tcW w:type="dxa" w:w="27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8</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Frontend</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Display PAE plot alongside structure</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w:t>
            </w:r>
          </w:p>
        </w:tc>
      </w:tr>
    </w:tbl>
    <w:p>
      <w:pPr>
        <w:spacing w:before="80" w:after="80"/>
      </w:pPr>
      <w:r>
        <w:t xml:space="preserve"/>
      </w:r>
    </w:p>
    <w:p>
      <w:pPr>
        <w:pStyle w:val="Heading3"/>
        <w:spacing w:before="200" w:after="80"/>
      </w:pPr>
      <w:r>
        <w:rPr>
          <w:rFonts w:ascii="Arial" w:cs="Arial" w:eastAsia="Arial" w:hAnsi="Arial"/>
          <w:b/>
          <w:bCs/>
          <w:color w:val="0070C0"/>
          <w:sz w:val="24"/>
          <w:szCs w:val="24"/>
        </w:rPr>
        <w:t xml:space="preserve">4.6.2  Activity 2: Protein Function Prediction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4400"/>
        <w:gridCol w:w="2760"/>
      </w:tblGrid>
      <w:tr>
        <w:tc>
          <w:tcPr>
            <w:tcW w:type="dxa" w:w="6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16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Actor</w:t>
            </w:r>
          </w:p>
        </w:tc>
        <w:tc>
          <w:tcPr>
            <w:tcW w:type="dxa" w:w="44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Action</w:t>
            </w:r>
          </w:p>
        </w:tc>
        <w:tc>
          <w:tcPr>
            <w:tcW w:type="dxa" w:w="27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Decision / Branch</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User</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Submit function prediction request (UniProt ID or sequence)</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w:t>
            </w:r>
          </w:p>
        </w:tc>
      </w:tr>
      <w:tr>
        <w:tc>
          <w:tcPr>
            <w:tcW w:type="dxa" w:w="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2</w:t>
            </w:r>
          </w:p>
        </w:tc>
        <w:tc>
          <w:tcPr>
            <w:tcW w:type="dxa" w:w="1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System</w:t>
            </w:r>
          </w:p>
        </w:tc>
        <w:tc>
          <w:tcPr>
            <w:tcW w:type="dxa" w:w="44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Check Embeddings cache for existing ESM-2 embedding</w:t>
            </w:r>
          </w:p>
        </w:tc>
        <w:tc>
          <w:tcPr>
            <w:tcW w:type="dxa" w:w="27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Not found → compute embedding via ESM-2 model</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System</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Run multi-label GO MF classifier on embedding</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w:t>
            </w:r>
          </w:p>
        </w:tc>
      </w:tr>
      <w:tr>
        <w:tc>
          <w:tcPr>
            <w:tcW w:type="dxa" w:w="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4</w:t>
            </w:r>
          </w:p>
        </w:tc>
        <w:tc>
          <w:tcPr>
            <w:tcW w:type="dxa" w:w="1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System</w:t>
            </w:r>
          </w:p>
        </w:tc>
        <w:tc>
          <w:tcPr>
            <w:tcW w:type="dxa" w:w="44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Generate confidence scores per GO term</w:t>
            </w:r>
          </w:p>
        </w:tc>
        <w:tc>
          <w:tcPr>
            <w:tcW w:type="dxa" w:w="27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Score &lt; 0.3 → flag as low-confidence</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System</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Extract residue-level attention weights from ESM-2</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w:t>
            </w:r>
          </w:p>
        </w:tc>
      </w:tr>
      <w:tr>
        <w:tc>
          <w:tcPr>
            <w:tcW w:type="dxa" w:w="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6</w:t>
            </w:r>
          </w:p>
        </w:tc>
        <w:tc>
          <w:tcPr>
            <w:tcW w:type="dxa" w:w="1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System</w:t>
            </w:r>
          </w:p>
        </w:tc>
        <w:tc>
          <w:tcPr>
            <w:tcW w:type="dxa" w:w="44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Fetch supporting GO term metadata and database references</w:t>
            </w:r>
          </w:p>
        </w:tc>
        <w:tc>
          <w:tcPr>
            <w:tcW w:type="dxa" w:w="27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7</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System</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Assemble Evidence Graph (sequence + structural + literature evidence)</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w:t>
            </w:r>
          </w:p>
        </w:tc>
      </w:tr>
      <w:tr>
        <w:tc>
          <w:tcPr>
            <w:tcW w:type="dxa" w:w="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8</w:t>
            </w:r>
          </w:p>
        </w:tc>
        <w:tc>
          <w:tcPr>
            <w:tcW w:type="dxa" w:w="1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System</w:t>
            </w:r>
          </w:p>
        </w:tc>
        <w:tc>
          <w:tcPr>
            <w:tcW w:type="dxa" w:w="44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Format output: summary + steps + technical details + references</w:t>
            </w:r>
          </w:p>
        </w:tc>
        <w:tc>
          <w:tcPr>
            <w:tcW w:type="dxa" w:w="27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9</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Frontend</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Render function prediction report, Sequence Annotator, 3D Viewer</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w:t>
            </w:r>
          </w:p>
        </w:tc>
      </w:tr>
    </w:tbl>
    <w:p>
      <w:pPr>
        <w:spacing w:before="80" w:after="80"/>
      </w:pPr>
      <w:r>
        <w:t xml:space="preserve"/>
      </w:r>
    </w:p>
    <w:p>
      <w:pPr>
        <w:pStyle w:val="Heading3"/>
        <w:spacing w:before="200" w:after="80"/>
      </w:pPr>
      <w:r>
        <w:rPr>
          <w:rFonts w:ascii="Arial" w:cs="Arial" w:eastAsia="Arial" w:hAnsi="Arial"/>
          <w:b/>
          <w:bCs/>
          <w:color w:val="0070C0"/>
          <w:sz w:val="24"/>
          <w:szCs w:val="24"/>
        </w:rPr>
        <w:t xml:space="preserve">4.6.3  Activity 3: PPI Prediction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4400"/>
        <w:gridCol w:w="2760"/>
      </w:tblGrid>
      <w:tr>
        <w:tc>
          <w:tcPr>
            <w:tcW w:type="dxa" w:w="6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16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Actor</w:t>
            </w:r>
          </w:p>
        </w:tc>
        <w:tc>
          <w:tcPr>
            <w:tcW w:type="dxa" w:w="44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Action</w:t>
            </w:r>
          </w:p>
        </w:tc>
        <w:tc>
          <w:tcPr>
            <w:tcW w:type="dxa" w:w="27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Decision / Branch</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User</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Enter two UniProt IDs in PPI prediction tool</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w:t>
            </w:r>
          </w:p>
        </w:tc>
      </w:tr>
      <w:tr>
        <w:tc>
          <w:tcPr>
            <w:tcW w:type="dxa" w:w="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2</w:t>
            </w:r>
          </w:p>
        </w:tc>
        <w:tc>
          <w:tcPr>
            <w:tcW w:type="dxa" w:w="1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System</w:t>
            </w:r>
          </w:p>
        </w:tc>
        <w:tc>
          <w:tcPr>
            <w:tcW w:type="dxa" w:w="44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Retrieve or compute ESM-2 embeddings for both proteins</w:t>
            </w:r>
          </w:p>
        </w:tc>
        <w:tc>
          <w:tcPr>
            <w:tcW w:type="dxa" w:w="27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System</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Compute paired representation (concatenation + difference + product)</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w:t>
            </w:r>
          </w:p>
        </w:tc>
      </w:tr>
      <w:tr>
        <w:tc>
          <w:tcPr>
            <w:tcW w:type="dxa" w:w="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4</w:t>
            </w:r>
          </w:p>
        </w:tc>
        <w:tc>
          <w:tcPr>
            <w:tcW w:type="dxa" w:w="1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System</w:t>
            </w:r>
          </w:p>
        </w:tc>
        <w:tc>
          <w:tcPr>
            <w:tcW w:type="dxa" w:w="44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Run PPI classifier; output: interaction probability + type</w:t>
            </w:r>
          </w:p>
        </w:tc>
        <w:tc>
          <w:tcPr>
            <w:tcW w:type="dxa" w:w="27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Probability &lt; 0.5 → classify as non-interacting</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System</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Identify predicted interaction residues</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w:t>
            </w:r>
          </w:p>
        </w:tc>
      </w:tr>
      <w:tr>
        <w:tc>
          <w:tcPr>
            <w:tcW w:type="dxa" w:w="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6</w:t>
            </w:r>
          </w:p>
        </w:tc>
        <w:tc>
          <w:tcPr>
            <w:tcW w:type="dxa" w:w="1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System</w:t>
            </w:r>
          </w:p>
        </w:tc>
        <w:tc>
          <w:tcPr>
            <w:tcW w:type="dxa" w:w="44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Fetch both structures; render co-visualization with interface highlighted</w:t>
            </w:r>
          </w:p>
        </w:tc>
        <w:tc>
          <w:tcPr>
            <w:tcW w:type="dxa" w:w="27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7</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System</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Load Interaction Network Viewer with both proteins highlighted</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w:t>
            </w:r>
          </w:p>
        </w:tc>
      </w:tr>
      <w:tr>
        <w:tc>
          <w:tcPr>
            <w:tcW w:type="dxa" w:w="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8</w:t>
            </w:r>
          </w:p>
        </w:tc>
        <w:tc>
          <w:tcPr>
            <w:tcW w:type="dxa" w:w="1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System</w:t>
            </w:r>
          </w:p>
        </w:tc>
        <w:tc>
          <w:tcPr>
            <w:tcW w:type="dxa" w:w="44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Query DrugBank for compounds modulating this interaction</w:t>
            </w:r>
          </w:p>
        </w:tc>
        <w:tc>
          <w:tcPr>
            <w:tcW w:type="dxa" w:w="27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No results → display 'No known modulators found'</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9</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System</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Assemble full PPI report</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w:t>
            </w:r>
          </w:p>
        </w:tc>
      </w:tr>
    </w:tbl>
    <w:p>
      <w:pPr>
        <w:spacing w:before="80" w:after="80"/>
      </w:pPr>
      <w:r>
        <w:t xml:space="preserve"/>
      </w:r>
    </w:p>
    <w:p>
      <w:pPr>
        <w:pStyle w:val="Heading3"/>
        <w:spacing w:before="200" w:after="80"/>
      </w:pPr>
      <w:r>
        <w:rPr>
          <w:rFonts w:ascii="Arial" w:cs="Arial" w:eastAsia="Arial" w:hAnsi="Arial"/>
          <w:b/>
          <w:bCs/>
          <w:color w:val="0070C0"/>
          <w:sz w:val="24"/>
          <w:szCs w:val="24"/>
        </w:rPr>
        <w:t xml:space="preserve">4.6.4  Activity 4: Mutation Effect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4400"/>
        <w:gridCol w:w="2760"/>
      </w:tblGrid>
      <w:tr>
        <w:tc>
          <w:tcPr>
            <w:tcW w:type="dxa" w:w="6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16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Actor</w:t>
            </w:r>
          </w:p>
        </w:tc>
        <w:tc>
          <w:tcPr>
            <w:tcW w:type="dxa" w:w="44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Action</w:t>
            </w:r>
          </w:p>
        </w:tc>
        <w:tc>
          <w:tcPr>
            <w:tcW w:type="dxa" w:w="27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Decision / Branch</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User</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Select a protein and specify a point mutation (e.g., A23V)</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w:t>
            </w:r>
          </w:p>
        </w:tc>
      </w:tr>
      <w:tr>
        <w:tc>
          <w:tcPr>
            <w:tcW w:type="dxa" w:w="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2</w:t>
            </w:r>
          </w:p>
        </w:tc>
        <w:tc>
          <w:tcPr>
            <w:tcW w:type="dxa" w:w="1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System</w:t>
            </w:r>
          </w:p>
        </w:tc>
        <w:tc>
          <w:tcPr>
            <w:tcW w:type="dxa" w:w="44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Retrieve wild-type sequence and structure</w:t>
            </w:r>
          </w:p>
        </w:tc>
        <w:tc>
          <w:tcPr>
            <w:tcW w:type="dxa" w:w="27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System</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Generate mutant sequence by applying substitution</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w:t>
            </w:r>
          </w:p>
        </w:tc>
      </w:tr>
      <w:tr>
        <w:tc>
          <w:tcPr>
            <w:tcW w:type="dxa" w:w="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4</w:t>
            </w:r>
          </w:p>
        </w:tc>
        <w:tc>
          <w:tcPr>
            <w:tcW w:type="dxa" w:w="1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System</w:t>
            </w:r>
          </w:p>
        </w:tc>
        <w:tc>
          <w:tcPr>
            <w:tcW w:type="dxa" w:w="44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Compute ESM-2 embedding for mutant sequence</w:t>
            </w:r>
          </w:p>
        </w:tc>
        <w:tc>
          <w:tcPr>
            <w:tcW w:type="dxa" w:w="27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System</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Run mutation effect classifier: neutral / mildly / severely disruptive</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w:t>
            </w:r>
          </w:p>
        </w:tc>
      </w:tr>
      <w:tr>
        <w:tc>
          <w:tcPr>
            <w:tcW w:type="dxa" w:w="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6</w:t>
            </w:r>
          </w:p>
        </w:tc>
        <w:tc>
          <w:tcPr>
            <w:tcW w:type="dxa" w:w="1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System</w:t>
            </w:r>
          </w:p>
        </w:tc>
        <w:tc>
          <w:tcPr>
            <w:tcW w:type="dxa" w:w="44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Check if mutation position is in active site, allosteric site, or drug-binding region</w:t>
            </w:r>
          </w:p>
        </w:tc>
        <w:tc>
          <w:tcPr>
            <w:tcW w:type="dxa" w:w="27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7</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System</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Request mutant structure via AlphaFold or SWISS-MODEL</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w:t>
            </w:r>
          </w:p>
        </w:tc>
      </w:tr>
      <w:tr>
        <w:tc>
          <w:tcPr>
            <w:tcW w:type="dxa" w:w="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8</w:t>
            </w:r>
          </w:p>
        </w:tc>
        <w:tc>
          <w:tcPr>
            <w:tcW w:type="dxa" w:w="1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System</w:t>
            </w:r>
          </w:p>
        </w:tc>
        <w:tc>
          <w:tcPr>
            <w:tcW w:type="dxa" w:w="44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Compute RMSD between wild-type and mutant structures</w:t>
            </w:r>
          </w:p>
        </w:tc>
        <w:tc>
          <w:tcPr>
            <w:tcW w:type="dxa" w:w="27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9</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Frontend</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Render Structure Comparator overlay; highlight mutation position in Sequence Annotator</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w:t>
            </w:r>
          </w:p>
        </w:tc>
      </w:tr>
      <w:tr>
        <w:tc>
          <w:tcPr>
            <w:tcW w:type="dxa" w:w="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10</w:t>
            </w:r>
          </w:p>
        </w:tc>
        <w:tc>
          <w:tcPr>
            <w:tcW w:type="dxa" w:w="1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System</w:t>
            </w:r>
          </w:p>
        </w:tc>
        <w:tc>
          <w:tcPr>
            <w:tcW w:type="dxa" w:w="44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Assemble mutation analysis report with clinical significance flags</w:t>
            </w:r>
          </w:p>
        </w:tc>
        <w:tc>
          <w:tcPr>
            <w:tcW w:type="dxa" w:w="27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w:t>
            </w:r>
          </w:p>
        </w:tc>
      </w:tr>
    </w:tbl>
    <w:p>
      <w:pPr>
        <w:spacing w:before="80" w:after="80"/>
      </w:pPr>
      <w:r>
        <w:t xml:space="preserve"/>
      </w:r>
    </w:p>
    <w:p>
      <w:pPr>
        <w:pStyle w:val="Heading3"/>
        <w:spacing w:before="200" w:after="80"/>
      </w:pPr>
      <w:r>
        <w:rPr>
          <w:rFonts w:ascii="Arial" w:cs="Arial" w:eastAsia="Arial" w:hAnsi="Arial"/>
          <w:b/>
          <w:bCs/>
          <w:color w:val="0070C0"/>
          <w:sz w:val="24"/>
          <w:szCs w:val="24"/>
        </w:rPr>
        <w:t xml:space="preserve">4.6.5  Activity 5: CCA Biomarker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4400"/>
        <w:gridCol w:w="2760"/>
      </w:tblGrid>
      <w:tr>
        <w:tc>
          <w:tcPr>
            <w:tcW w:type="dxa" w:w="6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16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Actor</w:t>
            </w:r>
          </w:p>
        </w:tc>
        <w:tc>
          <w:tcPr>
            <w:tcW w:type="dxa" w:w="44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Action</w:t>
            </w:r>
          </w:p>
        </w:tc>
        <w:tc>
          <w:tcPr>
            <w:tcW w:type="dxa" w:w="27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Decision / Branch</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System</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Load TCGA CCA expression data (tumor vs. normal)</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Data not loaded → admin alert</w:t>
            </w:r>
          </w:p>
        </w:tc>
      </w:tr>
      <w:tr>
        <w:tc>
          <w:tcPr>
            <w:tcW w:type="dxa" w:w="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2</w:t>
            </w:r>
          </w:p>
        </w:tc>
        <w:tc>
          <w:tcPr>
            <w:tcW w:type="dxa" w:w="1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User</w:t>
            </w:r>
          </w:p>
        </w:tc>
        <w:tc>
          <w:tcPr>
            <w:tcW w:type="dxa" w:w="44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Set filter thresholds (fold-change cutoff, p-value cutoff)</w:t>
            </w:r>
          </w:p>
        </w:tc>
        <w:tc>
          <w:tcPr>
            <w:tcW w:type="dxa" w:w="27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System</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Identify significantly differentially expressed proteins meeting criteria</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No candidates → relax thresholds and notify user</w:t>
            </w:r>
          </w:p>
        </w:tc>
      </w:tr>
      <w:tr>
        <w:tc>
          <w:tcPr>
            <w:tcW w:type="dxa" w:w="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4</w:t>
            </w:r>
          </w:p>
        </w:tc>
        <w:tc>
          <w:tcPr>
            <w:tcW w:type="dxa" w:w="1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System</w:t>
            </w:r>
          </w:p>
        </w:tc>
        <w:tc>
          <w:tcPr>
            <w:tcW w:type="dxa" w:w="44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Run all candidates through full pipeline: function → PPI → essentiality → mutation → pharmacology</w:t>
            </w:r>
          </w:p>
        </w:tc>
        <w:tc>
          <w:tcPr>
            <w:tcW w:type="dxa" w:w="27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System</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Score each candidate using composite evidence score</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w:t>
            </w:r>
          </w:p>
        </w:tc>
      </w:tr>
      <w:tr>
        <w:tc>
          <w:tcPr>
            <w:tcW w:type="dxa" w:w="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6</w:t>
            </w:r>
          </w:p>
        </w:tc>
        <w:tc>
          <w:tcPr>
            <w:tcW w:type="dxa" w:w="1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System</w:t>
            </w:r>
          </w:p>
        </w:tc>
        <w:tc>
          <w:tcPr>
            <w:tcW w:type="dxa" w:w="44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Rank candidates; flag top candidates with high pharmacological relevance</w:t>
            </w:r>
          </w:p>
        </w:tc>
        <w:tc>
          <w:tcPr>
            <w:tcW w:type="dxa" w:w="27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7</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Frontend</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Render CCA Biomarker Dashboard with ranked list</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w:t>
            </w:r>
          </w:p>
        </w:tc>
      </w:tr>
      <w:tr>
        <w:tc>
          <w:tcPr>
            <w:tcW w:type="dxa" w:w="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8</w:t>
            </w:r>
          </w:p>
        </w:tc>
        <w:tc>
          <w:tcPr>
            <w:tcW w:type="dxa" w:w="1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User</w:t>
            </w:r>
          </w:p>
        </w:tc>
        <w:tc>
          <w:tcPr>
            <w:tcW w:type="dxa" w:w="44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Click any candidate to expand full prediction report</w:t>
            </w:r>
          </w:p>
        </w:tc>
        <w:tc>
          <w:tcPr>
            <w:tcW w:type="dxa" w:w="27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9</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User</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Optionally export ranked list + reports as structured PDF</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w:t>
            </w:r>
          </w:p>
        </w:tc>
      </w:tr>
    </w:tbl>
    <w:p>
      <w:pPr>
        <w:spacing w:before="80" w:after="80"/>
      </w:pPr>
      <w:r>
        <w:t xml:space="preserve"/>
      </w:r>
    </w:p>
    <w:p>
      <w:pPr>
        <w:pStyle w:val="Heading3"/>
        <w:spacing w:before="200" w:after="80"/>
      </w:pPr>
      <w:r>
        <w:rPr>
          <w:rFonts w:ascii="Arial" w:cs="Arial" w:eastAsia="Arial" w:hAnsi="Arial"/>
          <w:b/>
          <w:bCs/>
          <w:color w:val="0070C0"/>
          <w:sz w:val="24"/>
          <w:szCs w:val="24"/>
        </w:rPr>
        <w:t xml:space="preserve">4.6.6  Activity 6: Data Pipeline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4400"/>
        <w:gridCol w:w="2760"/>
      </w:tblGrid>
      <w:tr>
        <w:tc>
          <w:tcPr>
            <w:tcW w:type="dxa" w:w="6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16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Actor</w:t>
            </w:r>
          </w:p>
        </w:tc>
        <w:tc>
          <w:tcPr>
            <w:tcW w:type="dxa" w:w="44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Action</w:t>
            </w:r>
          </w:p>
        </w:tc>
        <w:tc>
          <w:tcPr>
            <w:tcW w:type="dxa" w:w="27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Decision / Branch</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Admin / Scheduler</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Trigger pipeline run (manual or scheduled via Airflow DAG)</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w:t>
            </w:r>
          </w:p>
        </w:tc>
      </w:tr>
      <w:tr>
        <w:tc>
          <w:tcPr>
            <w:tcW w:type="dxa" w:w="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2</w:t>
            </w:r>
          </w:p>
        </w:tc>
        <w:tc>
          <w:tcPr>
            <w:tcW w:type="dxa" w:w="1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Pipeline</w:t>
            </w:r>
          </w:p>
        </w:tc>
        <w:tc>
          <w:tcPr>
            <w:tcW w:type="dxa" w:w="44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Fetch latest Swiss-Prot reviewed entries from UniProt API</w:t>
            </w:r>
          </w:p>
        </w:tc>
        <w:tc>
          <w:tcPr>
            <w:tcW w:type="dxa" w:w="27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API failure → retry with backoff; alert if &gt; 3 failures</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Pipeline</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Diff new entries against existing Proteins table</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w:t>
            </w:r>
          </w:p>
        </w:tc>
      </w:tr>
      <w:tr>
        <w:tc>
          <w:tcPr>
            <w:tcW w:type="dxa" w:w="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4</w:t>
            </w:r>
          </w:p>
        </w:tc>
        <w:tc>
          <w:tcPr>
            <w:tcW w:type="dxa" w:w="1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Pipeline</w:t>
            </w:r>
          </w:p>
        </w:tc>
        <w:tc>
          <w:tcPr>
            <w:tcW w:type="dxa" w:w="44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Insert new proteins; version-update changed entries</w:t>
            </w:r>
          </w:p>
        </w:tc>
        <w:tc>
          <w:tcPr>
            <w:tcW w:type="dxa" w:w="27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Pipeline</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Fetch GO annotations from GOA; filter to experimental evidence codes</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w:t>
            </w:r>
          </w:p>
        </w:tc>
      </w:tr>
      <w:tr>
        <w:tc>
          <w:tcPr>
            <w:tcW w:type="dxa" w:w="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6</w:t>
            </w:r>
          </w:p>
        </w:tc>
        <w:tc>
          <w:tcPr>
            <w:tcW w:type="dxa" w:w="1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Pipeline</w:t>
            </w:r>
          </w:p>
        </w:tc>
        <w:tc>
          <w:tcPr>
            <w:tcW w:type="dxa" w:w="44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Update Annotations table; recompute dataset splits (time-based)</w:t>
            </w:r>
          </w:p>
        </w:tc>
        <w:tc>
          <w:tcPr>
            <w:tcW w:type="dxa" w:w="27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7</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Pipeline</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Fetch updated BioGRID and STRING interactions</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w:t>
            </w:r>
          </w:p>
        </w:tc>
      </w:tr>
      <w:tr>
        <w:tc>
          <w:tcPr>
            <w:tcW w:type="dxa" w:w="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8</w:t>
            </w:r>
          </w:p>
        </w:tc>
        <w:tc>
          <w:tcPr>
            <w:tcW w:type="dxa" w:w="1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Pipeline</w:t>
            </w:r>
          </w:p>
        </w:tc>
        <w:tc>
          <w:tcPr>
            <w:tcW w:type="dxa" w:w="44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Generate new data card with version, date, change summary</w:t>
            </w:r>
          </w:p>
        </w:tc>
        <w:tc>
          <w:tcPr>
            <w:tcW w:type="dxa" w:w="27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9</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System</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Send completion notification to admin with statistics</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w:t>
            </w:r>
          </w:p>
        </w:tc>
      </w:tr>
    </w:tbl>
    <w:p>
      <w:pPr>
        <w:spacing w:before="80" w:after="80"/>
      </w:pPr>
      <w:r>
        <w:t xml:space="preserve"/>
      </w:r>
    </w:p>
    <w:p>
      <w:pPr>
        <w:pStyle w:val="Heading2"/>
        <w:spacing w:before="280" w:after="120"/>
      </w:pPr>
      <w:r>
        <w:rPr>
          <w:rFonts w:ascii="Arial" w:cs="Arial" w:eastAsia="Arial" w:hAnsi="Arial"/>
          <w:b/>
          <w:bCs/>
          <w:color w:val="2E75B6"/>
          <w:sz w:val="28"/>
          <w:szCs w:val="28"/>
        </w:rPr>
        <w:t xml:space="preserve">4.7  Data Flow Diagrams (DFD)</w:t>
      </w:r>
    </w:p>
    <w:p>
      <w:pPr>
        <w:pStyle w:val="Heading3"/>
        <w:spacing w:before="200" w:after="80"/>
      </w:pPr>
      <w:r>
        <w:rPr>
          <w:rFonts w:ascii="Arial" w:cs="Arial" w:eastAsia="Arial" w:hAnsi="Arial"/>
          <w:b/>
          <w:bCs/>
          <w:color w:val="0070C0"/>
          <w:sz w:val="24"/>
          <w:szCs w:val="24"/>
        </w:rPr>
        <w:t xml:space="preserve">4.7.1  Introduction</w:t>
      </w:r>
    </w:p>
    <w:p>
      <w:pPr>
        <w:spacing w:before="60" w:after="100"/>
      </w:pPr>
      <w:r>
        <w:rPr>
          <w:rFonts w:ascii="Arial" w:cs="Arial" w:eastAsia="Arial" w:hAnsi="Arial"/>
          <w:color w:val="1A1A2E"/>
          <w:sz w:val="22"/>
          <w:szCs w:val="22"/>
        </w:rPr>
        <w:t xml:space="preserve">The ProtMind DFDs describe how data flows between external entities, system processes, and data stores at three levels of abstraction: context (Level 0), main processes (Level 1), and detailed prediction pipeline (Level 2).</w:t>
      </w:r>
    </w:p>
    <w:p>
      <w:pPr>
        <w:spacing w:before="80" w:after="80"/>
      </w:pPr>
      <w:r>
        <w:t xml:space="preserve"/>
      </w:r>
    </w:p>
    <w:p>
      <w:pPr>
        <w:pStyle w:val="Heading3"/>
        <w:spacing w:before="200" w:after="80"/>
      </w:pPr>
      <w:r>
        <w:rPr>
          <w:rFonts w:ascii="Arial" w:cs="Arial" w:eastAsia="Arial" w:hAnsi="Arial"/>
          <w:b/>
          <w:bCs/>
          <w:color w:val="0070C0"/>
          <w:sz w:val="24"/>
          <w:szCs w:val="24"/>
        </w:rPr>
        <w:t xml:space="preserve">4.7.2  DFD Level 0 — Context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External Entity</w:t>
            </w:r>
          </w:p>
        </w:tc>
        <w:tc>
          <w:tcPr>
            <w:tcW w:type="dxa" w:w="36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Data Flowing INTO System</w:t>
            </w:r>
          </w:p>
        </w:tc>
        <w:tc>
          <w:tcPr>
            <w:tcW w:type="dxa" w:w="33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Data Flowing OUT OF System</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Researcher/User</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UniProt IDs, sequences, PDB IDs, query text, mutation specifications</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Prediction reports, 3D visualizations, evidence graphs, exported PDFs</w:t>
            </w:r>
          </w:p>
        </w:tc>
      </w:tr>
      <w:tr>
        <w:tc>
          <w:tcPr>
            <w:tcW w:type="dxa" w:w="24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Platform Admin</w:t>
            </w:r>
          </w:p>
        </w:tc>
        <w:tc>
          <w:tcPr>
            <w:tcW w:type="dxa" w:w="3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Pipeline trigger commands, configuration updates</w:t>
            </w:r>
          </w:p>
        </w:tc>
        <w:tc>
          <w:tcPr>
            <w:tcW w:type="dxa" w:w="33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System health status, pipeline completion reports, audit logs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UniProt API</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Protein sequences, annotations, feature data</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Data ingestion requests</w:t>
            </w:r>
          </w:p>
        </w:tc>
      </w:tr>
      <w:tr>
        <w:tc>
          <w:tcPr>
            <w:tcW w:type="dxa" w:w="24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AlphaFold DB</w:t>
            </w:r>
          </w:p>
        </w:tc>
        <w:tc>
          <w:tcPr>
            <w:tcW w:type="dxa" w:w="3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Predicted structures, pLDDT scores, PAE matrices</w:t>
            </w:r>
          </w:p>
        </w:tc>
        <w:tc>
          <w:tcPr>
            <w:tcW w:type="dxa" w:w="33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Structure fetch requests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SWISS-MODEL</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Homology model structures</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Modeling requests (sequence + template)</w:t>
            </w:r>
          </w:p>
        </w:tc>
      </w:tr>
      <w:tr>
        <w:tc>
          <w:tcPr>
            <w:tcW w:type="dxa" w:w="24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PDB</w:t>
            </w:r>
          </w:p>
        </w:tc>
        <w:tc>
          <w:tcPr>
            <w:tcW w:type="dxa" w:w="3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Experimental structures</w:t>
            </w:r>
          </w:p>
        </w:tc>
        <w:tc>
          <w:tcPr>
            <w:tcW w:type="dxa" w:w="33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Structure fetch requests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STRING/BioGRID</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Interaction network data</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Interaction data requests</w:t>
            </w:r>
          </w:p>
        </w:tc>
      </w:tr>
      <w:tr>
        <w:tc>
          <w:tcPr>
            <w:tcW w:type="dxa" w:w="24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DrugBank</w:t>
            </w:r>
          </w:p>
        </w:tc>
        <w:tc>
          <w:tcPr>
            <w:tcW w:type="dxa" w:w="3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Drug-target association data</w:t>
            </w:r>
          </w:p>
        </w:tc>
        <w:tc>
          <w:tcPr>
            <w:tcW w:type="dxa" w:w="33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Target query requests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TCGA / NCI GDC</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CCA expression profiles</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Data ingestion requests (batch, Phase 1)</w:t>
            </w:r>
          </w:p>
        </w:tc>
      </w:tr>
    </w:tbl>
    <w:p>
      <w:pPr>
        <w:spacing w:before="80" w:after="80"/>
      </w:pPr>
      <w:r>
        <w:t xml:space="preserve"/>
      </w:r>
    </w:p>
    <w:p>
      <w:pPr>
        <w:pStyle w:val="Heading3"/>
        <w:spacing w:before="200" w:after="80"/>
      </w:pPr>
      <w:r>
        <w:rPr>
          <w:rFonts w:ascii="Arial" w:cs="Arial" w:eastAsia="Arial" w:hAnsi="Arial"/>
          <w:b/>
          <w:bCs/>
          <w:color w:val="0070C0"/>
          <w:sz w:val="24"/>
          <w:szCs w:val="24"/>
        </w:rPr>
        <w:t xml:space="preserve">4.7.3  DFD Level 1 — Main Processes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600"/>
        <w:gridCol w:w="2960"/>
      </w:tblGrid>
      <w:tr>
        <w:tc>
          <w:tcPr>
            <w:tcW w:type="dxa" w:w="14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Process</w:t>
            </w:r>
          </w:p>
        </w:tc>
        <w:tc>
          <w:tcPr>
            <w:tcW w:type="dxa" w:w="24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Inputs</w:t>
            </w:r>
          </w:p>
        </w:tc>
        <w:tc>
          <w:tcPr>
            <w:tcW w:type="dxa" w:w="26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Outputs</w:t>
            </w:r>
          </w:p>
        </w:tc>
        <w:tc>
          <w:tcPr>
            <w:tcW w:type="dxa" w:w="29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Data Stores Read/Written</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P1: Data Ingestion Pipeline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API data from external sources</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Normalized records</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Proteins, Annotations, Interactions, Structures, Expression_Data</w:t>
            </w:r>
          </w:p>
        </w:tc>
      </w:tr>
      <w:tr>
        <w:tc>
          <w:tcPr>
            <w:tcW w:type="dxa" w:w="14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P2: User Query Processing</w:t>
            </w:r>
          </w:p>
        </w:tc>
        <w:tc>
          <w:tcPr>
            <w:tcW w:type="dxa" w:w="24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User input (natural language or structured)</w:t>
            </w:r>
          </w:p>
        </w:tc>
        <w:tc>
          <w:tcPr>
            <w:tcW w:type="dxa" w:w="2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Structured API request</w:t>
            </w:r>
          </w:p>
        </w:tc>
        <w:tc>
          <w:tcPr>
            <w:tcW w:type="dxa" w:w="29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Sessions</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P3: Structure Retrieval &amp; Rendering</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UniProt ID / PDB ID / uploaded file</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Structure file + pLDDT data</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Structures (read/write)</w:t>
            </w:r>
          </w:p>
        </w:tc>
      </w:tr>
      <w:tr>
        <w:tc>
          <w:tcPr>
            <w:tcW w:type="dxa" w:w="14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P4: ML Inference</w:t>
            </w:r>
          </w:p>
        </w:tc>
        <w:tc>
          <w:tcPr>
            <w:tcW w:type="dxa" w:w="24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Protein sequence / embedding</w:t>
            </w:r>
          </w:p>
        </w:tc>
        <w:tc>
          <w:tcPr>
            <w:tcW w:type="dxa" w:w="2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Prediction output + confidence scores</w:t>
            </w:r>
          </w:p>
        </w:tc>
        <w:tc>
          <w:tcPr>
            <w:tcW w:type="dxa" w:w="29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Embeddings (read/write), Predictions (write)</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P5: Explainability &amp; Evidence Assembly</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Prediction output + source data</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Evidence Graph + formatted report</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Annotations, Structures (read)</w:t>
            </w:r>
          </w:p>
        </w:tc>
      </w:tr>
      <w:tr>
        <w:tc>
          <w:tcPr>
            <w:tcW w:type="dxa" w:w="14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P6: Visualization Rendering</w:t>
            </w:r>
          </w:p>
        </w:tc>
        <w:tc>
          <w:tcPr>
            <w:tcW w:type="dxa" w:w="24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Structure data, annotation data, expression data</w:t>
            </w:r>
          </w:p>
        </w:tc>
        <w:tc>
          <w:tcPr>
            <w:tcW w:type="dxa" w:w="2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Rendered UI components (3D, sequence, heatmap, network)</w:t>
            </w:r>
          </w:p>
        </w:tc>
        <w:tc>
          <w:tcPr>
            <w:tcW w:type="dxa" w:w="29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All data stores (read)</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P7: Report Export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Assembled report content</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PDF report file</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Predictions (read)</w:t>
            </w:r>
          </w:p>
        </w:tc>
      </w:tr>
    </w:tbl>
    <w:p>
      <w:pPr>
        <w:spacing w:before="80" w:after="80"/>
      </w:pPr>
      <w:r>
        <w:t xml:space="preserve"/>
      </w:r>
    </w:p>
    <w:p>
      <w:pPr>
        <w:pStyle w:val="Heading3"/>
        <w:spacing w:before="200" w:after="80"/>
      </w:pPr>
      <w:r>
        <w:rPr>
          <w:rFonts w:ascii="Arial" w:cs="Arial" w:eastAsia="Arial" w:hAnsi="Arial"/>
          <w:b/>
          <w:bCs/>
          <w:color w:val="0070C0"/>
          <w:sz w:val="24"/>
          <w:szCs w:val="24"/>
        </w:rPr>
        <w:t xml:space="preserve">4.7.4  DFD Level 2 — Detailed ML Inference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00"/>
        <w:gridCol w:w="2360"/>
      </w:tblGrid>
      <w:tr>
        <w:tc>
          <w:tcPr>
            <w:tcW w:type="dxa" w:w="20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Sub-Process</w:t>
            </w:r>
          </w:p>
        </w:tc>
        <w:tc>
          <w:tcPr>
            <w:tcW w:type="dxa" w:w="22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Input</w:t>
            </w:r>
          </w:p>
        </w:tc>
        <w:tc>
          <w:tcPr>
            <w:tcW w:type="dxa" w:w="28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Output</w:t>
            </w:r>
          </w:p>
        </w:tc>
        <w:tc>
          <w:tcPr>
            <w:tcW w:type="dxa" w:w="23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P4.1: Embedding Retrieval</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UniProt ID</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ESM-2 embedding tensor</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Cache check first; compute if miss</w:t>
            </w:r>
          </w:p>
        </w:tc>
      </w:tr>
      <w:tr>
        <w:tc>
          <w:tcPr>
            <w:tcW w:type="dxa" w:w="20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P4.2: Function Classification</w:t>
            </w:r>
          </w:p>
        </w:tc>
        <w:tc>
          <w:tcPr>
            <w:tcW w:type="dxa" w:w="2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ESM-2 embedding</w:t>
            </w:r>
          </w:p>
        </w:tc>
        <w:tc>
          <w:tcPr>
            <w:tcW w:type="dxa" w:w="28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GO MF terms + confidence scores</w:t>
            </w:r>
          </w:p>
        </w:tc>
        <w:tc>
          <w:tcPr>
            <w:tcW w:type="dxa" w:w="23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Multi-label classifier output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P4.3: Attention Extraction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ESM-2 model + sequence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Residue-level attention weights</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Used for Sequence Annotator heatmap</w:t>
            </w:r>
          </w:p>
        </w:tc>
      </w:tr>
      <w:tr>
        <w:tc>
          <w:tcPr>
            <w:tcW w:type="dxa" w:w="20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P4.4: PPI Pair Encoding</w:t>
            </w:r>
          </w:p>
        </w:tc>
        <w:tc>
          <w:tcPr>
            <w:tcW w:type="dxa" w:w="2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Two ESM-2 embeddings</w:t>
            </w:r>
          </w:p>
        </w:tc>
        <w:tc>
          <w:tcPr>
            <w:tcW w:type="dxa" w:w="28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Paired representation vector</w:t>
            </w:r>
          </w:p>
        </w:tc>
        <w:tc>
          <w:tcPr>
            <w:tcW w:type="dxa" w:w="23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Concat + diff + product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P4.5: PPI Classification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Paired representation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Interaction probability + type + residues</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Binary + multi-class output</w:t>
            </w:r>
          </w:p>
        </w:tc>
      </w:tr>
      <w:tr>
        <w:tc>
          <w:tcPr>
            <w:tcW w:type="dxa" w:w="20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P4.6: Mutation Encoding</w:t>
            </w:r>
          </w:p>
        </w:tc>
        <w:tc>
          <w:tcPr>
            <w:tcW w:type="dxa" w:w="2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WT and mutant ESM-2 embeddings</w:t>
            </w:r>
          </w:p>
        </w:tc>
        <w:tc>
          <w:tcPr>
            <w:tcW w:type="dxa" w:w="28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Delta embedding representation</w:t>
            </w:r>
          </w:p>
        </w:tc>
        <w:tc>
          <w:tcPr>
            <w:tcW w:type="dxa" w:w="23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Captures sequence change signal</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P4.7: Essentiality/Mutation Scoring</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Delta embedding</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Impact score + essentiality score</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Cross-species PLM output</w:t>
            </w:r>
          </w:p>
        </w:tc>
      </w:tr>
    </w:tbl>
    <w:p>
      <w:pPr>
        <w:spacing w:before="80" w:after="80"/>
      </w:pPr>
      <w:r>
        <w:t xml:space="preserve"/>
      </w:r>
    </w:p>
    <w:p>
      <w:pPr>
        <w:pStyle w:val="Heading2"/>
        <w:spacing w:before="280" w:after="120"/>
      </w:pPr>
      <w:r>
        <w:rPr>
          <w:rFonts w:ascii="Arial" w:cs="Arial" w:eastAsia="Arial" w:hAnsi="Arial"/>
          <w:b/>
          <w:bCs/>
          <w:color w:val="2E75B6"/>
          <w:sz w:val="28"/>
          <w:szCs w:val="28"/>
        </w:rPr>
        <w:t xml:space="preserve">4.8  Prototype Overview</w:t>
      </w:r>
    </w:p>
    <w:p>
      <w:pPr>
        <w:spacing w:before="60" w:after="100"/>
      </w:pPr>
      <w:r>
        <w:rPr>
          <w:rFonts w:ascii="Arial" w:cs="Arial" w:eastAsia="Arial" w:hAnsi="Arial"/>
          <w:color w:val="1A1A2E"/>
          <w:sz w:val="22"/>
          <w:szCs w:val="22"/>
        </w:rPr>
        <w:t xml:space="preserve">The following sections describe the key interface views of ProtMind as designed during the prototype phase. Full interactive prototypes are to be developed in Figma during Phase 2.</w:t>
      </w:r>
    </w:p>
    <w:p>
      <w:pPr>
        <w:spacing w:before="80" w:after="80"/>
      </w:pPr>
      <w:r>
        <w:t xml:space="preserve"/>
      </w:r>
    </w:p>
    <w:p>
      <w:pPr>
        <w:pStyle w:val="Heading3"/>
        <w:spacing w:before="200" w:after="80"/>
      </w:pPr>
      <w:r>
        <w:rPr>
          <w:rFonts w:ascii="Arial" w:cs="Arial" w:eastAsia="Arial" w:hAnsi="Arial"/>
          <w:b/>
          <w:bCs/>
          <w:color w:val="0070C0"/>
          <w:sz w:val="24"/>
          <w:szCs w:val="24"/>
        </w:rPr>
        <w:t xml:space="preserve">4.8.1  Landing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UI Element</w:t>
            </w:r>
          </w:p>
        </w:tc>
        <w:tc>
          <w:tcPr>
            <w:tcW w:type="dxa" w:w="69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Header</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ProtMind logo, navigation links, user account menu</w:t>
            </w:r>
          </w:p>
        </w:tc>
      </w:tr>
      <w:tr>
        <w:tc>
          <w:tcPr>
            <w:tcW w:type="dxa" w:w="24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Central Search Bar</w:t>
            </w:r>
          </w:p>
        </w:tc>
        <w:tc>
          <w:tcPr>
            <w:tcW w:type="dxa" w:w="69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Prominent search input: 'Enter a UniProt ID, sequence, or ask a question...'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Quick Access Tiles</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Six tiles — one per visualization tool — with icons and one-line descriptions</w:t>
            </w:r>
          </w:p>
        </w:tc>
      </w:tr>
      <w:tr>
        <w:tc>
          <w:tcPr>
            <w:tcW w:type="dxa" w:w="24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Recent Queries</w:t>
            </w:r>
          </w:p>
        </w:tc>
        <w:tc>
          <w:tcPr>
            <w:tcW w:type="dxa" w:w="69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Last 5 queries made by the authenticated user, clickable to restore results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Status Bar</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Current database version, last pipeline run date, model versions deployed</w:t>
            </w:r>
          </w:p>
        </w:tc>
      </w:tr>
    </w:tbl>
    <w:p>
      <w:pPr>
        <w:spacing w:before="80" w:after="80"/>
      </w:pPr>
      <w:r>
        <w:t xml:space="preserve"/>
      </w:r>
    </w:p>
    <w:p>
      <w:pPr>
        <w:pStyle w:val="Heading3"/>
        <w:spacing w:before="200" w:after="80"/>
      </w:pPr>
      <w:r>
        <w:rPr>
          <w:rFonts w:ascii="Arial" w:cs="Arial" w:eastAsia="Arial" w:hAnsi="Arial"/>
          <w:b/>
          <w:bCs/>
          <w:color w:val="0070C0"/>
          <w:sz w:val="24"/>
          <w:szCs w:val="24"/>
        </w:rPr>
        <w:t xml:space="preserve">4.8.2  3D Structure Viewer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UI Element</w:t>
            </w:r>
          </w:p>
        </w:tc>
        <w:tc>
          <w:tcPr>
            <w:tcW w:type="dxa" w:w="69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Input Panel (left)</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Text input for UniProt ID or PDB ID; file upload button; 'Load Structure' button</w:t>
            </w:r>
          </w:p>
        </w:tc>
      </w:tr>
      <w:tr>
        <w:tc>
          <w:tcPr>
            <w:tcW w:type="dxa" w:w="24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3D Canvas (center)</w:t>
            </w:r>
          </w:p>
        </w:tc>
        <w:tc>
          <w:tcPr>
            <w:tcW w:type="dxa" w:w="69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Full Mol* viewer with rotation, zoom, pan controls; representation selector</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Toolbar (top of canvas)</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Representation mode (cartoon/surface/sticks), color scheme selector, export PNG button</w:t>
            </w:r>
          </w:p>
        </w:tc>
      </w:tr>
      <w:tr>
        <w:tc>
          <w:tcPr>
            <w:tcW w:type="dxa" w:w="24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pLDDT Legend (right)</w:t>
            </w:r>
          </w:p>
        </w:tc>
        <w:tc>
          <w:tcPr>
            <w:tcW w:type="dxa" w:w="69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Color scale: blue (very high &gt;90) → yellow (low 50–70) → orange/red (&lt;50)</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PAE Plot (bottom right)</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Interactive PAE heatmap; click region to highlight corresponding residues in 3D viewer</w:t>
            </w:r>
          </w:p>
        </w:tc>
      </w:tr>
      <w:tr>
        <w:tc>
          <w:tcPr>
            <w:tcW w:type="dxa" w:w="24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Residue Info Panel</w:t>
            </w:r>
          </w:p>
        </w:tc>
        <w:tc>
          <w:tcPr>
            <w:tcW w:type="dxa" w:w="69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Click any residue in 3D to show: position, amino acid, pLDDT score, nearby annotations</w:t>
            </w:r>
          </w:p>
        </w:tc>
      </w:tr>
    </w:tbl>
    <w:p>
      <w:pPr>
        <w:spacing w:before="80" w:after="80"/>
      </w:pPr>
      <w:r>
        <w:t xml:space="preserve"/>
      </w:r>
    </w:p>
    <w:p>
      <w:pPr>
        <w:pStyle w:val="Heading3"/>
        <w:spacing w:before="200" w:after="80"/>
      </w:pPr>
      <w:r>
        <w:rPr>
          <w:rFonts w:ascii="Arial" w:cs="Arial" w:eastAsia="Arial" w:hAnsi="Arial"/>
          <w:b/>
          <w:bCs/>
          <w:color w:val="0070C0"/>
          <w:sz w:val="24"/>
          <w:szCs w:val="24"/>
        </w:rPr>
        <w:t xml:space="preserve">4.8.3  Function Prediction Report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UI Element</w:t>
            </w:r>
          </w:p>
        </w:tc>
        <w:tc>
          <w:tcPr>
            <w:tcW w:type="dxa" w:w="69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Summary Box (top)</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Plain-language summary of top predicted GO term(s) in non-technical language</w:t>
            </w:r>
          </w:p>
        </w:tc>
      </w:tr>
      <w:tr>
        <w:tc>
          <w:tcPr>
            <w:tcW w:type="dxa" w:w="24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GO Term Table</w:t>
            </w:r>
          </w:p>
        </w:tc>
        <w:tc>
          <w:tcPr>
            <w:tcW w:type="dxa" w:w="69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Ranked list of predicted GO MF terms with confidence bars and evidence code links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Sequence Annotator Panel</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Annotated sequence with residue-level attention heatmap overlay; GO-relevant regions highlighted</w:t>
            </w:r>
          </w:p>
        </w:tc>
      </w:tr>
      <w:tr>
        <w:tc>
          <w:tcPr>
            <w:tcW w:type="dxa" w:w="24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3D Viewer Integration</w:t>
            </w:r>
          </w:p>
        </w:tc>
        <w:tc>
          <w:tcPr>
            <w:tcW w:type="dxa" w:w="69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Linked 3D view with predicted functional residues highlighted in the structure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Evidence Graph Panel</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Interactive graph: prediction node → connected to UniProt entries, GO term definitions, literature</w:t>
            </w:r>
          </w:p>
        </w:tc>
      </w:tr>
      <w:tr>
        <w:tc>
          <w:tcPr>
            <w:tcW w:type="dxa" w:w="24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Step-by-Step Explanation</w:t>
            </w:r>
          </w:p>
        </w:tc>
        <w:tc>
          <w:tcPr>
            <w:tcW w:type="dxa" w:w="69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Collapsible section: what data was used, what model ran, what the scores mean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References Section</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Database and literature citations supporting the prediction</w:t>
            </w:r>
          </w:p>
        </w:tc>
      </w:tr>
    </w:tbl>
    <w:p>
      <w:pPr>
        <w:spacing w:before="80" w:after="80"/>
      </w:pPr>
      <w:r>
        <w:t xml:space="preserve"/>
      </w:r>
    </w:p>
    <w:p>
      <w:pPr>
        <w:pStyle w:val="Heading3"/>
        <w:spacing w:before="200" w:after="80"/>
      </w:pPr>
      <w:r>
        <w:rPr>
          <w:rFonts w:ascii="Arial" w:cs="Arial" w:eastAsia="Arial" w:hAnsi="Arial"/>
          <w:b/>
          <w:bCs/>
          <w:color w:val="0070C0"/>
          <w:sz w:val="24"/>
          <w:szCs w:val="24"/>
        </w:rPr>
        <w:t xml:space="preserve">4.8.4  CCA Biomarker Dashboard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UI Element</w:t>
            </w:r>
          </w:p>
        </w:tc>
        <w:tc>
          <w:tcPr>
            <w:tcW w:type="dxa" w:w="69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Filter Controls (top)</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Fold-change slider, p-value cutoff input, tissue type selector</w:t>
            </w:r>
          </w:p>
        </w:tc>
      </w:tr>
      <w:tr>
        <w:tc>
          <w:tcPr>
            <w:tcW w:type="dxa" w:w="24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Expression Heatmap (main)</w:t>
            </w:r>
          </w:p>
        </w:tc>
        <w:tc>
          <w:tcPr>
            <w:tcW w:type="dxa" w:w="69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TCGA CCA expression heatmap — rows=proteins, columns=samples; color=expression level</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Candidate Ranking Table</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Ranked list with: rank, UniProt ID, gene name, fold-change, top GO term, essentiality, drug relevance score</w:t>
            </w:r>
          </w:p>
        </w:tc>
      </w:tr>
      <w:tr>
        <w:tc>
          <w:tcPr>
            <w:tcW w:type="dxa" w:w="24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Candidate Detail Panel</w:t>
            </w:r>
          </w:p>
        </w:tc>
        <w:tc>
          <w:tcPr>
            <w:tcW w:type="dxa" w:w="69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Click any row → expand full pipeline report for that protein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Export Controls</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Export ranked table as CSV; export full evidence reports as PDF</w:t>
            </w:r>
          </w:p>
        </w:tc>
      </w:tr>
    </w:tbl>
    <w:p>
      <w:pPr>
        <w:spacing w:before="80" w:after="80"/>
      </w:pPr>
      <w:r>
        <w:t xml:space="preserve"/>
      </w:r>
    </w:p>
    <w:p>
      <w:pPr>
        <w:pStyle w:val="Heading3"/>
        <w:spacing w:before="200" w:after="80"/>
      </w:pPr>
      <w:r>
        <w:rPr>
          <w:rFonts w:ascii="Arial" w:cs="Arial" w:eastAsia="Arial" w:hAnsi="Arial"/>
          <w:b/>
          <w:bCs/>
          <w:color w:val="0070C0"/>
          <w:sz w:val="24"/>
          <w:szCs w:val="24"/>
        </w:rPr>
        <w:t xml:space="preserve">4.8.5  Structure Comparator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UI Element</w:t>
            </w:r>
          </w:p>
        </w:tc>
        <w:tc>
          <w:tcPr>
            <w:tcW w:type="dxa" w:w="69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Input Panel</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Two structure inputs (UniProt IDs or PDB IDs); 'Compare' button</w:t>
            </w:r>
          </w:p>
        </w:tc>
      </w:tr>
      <w:tr>
        <w:tc>
          <w:tcPr>
            <w:tcW w:type="dxa" w:w="24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Split 3D View</w:t>
            </w:r>
          </w:p>
        </w:tc>
        <w:tc>
          <w:tcPr>
            <w:tcW w:type="dxa" w:w="69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Side-by-side or overlaid 3D rendering of both structures; toggle between modes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RMSD Display</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Global RMSD score prominently displayed; per-domain RMSD breakdown table</w:t>
            </w:r>
          </w:p>
        </w:tc>
      </w:tr>
      <w:tr>
        <w:tc>
          <w:tcPr>
            <w:tcW w:type="dxa" w:w="24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Difference Highlighting</w:t>
            </w:r>
          </w:p>
        </w:tc>
        <w:tc>
          <w:tcPr>
            <w:tcW w:type="dxa" w:w="69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Regions of structural divergence highlighted in red; conserved regions in blue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Mutation Marker</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If comparison is WT vs. mutant: mutation position marked with a distinct color</w:t>
            </w:r>
          </w:p>
        </w:tc>
      </w:tr>
    </w:tbl>
    <w:p>
      <w:pPr>
        <w:spacing w:before="80" w:after="80"/>
      </w:pPr>
      <w:r>
        <w:t xml:space="preserve"/>
      </w:r>
    </w:p>
    <w:p>
      <w:pPr>
        <w:pStyle w:val="Heading2"/>
        <w:spacing w:before="280" w:after="120"/>
      </w:pPr>
      <w:r>
        <w:rPr>
          <w:rFonts w:ascii="Arial" w:cs="Arial" w:eastAsia="Arial" w:hAnsi="Arial"/>
          <w:b/>
          <w:bCs/>
          <w:color w:val="2E75B6"/>
          <w:sz w:val="28"/>
          <w:szCs w:val="28"/>
        </w:rPr>
        <w:t xml:space="preserve">4.9  Tooling &amp; Technical References</w:t>
      </w:r>
    </w:p>
    <w:p>
      <w:pPr>
        <w:pStyle w:val="Heading3"/>
        <w:spacing w:before="200" w:after="80"/>
      </w:pPr>
      <w:r>
        <w:rPr>
          <w:rFonts w:ascii="Arial" w:cs="Arial" w:eastAsia="Arial" w:hAnsi="Arial"/>
          <w:b/>
          <w:bCs/>
          <w:color w:val="0070C0"/>
          <w:sz w:val="24"/>
          <w:szCs w:val="24"/>
        </w:rPr>
        <w:t xml:space="preserve">4.9.1  System Modeling &amp; Diagramming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Tool</w:t>
            </w:r>
          </w:p>
        </w:tc>
        <w:tc>
          <w:tcPr>
            <w:tcW w:type="dxa" w:w="67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draw.io / Lucidchart</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Use case diagrams, architecture diagrams, DFDs, activity diagrams</w:t>
            </w:r>
          </w:p>
        </w:tc>
      </w:tr>
      <w:tr>
        <w:tc>
          <w:tcPr>
            <w:tcW w:type="dxa" w:w="2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dbdiagram.io</w:t>
            </w:r>
          </w:p>
        </w:tc>
        <w:tc>
          <w:tcPr>
            <w:tcW w:type="dxa" w:w="67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ERD design and relational schema documentation</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Figma</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UI/UX prototyping and design system</w:t>
            </w:r>
          </w:p>
        </w:tc>
      </w:tr>
      <w:tr>
        <w:tc>
          <w:tcPr>
            <w:tcW w:type="dxa" w:w="2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PlantUML</w:t>
            </w:r>
          </w:p>
        </w:tc>
        <w:tc>
          <w:tcPr>
            <w:tcW w:type="dxa" w:w="67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Programmatic UML diagram generation from code</w:t>
            </w:r>
          </w:p>
        </w:tc>
      </w:tr>
    </w:tbl>
    <w:p>
      <w:pPr>
        <w:spacing w:before="80" w:after="80"/>
      </w:pPr>
      <w:r>
        <w:t xml:space="preserve"/>
      </w:r>
    </w:p>
    <w:p>
      <w:pPr>
        <w:pStyle w:val="Heading3"/>
        <w:spacing w:before="200" w:after="80"/>
      </w:pPr>
      <w:r>
        <w:rPr>
          <w:rFonts w:ascii="Arial" w:cs="Arial" w:eastAsia="Arial" w:hAnsi="Arial"/>
          <w:b/>
          <w:bCs/>
          <w:color w:val="0070C0"/>
          <w:sz w:val="24"/>
          <w:szCs w:val="24"/>
        </w:rPr>
        <w:t xml:space="preserve">4.9.2  UI/UX Design &amp; Prototyping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Tool</w:t>
            </w:r>
          </w:p>
        </w:tc>
        <w:tc>
          <w:tcPr>
            <w:tcW w:type="dxa" w:w="67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Figma</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High-fidelity interactive prototypes for all dashboard views</w:t>
            </w:r>
          </w:p>
        </w:tc>
      </w:tr>
      <w:tr>
        <w:tc>
          <w:tcPr>
            <w:tcW w:type="dxa" w:w="2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Mol* Viewer</w:t>
            </w:r>
          </w:p>
        </w:tc>
        <w:tc>
          <w:tcPr>
            <w:tcW w:type="dxa" w:w="67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WebGL 3D protein structure rendering (primary)</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3Dmol.js</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WebGL 3D structure rendering (fallback / lightweight mode)</w:t>
            </w:r>
          </w:p>
        </w:tc>
      </w:tr>
      <w:tr>
        <w:tc>
          <w:tcPr>
            <w:tcW w:type="dxa" w:w="2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D3.js</w:t>
            </w:r>
          </w:p>
        </w:tc>
        <w:tc>
          <w:tcPr>
            <w:tcW w:type="dxa" w:w="67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Interaction network graph visualization</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Recharts</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Expression heatmap, PAE plots, calibration curves</w:t>
            </w:r>
          </w:p>
        </w:tc>
      </w:tr>
    </w:tbl>
    <w:p>
      <w:pPr>
        <w:spacing w:before="80" w:after="80"/>
      </w:pPr>
      <w:r>
        <w:t xml:space="preserve"/>
      </w:r>
    </w:p>
    <w:p>
      <w:pPr>
        <w:pStyle w:val="Heading3"/>
        <w:spacing w:before="200" w:after="80"/>
      </w:pPr>
      <w:r>
        <w:rPr>
          <w:rFonts w:ascii="Arial" w:cs="Arial" w:eastAsia="Arial" w:hAnsi="Arial"/>
          <w:b/>
          <w:bCs/>
          <w:color w:val="0070C0"/>
          <w:sz w:val="24"/>
          <w:szCs w:val="24"/>
        </w:rPr>
        <w:t xml:space="preserve">4.9.3  Documentation &amp; Publishing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Tool</w:t>
            </w:r>
          </w:p>
        </w:tc>
        <w:tc>
          <w:tcPr>
            <w:tcW w:type="dxa" w:w="67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GitHub / Git</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Version control for code, model artifacts, and data cards</w:t>
            </w:r>
          </w:p>
        </w:tc>
      </w:tr>
      <w:tr>
        <w:tc>
          <w:tcPr>
            <w:tcW w:type="dxa" w:w="2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Sphinx + ReadTheDocs</w:t>
            </w:r>
          </w:p>
        </w:tc>
        <w:tc>
          <w:tcPr>
            <w:tcW w:type="dxa" w:w="67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API documentation and developer guides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Jupyter Notebooks</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Exploratory data analysis, model evaluation, and public demo notebooks</w:t>
            </w:r>
          </w:p>
        </w:tc>
      </w:tr>
      <w:tr>
        <w:tc>
          <w:tcPr>
            <w:tcW w:type="dxa" w:w="2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Weights &amp; Biases (W&amp;B)</w:t>
            </w:r>
          </w:p>
        </w:tc>
        <w:tc>
          <w:tcPr>
            <w:tcW w:type="dxa" w:w="67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Model training tracking, hyperparameter logging, and experiment comparison</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LaTeX / Overleaf</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Technical report and academic publication preparation</w:t>
            </w:r>
          </w:p>
        </w:tc>
      </w:tr>
    </w:tbl>
    <w:p>
      <w:pPr>
        <w:spacing w:before="80" w:after="80"/>
      </w:pPr>
      <w:r>
        <w:t xml:space="preserve"/>
      </w:r>
    </w:p>
    <w:p>
      <w:pPr>
        <w:pStyle w:val="Heading3"/>
        <w:spacing w:before="200" w:after="80"/>
      </w:pPr>
      <w:r>
        <w:rPr>
          <w:rFonts w:ascii="Arial" w:cs="Arial" w:eastAsia="Arial" w:hAnsi="Arial"/>
          <w:b/>
          <w:bCs/>
          <w:color w:val="0070C0"/>
          <w:sz w:val="24"/>
          <w:szCs w:val="24"/>
        </w:rPr>
        <w:t xml:space="preserve">4.9.4  Core Technical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c>
          <w:tcPr>
            <w:tcW w:type="dxa" w:w="20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34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Tool</w:t>
            </w:r>
          </w:p>
        </w:tc>
        <w:tc>
          <w:tcPr>
            <w:tcW w:type="dxa" w:w="39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Version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Frontend Framework</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React + TypeScript</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18+ / 5.0+</w:t>
            </w:r>
          </w:p>
        </w:tc>
      </w:tr>
      <w:tr>
        <w:tc>
          <w:tcPr>
            <w:tcW w:type="dxa" w:w="20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Backend Framework</w:t>
            </w:r>
          </w:p>
        </w:tc>
        <w:tc>
          <w:tcPr>
            <w:tcW w:type="dxa" w:w="34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FastAPI</w:t>
            </w:r>
          </w:p>
        </w:tc>
        <w:tc>
          <w:tcPr>
            <w:tcW w:type="dxa" w:w="39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0.110+</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ML / Embeddings</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PyTorch + ESM-2 (fair-esm)</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2.0+ / 2.0</w:t>
            </w:r>
          </w:p>
        </w:tc>
      </w:tr>
      <w:tr>
        <w:tc>
          <w:tcPr>
            <w:tcW w:type="dxa" w:w="20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Database</w:t>
            </w:r>
          </w:p>
        </w:tc>
        <w:tc>
          <w:tcPr>
            <w:tcW w:type="dxa" w:w="34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PostgreSQL</w:t>
            </w:r>
          </w:p>
        </w:tc>
        <w:tc>
          <w:tcPr>
            <w:tcW w:type="dxa" w:w="39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15+</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Cache / Queue</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Redis + Celery</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7.0+ / 5.3+</w:t>
            </w:r>
          </w:p>
        </w:tc>
      </w:tr>
      <w:tr>
        <w:tc>
          <w:tcPr>
            <w:tcW w:type="dxa" w:w="20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Pipeline Orchestration</w:t>
            </w:r>
          </w:p>
        </w:tc>
        <w:tc>
          <w:tcPr>
            <w:tcW w:type="dxa" w:w="34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Apache Airflow</w:t>
            </w:r>
          </w:p>
        </w:tc>
        <w:tc>
          <w:tcPr>
            <w:tcW w:type="dxa" w:w="39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2.8+</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Containerization</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Docker + Kubernetes</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24+ / 1.28+</w:t>
            </w:r>
          </w:p>
        </w:tc>
      </w:tr>
      <w:tr>
        <w:tc>
          <w:tcPr>
            <w:tcW w:type="dxa" w:w="20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CI/CD</w:t>
            </w:r>
          </w:p>
        </w:tc>
        <w:tc>
          <w:tcPr>
            <w:tcW w:type="dxa" w:w="34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GitHub Actions</w:t>
            </w:r>
          </w:p>
        </w:tc>
        <w:tc>
          <w:tcPr>
            <w:tcW w:type="dxa" w:w="39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Monitoring</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Prometheus + Grafana</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w:t>
            </w:r>
          </w:p>
        </w:tc>
      </w:tr>
    </w:tbl>
    <w:p>
      <w:pPr>
        <w:spacing w:before="80" w:after="80"/>
      </w:pPr>
      <w:r>
        <w:t xml:space="preserve"/>
      </w:r>
    </w:p>
    <w:p>
      <w:pPr>
        <w:pStyle w:val="Heading3"/>
        <w:spacing w:before="200" w:after="80"/>
      </w:pPr>
      <w:r>
        <w:rPr>
          <w:rFonts w:ascii="Arial" w:cs="Arial" w:eastAsia="Arial" w:hAnsi="Arial"/>
          <w:b/>
          <w:bCs/>
          <w:color w:val="0070C0"/>
          <w:sz w:val="24"/>
          <w:szCs w:val="24"/>
        </w:rPr>
        <w:t xml:space="preserve">4.9.5  External Integration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800"/>
        <w:gridCol w:w="2360"/>
      </w:tblGrid>
      <w:tr>
        <w:tc>
          <w:tcPr>
            <w:tcW w:type="dxa" w:w="20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API</w:t>
            </w:r>
          </w:p>
        </w:tc>
        <w:tc>
          <w:tcPr>
            <w:tcW w:type="dxa" w:w="32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Base URL</w:t>
            </w:r>
          </w:p>
        </w:tc>
        <w:tc>
          <w:tcPr>
            <w:tcW w:type="dxa" w:w="18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Authentication</w:t>
            </w:r>
          </w:p>
        </w:tc>
        <w:tc>
          <w:tcPr>
            <w:tcW w:type="dxa" w:w="23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Rate Limit Strategy</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UniProt REST API</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https://rest.uniprot.org</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None (public)</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Respect 1 req/sec guideline; batch where possible</w:t>
            </w:r>
          </w:p>
        </w:tc>
      </w:tr>
      <w:tr>
        <w:tc>
          <w:tcPr>
            <w:tcW w:type="dxa" w:w="20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AlphaFold DB API</w:t>
            </w:r>
          </w:p>
        </w:tc>
        <w:tc>
          <w:tcPr>
            <w:tcW w:type="dxa" w:w="3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https://alphafold.ebi.ac.uk/api</w:t>
            </w:r>
          </w:p>
        </w:tc>
        <w:tc>
          <w:tcPr>
            <w:tcW w:type="dxa" w:w="18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None (public)</w:t>
            </w:r>
          </w:p>
        </w:tc>
        <w:tc>
          <w:tcPr>
            <w:tcW w:type="dxa" w:w="23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Cache all structure files locally after first fetch</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SWISS-MODEL API</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https://swissmodel.expasy.org/api</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API key required</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Queue requests; poll for completion; cache results</w:t>
            </w:r>
          </w:p>
        </w:tc>
      </w:tr>
      <w:tr>
        <w:tc>
          <w:tcPr>
            <w:tcW w:type="dxa" w:w="20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PDB REST API</w:t>
            </w:r>
          </w:p>
        </w:tc>
        <w:tc>
          <w:tcPr>
            <w:tcW w:type="dxa" w:w="3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https://data.rcsb.org/rest/v1</w:t>
            </w:r>
          </w:p>
        </w:tc>
        <w:tc>
          <w:tcPr>
            <w:tcW w:type="dxa" w:w="18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None (public)</w:t>
            </w:r>
          </w:p>
        </w:tc>
        <w:tc>
          <w:tcPr>
            <w:tcW w:type="dxa" w:w="23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Cache structure files locally</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STRING API v11.5</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https://string-db.org/api</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None (public)</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Batch requests by protein list</w:t>
            </w:r>
          </w:p>
        </w:tc>
      </w:tr>
      <w:tr>
        <w:tc>
          <w:tcPr>
            <w:tcW w:type="dxa" w:w="20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BioGRID API</w:t>
            </w:r>
          </w:p>
        </w:tc>
        <w:tc>
          <w:tcPr>
            <w:tcW w:type="dxa" w:w="3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https://webservice.thebiogrid.org</w:t>
            </w:r>
          </w:p>
        </w:tc>
        <w:tc>
          <w:tcPr>
            <w:tcW w:type="dxa" w:w="18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API key required</w:t>
            </w:r>
          </w:p>
        </w:tc>
        <w:tc>
          <w:tcPr>
            <w:tcW w:type="dxa" w:w="23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Paginated bulk ingestion at pipeline time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DrugBank API</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https://go.drugbank.com/releases/latest/downloads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License key required</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Query at prediction time; cache results per target</w:t>
            </w:r>
          </w:p>
        </w:tc>
      </w:tr>
      <w:tr>
        <w:tc>
          <w:tcPr>
            <w:tcW w:type="dxa" w:w="20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NCI GDC API</w:t>
            </w:r>
          </w:p>
        </w:tc>
        <w:tc>
          <w:tcPr>
            <w:tcW w:type="dxa" w:w="3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https://api.gdc.cancer.gov</w:t>
            </w:r>
          </w:p>
        </w:tc>
        <w:tc>
          <w:tcPr>
            <w:tcW w:type="dxa" w:w="18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None (public, open-access data)</w:t>
            </w:r>
          </w:p>
        </w:tc>
        <w:tc>
          <w:tcPr>
            <w:tcW w:type="dxa" w:w="23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Bulk data download at pipeline time only</w:t>
            </w:r>
          </w:p>
        </w:tc>
      </w:tr>
    </w:tbl>
    <w:p>
      <w:pPr>
        <w:pBdr>
          <w:bottom w:val="single" w:color="D0E4F5" w:sz="3" w:space="1"/>
        </w:pBdr>
        <w:spacing w:before="180" w:after="18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1B4F8A" w:sz="8"/>
              <w:bottom w:val="single" w:color="2E75B6" w:sz="1"/>
              <w:right w:val="single" w:color="2E75B6" w:sz="1"/>
            </w:tcBorders>
            <w:shd w:fill="EBF3FB" w:val="clear"/>
            <w:tcMar>
              <w:top w:type="dxa" w:w="160"/>
              <w:left w:type="dxa" w:w="220"/>
              <w:bottom w:type="dxa" w:w="160"/>
              <w:right w:type="dxa" w:w="220"/>
            </w:tcMar>
          </w:tcPr>
          <w:p>
            <w:pPr>
              <w:spacing w:before="40" w:after="60"/>
            </w:pPr>
            <w:r>
              <w:rPr>
                <w:rFonts w:ascii="Arial" w:cs="Arial" w:eastAsia="Arial" w:hAnsi="Arial"/>
                <w:b/>
                <w:bCs/>
                <w:color w:val="1B4F8A"/>
                <w:sz w:val="22"/>
                <w:szCs w:val="22"/>
              </w:rPr>
              <w:t xml:space="preserve">Document End</w:t>
            </w:r>
          </w:p>
          <w:p>
            <w:pPr>
              <w:spacing w:before="40" w:after="40"/>
            </w:pPr>
            <w:r>
              <w:rPr>
                <w:rFonts w:ascii="Arial" w:cs="Arial" w:eastAsia="Arial" w:hAnsi="Arial"/>
                <w:color w:val="1A1A2E"/>
                <w:sz w:val="22"/>
                <w:szCs w:val="22"/>
              </w:rPr>
              <w:t xml:space="preserve">This Software Requirements Specification covers all seven development phases of ProtMind — from data infrastructure through CCA clinical demonstration. All functional requirements, non-functional requirements, system architecture, entity schemas, activity workflows, data flows, and tooling decisions documented herein serve as the authoritative reference for ProtMind development, testing, and validation activities.</w:t>
            </w:r>
          </w:p>
        </w:tc>
      </w:tr>
    </w:tbl>
    <w:p>
      <w:pPr>
        <w:pStyle w:val="Heading1"/>
        <w:pBdr>
          <w:bottom w:val="single" w:color="2E75B6" w:sz="8" w:space="6"/>
        </w:pBdr>
        <w:spacing w:before="360" w:after="160"/>
      </w:pPr>
      <w:r>
        <w:rPr>
          <w:rFonts w:ascii="Arial" w:cs="Arial" w:eastAsia="Arial" w:hAnsi="Arial"/>
          <w:b/>
          <w:bCs/>
          <w:color w:val="1B4F8A"/>
          <w:sz w:val="36"/>
          <w:szCs w:val="36"/>
        </w:rPr>
        <w:t xml:space="preserve">Chapter 5: UI/UX Design</w:t>
      </w:r>
    </w:p>
    <w:p>
      <w:pPr>
        <w:spacing w:before="80" w:after="80"/>
      </w:pPr>
      <w:r>
        <w:t xml:space="preserve"/>
      </w:r>
    </w:p>
    <w:p>
      <w:pPr>
        <w:spacing w:before="60" w:after="100"/>
      </w:pPr>
      <w:r>
        <w:rPr>
          <w:rFonts w:ascii="Arial" w:cs="Arial" w:eastAsia="Arial" w:hAnsi="Arial"/>
          <w:color w:val="1A1A2E"/>
          <w:sz w:val="22"/>
          <w:szCs w:val="22"/>
        </w:rPr>
        <w:t xml:space="preserve">This chapter documents the complete UI/UX design specification for ProtMind — covering design philosophy, design system (colors, typography, spacing, components), information architecture, wireframe specifications for all major views, interaction design, user flow diagrams, accessibility guidelines, and responsive design rules. This chapter serves as the authoritative design reference for all frontend development work.</w:t>
      </w:r>
    </w:p>
    <w:p>
      <w:pPr>
        <w:spacing w:before="80" w:after="80"/>
      </w:pPr>
      <w:r>
        <w:t xml:space="preserve"/>
      </w:r>
    </w:p>
    <w:p>
      <w:pPr>
        <w:pStyle w:val="Heading2"/>
        <w:spacing w:before="280" w:after="120"/>
      </w:pPr>
      <w:r>
        <w:rPr>
          <w:rFonts w:ascii="Arial" w:cs="Arial" w:eastAsia="Arial" w:hAnsi="Arial"/>
          <w:b/>
          <w:bCs/>
          <w:color w:val="2E75B6"/>
          <w:sz w:val="28"/>
          <w:szCs w:val="28"/>
        </w:rPr>
        <w:t xml:space="preserve">5.1  Design Philosophy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1B4F8A" w:sz="8"/>
              <w:bottom w:val="single" w:color="2E75B6" w:sz="1"/>
              <w:right w:val="single" w:color="2E75B6" w:sz="1"/>
            </w:tcBorders>
            <w:shd w:fill="EBF3FB" w:val="clear"/>
            <w:tcMar>
              <w:top w:type="dxa" w:w="160"/>
              <w:left w:type="dxa" w:w="220"/>
              <w:bottom w:type="dxa" w:w="160"/>
              <w:right w:type="dxa" w:w="220"/>
            </w:tcMar>
          </w:tcPr>
          <w:p>
            <w:pPr>
              <w:spacing w:before="40" w:after="60"/>
            </w:pPr>
            <w:r>
              <w:rPr>
                <w:rFonts w:ascii="Arial" w:cs="Arial" w:eastAsia="Arial" w:hAnsi="Arial"/>
                <w:b/>
                <w:bCs/>
                <w:color w:val="1B4F8A"/>
                <w:sz w:val="22"/>
                <w:szCs w:val="22"/>
              </w:rPr>
              <w:t xml:space="preserve">Core Design Principle</w:t>
            </w:r>
          </w:p>
          <w:p>
            <w:pPr>
              <w:spacing w:before="40" w:after="40"/>
            </w:pPr>
            <w:r>
              <w:rPr>
                <w:rFonts w:ascii="Arial" w:cs="Arial" w:eastAsia="Arial" w:hAnsi="Arial"/>
                <w:color w:val="1A1A2E"/>
                <w:sz w:val="22"/>
                <w:szCs w:val="22"/>
              </w:rPr>
              <w:t xml:space="preserve">ProtMind's interface is built on a single governing principle: scientific clarity over visual complexity. Every design decision — color, spacing, layout, interaction — must serve the researcher's task, not decorate it. The interface should feel like a precision instrument, not a consumer app.</w:t>
            </w:r>
          </w:p>
        </w:tc>
      </w:tr>
    </w:tbl>
    <w:p>
      <w:pPr>
        <w:spacing w:before="80" w:after="80"/>
      </w:pPr>
      <w:r>
        <w:t xml:space="preserve"/>
      </w:r>
    </w:p>
    <w:p>
      <w:pPr>
        <w:pStyle w:val="Heading3"/>
        <w:spacing w:before="200" w:after="80"/>
      </w:pPr>
      <w:r>
        <w:rPr>
          <w:rFonts w:ascii="Arial" w:cs="Arial" w:eastAsia="Arial" w:hAnsi="Arial"/>
          <w:b/>
          <w:bCs/>
          <w:color w:val="0070C0"/>
          <w:sz w:val="24"/>
          <w:szCs w:val="24"/>
        </w:rPr>
        <w:t xml:space="preserve">5.1.1  Design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Pillar</w:t>
            </w:r>
          </w:p>
        </w:tc>
        <w:tc>
          <w:tcPr>
            <w:tcW w:type="dxa" w:w="32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Definition</w:t>
            </w:r>
          </w:p>
        </w:tc>
        <w:tc>
          <w:tcPr>
            <w:tcW w:type="dxa" w:w="45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Design Implication</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Clarity</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Information is presented without ambiguity. Confidence scores, evidence levels, and data provenance are always visible.</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Dense but scannable layouts; no hidden critical information; consistent score visualization</w:t>
            </w:r>
          </w:p>
        </w:tc>
      </w:tr>
      <w:tr>
        <w:tc>
          <w:tcPr>
            <w:tcW w:type="dxa" w:w="1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Trust</w:t>
            </w:r>
          </w:p>
        </w:tc>
        <w:tc>
          <w:tcPr>
            <w:tcW w:type="dxa" w:w="3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Every AI output is accompanied by the evidence that supports it. The system earns trust by showing its work.</w:t>
            </w:r>
          </w:p>
        </w:tc>
        <w:tc>
          <w:tcPr>
            <w:tcW w:type="dxa" w:w="45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Evidence Graph always accessible; model version always displayed; calibration indicators on scores</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Efficiency</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 researcher should reach any insight in the fewest possible interactions.</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Search-first design; direct tool access from landing; keyboard shortcuts for power users</w:t>
            </w:r>
          </w:p>
        </w:tc>
      </w:tr>
      <w:tr>
        <w:tc>
          <w:tcPr>
            <w:tcW w:type="dxa" w:w="1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Scientific Neutrality</w:t>
            </w:r>
          </w:p>
        </w:tc>
        <w:tc>
          <w:tcPr>
            <w:tcW w:type="dxa" w:w="3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The interface does not celebrate or alarm — it informs. Visual language must not inject bias into scientific interpretation.</w:t>
            </w:r>
          </w:p>
        </w:tc>
        <w:tc>
          <w:tcPr>
            <w:tcW w:type="dxa" w:w="45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Neutral color language except for universal conventions (red = warning, green = validated); no gamification</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Cross-Platform Parity</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The experience must be identical on macOS, Windows, Linux, and all supported browsers.</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CSS-only layouts; no OS-native controls; WebGL rendering tested across all platforms</w:t>
            </w:r>
          </w:p>
        </w:tc>
      </w:tr>
    </w:tbl>
    <w:p>
      <w:pPr>
        <w:spacing w:before="80" w:after="80"/>
      </w:pPr>
      <w:r>
        <w:t xml:space="preserve"/>
      </w:r>
    </w:p>
    <w:p>
      <w:pPr>
        <w:pStyle w:val="Heading3"/>
        <w:spacing w:before="200" w:after="80"/>
      </w:pPr>
      <w:r>
        <w:rPr>
          <w:rFonts w:ascii="Arial" w:cs="Arial" w:eastAsia="Arial" w:hAnsi="Arial"/>
          <w:b/>
          <w:bCs/>
          <w:color w:val="0070C0"/>
          <w:sz w:val="24"/>
          <w:szCs w:val="24"/>
        </w:rPr>
        <w:t xml:space="preserve">5.1.2  Design Anti-Patterns (Explicitly Avoided)</w:t>
      </w:r>
    </w:p>
    <w:p>
      <w:pPr>
        <w:pStyle w:val="ListParagraph"/>
        <w:numPr>
          <w:ilvl w:val="0"/>
          <w:numId w:val="3"/>
        </w:numPr>
        <w:spacing w:before="50" w:after="50"/>
      </w:pPr>
      <w:r>
        <w:rPr>
          <w:rFonts w:ascii="Arial" w:cs="Arial" w:eastAsia="Arial" w:hAnsi="Arial"/>
          <w:color w:val="1A1A2E"/>
          <w:sz w:val="22"/>
          <w:szCs w:val="22"/>
        </w:rPr>
        <w:t xml:space="preserve">No gamification or engagement mechanics — protein research is not a game.</w:t>
      </w:r>
    </w:p>
    <w:p>
      <w:pPr>
        <w:pStyle w:val="ListParagraph"/>
        <w:numPr>
          <w:ilvl w:val="0"/>
          <w:numId w:val="3"/>
        </w:numPr>
        <w:spacing w:before="50" w:after="50"/>
      </w:pPr>
      <w:r>
        <w:rPr>
          <w:rFonts w:ascii="Arial" w:cs="Arial" w:eastAsia="Arial" w:hAnsi="Arial"/>
          <w:color w:val="1A1A2E"/>
          <w:sz w:val="22"/>
          <w:szCs w:val="22"/>
        </w:rPr>
        <w:t xml:space="preserve">No modal overuse — dialogs only for destructive or irreversible actions.</w:t>
      </w:r>
    </w:p>
    <w:p>
      <w:pPr>
        <w:pStyle w:val="ListParagraph"/>
        <w:numPr>
          <w:ilvl w:val="0"/>
          <w:numId w:val="3"/>
        </w:numPr>
        <w:spacing w:before="50" w:after="50"/>
      </w:pPr>
      <w:r>
        <w:rPr>
          <w:rFonts w:ascii="Arial" w:cs="Arial" w:eastAsia="Arial" w:hAnsi="Arial"/>
          <w:color w:val="1A1A2E"/>
          <w:sz w:val="22"/>
          <w:szCs w:val="22"/>
        </w:rPr>
        <w:t xml:space="preserve">No dark patterns — no hidden controls, no misleading affordances.</w:t>
      </w:r>
    </w:p>
    <w:p>
      <w:pPr>
        <w:pStyle w:val="ListParagraph"/>
        <w:numPr>
          <w:ilvl w:val="0"/>
          <w:numId w:val="3"/>
        </w:numPr>
        <w:spacing w:before="50" w:after="50"/>
      </w:pPr>
      <w:r>
        <w:rPr>
          <w:rFonts w:ascii="Arial" w:cs="Arial" w:eastAsia="Arial" w:hAnsi="Arial"/>
          <w:color w:val="1A1A2E"/>
          <w:sz w:val="22"/>
          <w:szCs w:val="22"/>
        </w:rPr>
        <w:t xml:space="preserve">No decorative animations — transitions serve orientation only, never attention.</w:t>
      </w:r>
    </w:p>
    <w:p>
      <w:pPr>
        <w:pStyle w:val="ListParagraph"/>
        <w:numPr>
          <w:ilvl w:val="0"/>
          <w:numId w:val="3"/>
        </w:numPr>
        <w:spacing w:before="50" w:after="50"/>
      </w:pPr>
      <w:r>
        <w:rPr>
          <w:rFonts w:ascii="Arial" w:cs="Arial" w:eastAsia="Arial" w:hAnsi="Arial"/>
          <w:color w:val="1A1A2E"/>
          <w:sz w:val="22"/>
          <w:szCs w:val="22"/>
        </w:rPr>
        <w:t xml:space="preserve">No information hiding behind progressive disclosure when the data is the product.</w:t>
      </w:r>
    </w:p>
    <w:p>
      <w:pPr>
        <w:spacing w:before="80" w:after="80"/>
      </w:pPr>
      <w:r>
        <w:t xml:space="preserve"/>
      </w:r>
    </w:p>
    <w:p>
      <w:pPr>
        <w:pStyle w:val="Heading2"/>
        <w:spacing w:before="280" w:after="120"/>
      </w:pPr>
      <w:r>
        <w:rPr>
          <w:rFonts w:ascii="Arial" w:cs="Arial" w:eastAsia="Arial" w:hAnsi="Arial"/>
          <w:b/>
          <w:bCs/>
          <w:color w:val="2E75B6"/>
          <w:sz w:val="28"/>
          <w:szCs w:val="28"/>
        </w:rPr>
        <w:t xml:space="preserve">5.2  Design System</w:t>
      </w:r>
    </w:p>
    <w:p>
      <w:pPr>
        <w:pStyle w:val="Heading3"/>
        <w:spacing w:before="200" w:after="80"/>
      </w:pPr>
      <w:r>
        <w:rPr>
          <w:rFonts w:ascii="Arial" w:cs="Arial" w:eastAsia="Arial" w:hAnsi="Arial"/>
          <w:b/>
          <w:bCs/>
          <w:color w:val="0070C0"/>
          <w:sz w:val="24"/>
          <w:szCs w:val="24"/>
        </w:rPr>
        <w:t xml:space="preserve">5.2.1  Color Palette</w:t>
      </w:r>
    </w:p>
    <w:p>
      <w:pPr>
        <w:spacing w:before="60" w:after="100"/>
      </w:pPr>
      <w:r>
        <w:rPr>
          <w:rFonts w:ascii="Arial" w:cs="Arial" w:eastAsia="Arial" w:hAnsi="Arial"/>
          <w:color w:val="1A1A2E"/>
          <w:sz w:val="22"/>
          <w:szCs w:val="22"/>
        </w:rPr>
        <w:t xml:space="preserve">The color palette is anchored in deep research-blue as the primary brand color, with a strictly controlled palette of functional colors. Colors carry meaning — they are never decorative.</w:t>
      </w:r>
    </w:p>
    <w:p>
      <w:pPr>
        <w:spacing w:before="80" w:after="80"/>
      </w:pPr>
      <w:r>
        <w:t xml:space="preserve"/>
      </w:r>
    </w:p>
    <w:p>
      <w:pPr>
        <w:spacing w:before="160" w:after="60"/>
      </w:pPr>
      <w:r>
        <w:rPr>
          <w:rFonts w:ascii="Arial" w:cs="Arial" w:eastAsia="Arial" w:hAnsi="Arial"/>
          <w:b/>
          <w:bCs/>
          <w:color w:val="1A1A2E"/>
          <w:sz w:val="22"/>
          <w:szCs w:val="22"/>
        </w:rPr>
        <w:t xml:space="preserve">Primary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18"/>
                <w:szCs w:val="18"/>
              </w:rPr>
              <w:t xml:space="preserve">Swatch</w:t>
            </w:r>
          </w:p>
        </w:tc>
        <w:tc>
          <w:tcPr>
            <w:tcW w:type="dxa" w:w="20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18"/>
                <w:szCs w:val="18"/>
              </w:rPr>
              <w:t xml:space="preserve">Color / Hex</w:t>
            </w:r>
          </w:p>
        </w:tc>
        <w:tc>
          <w:tcPr>
            <w:tcW w:type="dxa" w:w="61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18"/>
                <w:szCs w:val="18"/>
              </w:rPr>
              <w:t xml:space="preserve">Usage</w:t>
            </w:r>
          </w:p>
        </w:tc>
      </w:tr>
      <w:tr>
        <w:tc>
          <w:tcPr>
            <w:tcW w:type="dxa" w:w="1200"/>
            <w:tcBorders>
              <w:top w:val="single" w:color="CCCCCC" w:sz="1"/>
              <w:left w:val="single" w:color="CCCCCC" w:sz="1"/>
              <w:bottom w:val="single" w:color="CCCCCC" w:sz="1"/>
              <w:right w:val="single" w:color="CCCCCC" w:sz="1"/>
            </w:tcBorders>
            <w:shd w:fill="1B4F8A" w:val="clear"/>
            <w:tcMar>
              <w:top w:type="dxa" w:w="120"/>
              <w:left w:type="dxa" w:w="140"/>
              <w:bottom w:type="dxa" w:w="120"/>
              <w:right w:type="dxa" w:w="140"/>
            </w:tcMar>
          </w:tcPr>
          <w:p>
            <w:r>
              <w:rPr>
                <w:rFonts w:ascii="Arial" w:cs="Arial" w:eastAsia="Arial" w:hAnsi="Arial"/>
                <w:sz w:val="20"/>
                <w:szCs w:val="20"/>
              </w:rPr>
              <w:t xml:space="preserve"> </w:t>
            </w:r>
          </w:p>
        </w:tc>
        <w:tc>
          <w:tcPr>
            <w:tcW w:type="dxa" w:w="20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bCs/>
                <w:color w:val="1A1A2E"/>
                <w:sz w:val="19"/>
                <w:szCs w:val="19"/>
              </w:rPr>
              <w:t xml:space="preserve">Navy Blue (Primary)</w:t>
            </w:r>
          </w:p>
          <w:p>
            <w:r>
              <w:rPr>
                <w:rFonts w:ascii="Courier New" w:cs="Courier New" w:eastAsia="Courier New" w:hAnsi="Courier New"/>
                <w:color w:val="666666"/>
                <w:sz w:val="17"/>
                <w:szCs w:val="17"/>
              </w:rPr>
              <w:t xml:space="preserve">#1B4F8A</w:t>
            </w:r>
          </w:p>
        </w:tc>
        <w:tc>
          <w:tcPr>
            <w:tcW w:type="dxa" w:w="61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color w:val="1A1A2E"/>
                <w:sz w:val="19"/>
                <w:szCs w:val="19"/>
              </w:rPr>
              <w:t xml:space="preserve">Main headings, primary action buttons, brand identity elements, section anchors</w:t>
            </w:r>
          </w:p>
        </w:tc>
      </w:tr>
      <w:tr>
        <w:tc>
          <w:tcPr>
            <w:tcW w:type="dxa" w:w="1200"/>
            <w:tcBorders>
              <w:top w:val="single" w:color="CCCCCC" w:sz="1"/>
              <w:left w:val="single" w:color="CCCCCC" w:sz="1"/>
              <w:bottom w:val="single" w:color="CCCCCC" w:sz="1"/>
              <w:right w:val="single" w:color="CCCCCC" w:sz="1"/>
            </w:tcBorders>
            <w:shd w:fill="2E75B6" w:val="clear"/>
            <w:tcMar>
              <w:top w:type="dxa" w:w="120"/>
              <w:left w:type="dxa" w:w="140"/>
              <w:bottom w:type="dxa" w:w="120"/>
              <w:right w:type="dxa" w:w="140"/>
            </w:tcMar>
          </w:tcPr>
          <w:p>
            <w:r>
              <w:rPr>
                <w:rFonts w:ascii="Arial" w:cs="Arial" w:eastAsia="Arial" w:hAnsi="Arial"/>
                <w:sz w:val="20"/>
                <w:szCs w:val="20"/>
              </w:rPr>
              <w:t xml:space="preserve"> </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19"/>
                <w:szCs w:val="19"/>
              </w:rPr>
              <w:t xml:space="preserve">Cobalt Blue (Secondary)</w:t>
            </w:r>
          </w:p>
          <w:p>
            <w:r>
              <w:rPr>
                <w:rFonts w:ascii="Courier New" w:cs="Courier New" w:eastAsia="Courier New" w:hAnsi="Courier New"/>
                <w:color w:val="666666"/>
                <w:sz w:val="17"/>
                <w:szCs w:val="17"/>
              </w:rPr>
              <w:t xml:space="preserve">#2E75B6</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Subheadings, active states, hover highlights, borders on key components</w:t>
            </w:r>
          </w:p>
        </w:tc>
      </w:tr>
      <w:tr>
        <w:tc>
          <w:tcPr>
            <w:tcW w:type="dxa" w:w="1200"/>
            <w:tcBorders>
              <w:top w:val="single" w:color="CCCCCC" w:sz="1"/>
              <w:left w:val="single" w:color="CCCCCC" w:sz="1"/>
              <w:bottom w:val="single" w:color="CCCCCC" w:sz="1"/>
              <w:right w:val="single" w:color="CCCCCC" w:sz="1"/>
            </w:tcBorders>
            <w:shd w:fill="0070C0" w:val="clear"/>
            <w:tcMar>
              <w:top w:type="dxa" w:w="120"/>
              <w:left w:type="dxa" w:w="140"/>
              <w:bottom w:type="dxa" w:w="120"/>
              <w:right w:type="dxa" w:w="140"/>
            </w:tcMar>
          </w:tcPr>
          <w:p>
            <w:r>
              <w:rPr>
                <w:rFonts w:ascii="Arial" w:cs="Arial" w:eastAsia="Arial" w:hAnsi="Arial"/>
                <w:sz w:val="20"/>
                <w:szCs w:val="20"/>
              </w:rPr>
              <w:t xml:space="preserve"> </w:t>
            </w:r>
          </w:p>
        </w:tc>
        <w:tc>
          <w:tcPr>
            <w:tcW w:type="dxa" w:w="20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bCs/>
                <w:color w:val="1A1A2E"/>
                <w:sz w:val="19"/>
                <w:szCs w:val="19"/>
              </w:rPr>
              <w:t xml:space="preserve">Accent Blue</w:t>
            </w:r>
          </w:p>
          <w:p>
            <w:r>
              <w:rPr>
                <w:rFonts w:ascii="Courier New" w:cs="Courier New" w:eastAsia="Courier New" w:hAnsi="Courier New"/>
                <w:color w:val="666666"/>
                <w:sz w:val="17"/>
                <w:szCs w:val="17"/>
              </w:rPr>
              <w:t xml:space="preserve">#0070C0</w:t>
            </w:r>
          </w:p>
        </w:tc>
        <w:tc>
          <w:tcPr>
            <w:tcW w:type="dxa" w:w="61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color w:val="1A1A2E"/>
                <w:sz w:val="19"/>
                <w:szCs w:val="19"/>
              </w:rPr>
              <w:t xml:space="preserve">Links, interactive labels, third-level headings, clickable element indicators</w:t>
            </w:r>
          </w:p>
        </w:tc>
      </w:tr>
      <w:tr>
        <w:tc>
          <w:tcPr>
            <w:tcW w:type="dxa" w:w="1200"/>
            <w:tcBorders>
              <w:top w:val="single" w:color="CCCCCC" w:sz="1"/>
              <w:left w:val="single" w:color="CCCCCC" w:sz="1"/>
              <w:bottom w:val="single" w:color="CCCCCC" w:sz="1"/>
              <w:right w:val="single" w:color="CCCCCC" w:sz="1"/>
            </w:tcBorders>
            <w:shd w:fill="EBF3FB" w:val="clear"/>
            <w:tcMar>
              <w:top w:type="dxa" w:w="120"/>
              <w:left w:type="dxa" w:w="140"/>
              <w:bottom w:type="dxa" w:w="120"/>
              <w:right w:type="dxa" w:w="140"/>
            </w:tcMar>
          </w:tcPr>
          <w:p>
            <w:r>
              <w:rPr>
                <w:rFonts w:ascii="Arial" w:cs="Arial" w:eastAsia="Arial" w:hAnsi="Arial"/>
                <w:sz w:val="20"/>
                <w:szCs w:val="20"/>
              </w:rPr>
              <w:t xml:space="preserve"> </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19"/>
                <w:szCs w:val="19"/>
              </w:rPr>
              <w:t xml:space="preserve">Sky Tint (Background)</w:t>
            </w:r>
          </w:p>
          <w:p>
            <w:r>
              <w:rPr>
                <w:rFonts w:ascii="Courier New" w:cs="Courier New" w:eastAsia="Courier New" w:hAnsi="Courier New"/>
                <w:color w:val="666666"/>
                <w:sz w:val="17"/>
                <w:szCs w:val="17"/>
              </w:rPr>
              <w:t xml:space="preserve">#EBF3FB</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Callout box backgrounds, table alternating rows, panel backgrounds, card fills</w:t>
            </w:r>
          </w:p>
        </w:tc>
      </w:tr>
      <w:tr>
        <w:tc>
          <w:tcPr>
            <w:tcW w:type="dxa" w:w="1200"/>
            <w:tcBorders>
              <w:top w:val="single" w:color="CCCCCC" w:sz="1"/>
              <w:left w:val="single" w:color="CCCCCC" w:sz="1"/>
              <w:bottom w:val="single" w:color="CCCCCC" w:sz="1"/>
              <w:right w:val="single" w:color="CCCCCC" w:sz="1"/>
            </w:tcBorders>
            <w:shd w:fill="D0E4F5" w:val="clear"/>
            <w:tcMar>
              <w:top w:type="dxa" w:w="120"/>
              <w:left w:type="dxa" w:w="140"/>
              <w:bottom w:type="dxa" w:w="120"/>
              <w:right w:type="dxa" w:w="140"/>
            </w:tcMar>
          </w:tcPr>
          <w:p>
            <w:r>
              <w:rPr>
                <w:rFonts w:ascii="Arial" w:cs="Arial" w:eastAsia="Arial" w:hAnsi="Arial"/>
                <w:sz w:val="20"/>
                <w:szCs w:val="20"/>
              </w:rPr>
              <w:t xml:space="preserve"> </w:t>
            </w:r>
          </w:p>
        </w:tc>
        <w:tc>
          <w:tcPr>
            <w:tcW w:type="dxa" w:w="20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bCs/>
                <w:color w:val="1A1A2E"/>
                <w:sz w:val="19"/>
                <w:szCs w:val="19"/>
              </w:rPr>
              <w:t xml:space="preserve">Mid Blue (Surface)</w:t>
            </w:r>
          </w:p>
          <w:p>
            <w:r>
              <w:rPr>
                <w:rFonts w:ascii="Courier New" w:cs="Courier New" w:eastAsia="Courier New" w:hAnsi="Courier New"/>
                <w:color w:val="666666"/>
                <w:sz w:val="17"/>
                <w:szCs w:val="17"/>
              </w:rPr>
              <w:t xml:space="preserve">#D0E4F5</w:t>
            </w:r>
          </w:p>
        </w:tc>
        <w:tc>
          <w:tcPr>
            <w:tcW w:type="dxa" w:w="61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color w:val="1A1A2E"/>
                <w:sz w:val="19"/>
                <w:szCs w:val="19"/>
              </w:rPr>
              <w:t xml:space="preserve">Section dividers, phase header backgrounds, selected state fills</w:t>
            </w:r>
          </w:p>
        </w:tc>
      </w:tr>
    </w:tbl>
    <w:p>
      <w:pPr>
        <w:spacing w:before="80" w:after="80"/>
      </w:pPr>
      <w:r>
        <w:t xml:space="preserve"/>
      </w:r>
    </w:p>
    <w:p>
      <w:pPr>
        <w:spacing w:before="160" w:after="60"/>
      </w:pPr>
      <w:r>
        <w:rPr>
          <w:rFonts w:ascii="Arial" w:cs="Arial" w:eastAsia="Arial" w:hAnsi="Arial"/>
          <w:b/>
          <w:bCs/>
          <w:color w:val="1A1A2E"/>
          <w:sz w:val="22"/>
          <w:szCs w:val="22"/>
        </w:rPr>
        <w:t xml:space="preserve">Neutral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18"/>
                <w:szCs w:val="18"/>
              </w:rPr>
              <w:t xml:space="preserve">Swatch</w:t>
            </w:r>
          </w:p>
        </w:tc>
        <w:tc>
          <w:tcPr>
            <w:tcW w:type="dxa" w:w="20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18"/>
                <w:szCs w:val="18"/>
              </w:rPr>
              <w:t xml:space="preserve">Color / Hex</w:t>
            </w:r>
          </w:p>
        </w:tc>
        <w:tc>
          <w:tcPr>
            <w:tcW w:type="dxa" w:w="61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18"/>
                <w:szCs w:val="18"/>
              </w:rPr>
              <w:t xml:space="preserve">Usage</w:t>
            </w:r>
          </w:p>
        </w:tc>
      </w:tr>
      <w:tr>
        <w:tc>
          <w:tcPr>
            <w:tcW w:type="dxa" w:w="1200"/>
            <w:tcBorders>
              <w:top w:val="single" w:color="CCCCCC" w:sz="1"/>
              <w:left w:val="single" w:color="CCCCCC" w:sz="1"/>
              <w:bottom w:val="single" w:color="CCCCCC" w:sz="1"/>
              <w:right w:val="single" w:color="CCCCCC" w:sz="1"/>
            </w:tcBorders>
            <w:shd w:fill="1A1A2E" w:val="clear"/>
            <w:tcMar>
              <w:top w:type="dxa" w:w="120"/>
              <w:left w:type="dxa" w:w="140"/>
              <w:bottom w:type="dxa" w:w="120"/>
              <w:right w:type="dxa" w:w="140"/>
            </w:tcMar>
          </w:tcPr>
          <w:p>
            <w:r>
              <w:rPr>
                <w:rFonts w:ascii="Arial" w:cs="Arial" w:eastAsia="Arial" w:hAnsi="Arial"/>
                <w:sz w:val="20"/>
                <w:szCs w:val="20"/>
              </w:rPr>
              <w:t xml:space="preserve"> </w:t>
            </w:r>
          </w:p>
        </w:tc>
        <w:tc>
          <w:tcPr>
            <w:tcW w:type="dxa" w:w="20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bCs/>
                <w:color w:val="1A1A2E"/>
                <w:sz w:val="19"/>
                <w:szCs w:val="19"/>
              </w:rPr>
              <w:t xml:space="preserve">Deep Dark (Body Text)</w:t>
            </w:r>
          </w:p>
          <w:p>
            <w:r>
              <w:rPr>
                <w:rFonts w:ascii="Courier New" w:cs="Courier New" w:eastAsia="Courier New" w:hAnsi="Courier New"/>
                <w:color w:val="666666"/>
                <w:sz w:val="17"/>
                <w:szCs w:val="17"/>
              </w:rPr>
              <w:t xml:space="preserve">#1A1A2E</w:t>
            </w:r>
          </w:p>
        </w:tc>
        <w:tc>
          <w:tcPr>
            <w:tcW w:type="dxa" w:w="61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color w:val="1A1A2E"/>
                <w:sz w:val="19"/>
                <w:szCs w:val="19"/>
              </w:rPr>
              <w:t xml:space="preserve">All body copy, table cell text, form input text</w:t>
            </w:r>
          </w:p>
        </w:tc>
      </w:tr>
      <w:tr>
        <w:tc>
          <w:tcPr>
            <w:tcW w:type="dxa" w:w="1200"/>
            <w:tcBorders>
              <w:top w:val="single" w:color="CCCCCC" w:sz="1"/>
              <w:left w:val="single" w:color="CCCCCC" w:sz="1"/>
              <w:bottom w:val="single" w:color="CCCCCC" w:sz="1"/>
              <w:right w:val="single" w:color="CCCCCC" w:sz="1"/>
            </w:tcBorders>
            <w:shd w:fill="666666" w:val="clear"/>
            <w:tcMar>
              <w:top w:type="dxa" w:w="120"/>
              <w:left w:type="dxa" w:w="140"/>
              <w:bottom w:type="dxa" w:w="120"/>
              <w:right w:type="dxa" w:w="140"/>
            </w:tcMar>
          </w:tcPr>
          <w:p>
            <w:r>
              <w:rPr>
                <w:rFonts w:ascii="Arial" w:cs="Arial" w:eastAsia="Arial" w:hAnsi="Arial"/>
                <w:sz w:val="20"/>
                <w:szCs w:val="20"/>
              </w:rPr>
              <w:t xml:space="preserve"> </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19"/>
                <w:szCs w:val="19"/>
              </w:rPr>
              <w:t xml:space="preserve">Mid Gray (Secondary Text)</w:t>
            </w:r>
          </w:p>
          <w:p>
            <w:r>
              <w:rPr>
                <w:rFonts w:ascii="Courier New" w:cs="Courier New" w:eastAsia="Courier New" w:hAnsi="Courier New"/>
                <w:color w:val="666666"/>
                <w:sz w:val="17"/>
                <w:szCs w:val="17"/>
              </w:rPr>
              <w:t xml:space="preserve">#666666</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Subtitles, metadata labels, placeholder text, footer copy</w:t>
            </w:r>
          </w:p>
        </w:tc>
      </w:tr>
      <w:tr>
        <w:tc>
          <w:tcPr>
            <w:tcW w:type="dxa" w:w="1200"/>
            <w:tcBorders>
              <w:top w:val="single" w:color="CCCCCC" w:sz="1"/>
              <w:left w:val="single" w:color="CCCCCC" w:sz="1"/>
              <w:bottom w:val="single" w:color="CCCCCC" w:sz="1"/>
              <w:right w:val="single" w:color="CCCCCC" w:sz="1"/>
            </w:tcBorders>
            <w:shd w:fill="F2F7FC" w:val="clear"/>
            <w:tcMar>
              <w:top w:type="dxa" w:w="120"/>
              <w:left w:type="dxa" w:w="140"/>
              <w:bottom w:type="dxa" w:w="120"/>
              <w:right w:type="dxa" w:w="140"/>
            </w:tcMar>
          </w:tcPr>
          <w:p>
            <w:r>
              <w:rPr>
                <w:rFonts w:ascii="Arial" w:cs="Arial" w:eastAsia="Arial" w:hAnsi="Arial"/>
                <w:sz w:val="20"/>
                <w:szCs w:val="20"/>
              </w:rPr>
              <w:t xml:space="preserve"> </w:t>
            </w:r>
          </w:p>
        </w:tc>
        <w:tc>
          <w:tcPr>
            <w:tcW w:type="dxa" w:w="20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bCs/>
                <w:color w:val="1A1A2E"/>
                <w:sz w:val="19"/>
                <w:szCs w:val="19"/>
              </w:rPr>
              <w:t xml:space="preserve">Off-White (Alt Row)</w:t>
            </w:r>
          </w:p>
          <w:p>
            <w:r>
              <w:rPr>
                <w:rFonts w:ascii="Courier New" w:cs="Courier New" w:eastAsia="Courier New" w:hAnsi="Courier New"/>
                <w:color w:val="666666"/>
                <w:sz w:val="17"/>
                <w:szCs w:val="17"/>
              </w:rPr>
              <w:t xml:space="preserve">#F2F7FC</w:t>
            </w:r>
          </w:p>
        </w:tc>
        <w:tc>
          <w:tcPr>
            <w:tcW w:type="dxa" w:w="61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color w:val="1A1A2E"/>
                <w:sz w:val="19"/>
                <w:szCs w:val="19"/>
              </w:rPr>
              <w:t xml:space="preserve">Alternating table rows, subtle background differentiation</w:t>
            </w:r>
          </w:p>
        </w:tc>
      </w:tr>
      <w:tr>
        <w:tc>
          <w:tcPr>
            <w:tcW w:type="dxa" w:w="1200"/>
            <w:tcBorders>
              <w:top w:val="single" w:color="CCCCCC" w:sz="1"/>
              <w:left w:val="single" w:color="CCCCCC" w:sz="1"/>
              <w:bottom w:val="single" w:color="CCCCCC" w:sz="1"/>
              <w:right w:val="single" w:color="CCCCCC" w:sz="1"/>
            </w:tcBorders>
            <w:shd w:fill="FFFFFF" w:val="clear"/>
            <w:tcMar>
              <w:top w:type="dxa" w:w="120"/>
              <w:left w:type="dxa" w:w="140"/>
              <w:bottom w:type="dxa" w:w="120"/>
              <w:right w:type="dxa" w:w="140"/>
            </w:tcMar>
          </w:tcPr>
          <w:p>
            <w:r>
              <w:rPr>
                <w:rFonts w:ascii="Arial" w:cs="Arial" w:eastAsia="Arial" w:hAnsi="Arial"/>
                <w:sz w:val="20"/>
                <w:szCs w:val="20"/>
              </w:rPr>
              <w:t xml:space="preserve"> </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19"/>
                <w:szCs w:val="19"/>
              </w:rPr>
              <w:t xml:space="preserve">Pure White</w:t>
            </w:r>
          </w:p>
          <w:p>
            <w:r>
              <w:rPr>
                <w:rFonts w:ascii="Courier New" w:cs="Courier New" w:eastAsia="Courier New" w:hAnsi="Courier New"/>
                <w:color w:val="666666"/>
                <w:sz w:val="17"/>
                <w:szCs w:val="17"/>
              </w:rPr>
              <w:t xml:space="preserve">#FFFFFF</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Page background, card backgrounds, input field backgrounds</w:t>
            </w:r>
          </w:p>
        </w:tc>
      </w:tr>
      <w:tr>
        <w:tc>
          <w:tcPr>
            <w:tcW w:type="dxa" w:w="1200"/>
            <w:tcBorders>
              <w:top w:val="single" w:color="CCCCCC" w:sz="1"/>
              <w:left w:val="single" w:color="CCCCCC" w:sz="1"/>
              <w:bottom w:val="single" w:color="CCCCCC" w:sz="1"/>
              <w:right w:val="single" w:color="CCCCCC" w:sz="1"/>
            </w:tcBorders>
            <w:shd w:fill="CCCCCC" w:val="clear"/>
            <w:tcMar>
              <w:top w:type="dxa" w:w="120"/>
              <w:left w:type="dxa" w:w="140"/>
              <w:bottom w:type="dxa" w:w="120"/>
              <w:right w:type="dxa" w:w="140"/>
            </w:tcMar>
          </w:tcPr>
          <w:p>
            <w:r>
              <w:rPr>
                <w:rFonts w:ascii="Arial" w:cs="Arial" w:eastAsia="Arial" w:hAnsi="Arial"/>
                <w:sz w:val="20"/>
                <w:szCs w:val="20"/>
              </w:rPr>
              <w:t xml:space="preserve"> </w:t>
            </w:r>
          </w:p>
        </w:tc>
        <w:tc>
          <w:tcPr>
            <w:tcW w:type="dxa" w:w="20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bCs/>
                <w:color w:val="1A1A2E"/>
                <w:sz w:val="19"/>
                <w:szCs w:val="19"/>
              </w:rPr>
              <w:t xml:space="preserve">Border Gray</w:t>
            </w:r>
          </w:p>
          <w:p>
            <w:r>
              <w:rPr>
                <w:rFonts w:ascii="Courier New" w:cs="Courier New" w:eastAsia="Courier New" w:hAnsi="Courier New"/>
                <w:color w:val="666666"/>
                <w:sz w:val="17"/>
                <w:szCs w:val="17"/>
              </w:rPr>
              <w:t xml:space="preserve">#CCCCCC</w:t>
            </w:r>
          </w:p>
        </w:tc>
        <w:tc>
          <w:tcPr>
            <w:tcW w:type="dxa" w:w="61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color w:val="1A1A2E"/>
                <w:sz w:val="19"/>
                <w:szCs w:val="19"/>
              </w:rPr>
              <w:t xml:space="preserve">Table borders, divider lines, input field outlines</w:t>
            </w:r>
          </w:p>
        </w:tc>
      </w:tr>
    </w:tbl>
    <w:p>
      <w:pPr>
        <w:spacing w:before="80" w:after="80"/>
      </w:pPr>
      <w:r>
        <w:t xml:space="preserve"/>
      </w:r>
    </w:p>
    <w:p>
      <w:pPr>
        <w:spacing w:before="160" w:after="60"/>
      </w:pPr>
      <w:r>
        <w:rPr>
          <w:rFonts w:ascii="Arial" w:cs="Arial" w:eastAsia="Arial" w:hAnsi="Arial"/>
          <w:b/>
          <w:bCs/>
          <w:color w:val="1A1A2E"/>
          <w:sz w:val="22"/>
          <w:szCs w:val="22"/>
        </w:rPr>
        <w:t xml:space="preserve">Semantic / Functional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18"/>
                <w:szCs w:val="18"/>
              </w:rPr>
              <w:t xml:space="preserve">Swatch</w:t>
            </w:r>
          </w:p>
        </w:tc>
        <w:tc>
          <w:tcPr>
            <w:tcW w:type="dxa" w:w="20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18"/>
                <w:szCs w:val="18"/>
              </w:rPr>
              <w:t xml:space="preserve">Color / Hex</w:t>
            </w:r>
          </w:p>
        </w:tc>
        <w:tc>
          <w:tcPr>
            <w:tcW w:type="dxa" w:w="61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18"/>
                <w:szCs w:val="18"/>
              </w:rPr>
              <w:t xml:space="preserve">Usage</w:t>
            </w:r>
          </w:p>
        </w:tc>
      </w:tr>
      <w:tr>
        <w:tc>
          <w:tcPr>
            <w:tcW w:type="dxa" w:w="1200"/>
            <w:tcBorders>
              <w:top w:val="single" w:color="CCCCCC" w:sz="1"/>
              <w:left w:val="single" w:color="CCCCCC" w:sz="1"/>
              <w:bottom w:val="single" w:color="CCCCCC" w:sz="1"/>
              <w:right w:val="single" w:color="CCCCCC" w:sz="1"/>
            </w:tcBorders>
            <w:shd w:fill="00B050" w:val="clear"/>
            <w:tcMar>
              <w:top w:type="dxa" w:w="120"/>
              <w:left w:type="dxa" w:w="140"/>
              <w:bottom w:type="dxa" w:w="120"/>
              <w:right w:type="dxa" w:w="140"/>
            </w:tcMar>
          </w:tcPr>
          <w:p>
            <w:r>
              <w:rPr>
                <w:rFonts w:ascii="Arial" w:cs="Arial" w:eastAsia="Arial" w:hAnsi="Arial"/>
                <w:sz w:val="20"/>
                <w:szCs w:val="20"/>
              </w:rPr>
              <w:t xml:space="preserve"> </w:t>
            </w:r>
          </w:p>
        </w:tc>
        <w:tc>
          <w:tcPr>
            <w:tcW w:type="dxa" w:w="20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bCs/>
                <w:color w:val="1A1A2E"/>
                <w:sz w:val="19"/>
                <w:szCs w:val="19"/>
              </w:rPr>
              <w:t xml:space="preserve">Validated Green</w:t>
            </w:r>
          </w:p>
          <w:p>
            <w:r>
              <w:rPr>
                <w:rFonts w:ascii="Courier New" w:cs="Courier New" w:eastAsia="Courier New" w:hAnsi="Courier New"/>
                <w:color w:val="666666"/>
                <w:sz w:val="17"/>
                <w:szCs w:val="17"/>
              </w:rPr>
              <w:t xml:space="preserve">#00B050</w:t>
            </w:r>
          </w:p>
        </w:tc>
        <w:tc>
          <w:tcPr>
            <w:tcW w:type="dxa" w:w="61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color w:val="1A1A2E"/>
                <w:sz w:val="19"/>
                <w:szCs w:val="19"/>
              </w:rPr>
              <w:t xml:space="preserve">Experimentally verified annotations, high-confidence predictions (&gt;80%), success states</w:t>
            </w:r>
          </w:p>
        </w:tc>
      </w:tr>
      <w:tr>
        <w:tc>
          <w:tcPr>
            <w:tcW w:type="dxa" w:w="1200"/>
            <w:tcBorders>
              <w:top w:val="single" w:color="CCCCCC" w:sz="1"/>
              <w:left w:val="single" w:color="CCCCCC" w:sz="1"/>
              <w:bottom w:val="single" w:color="CCCCCC" w:sz="1"/>
              <w:right w:val="single" w:color="CCCCCC" w:sz="1"/>
            </w:tcBorders>
            <w:shd w:fill="FF9900" w:val="clear"/>
            <w:tcMar>
              <w:top w:type="dxa" w:w="120"/>
              <w:left w:type="dxa" w:w="140"/>
              <w:bottom w:type="dxa" w:w="120"/>
              <w:right w:type="dxa" w:w="140"/>
            </w:tcMar>
          </w:tcPr>
          <w:p>
            <w:r>
              <w:rPr>
                <w:rFonts w:ascii="Arial" w:cs="Arial" w:eastAsia="Arial" w:hAnsi="Arial"/>
                <w:sz w:val="20"/>
                <w:szCs w:val="20"/>
              </w:rPr>
              <w:t xml:space="preserve"> </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19"/>
                <w:szCs w:val="19"/>
              </w:rPr>
              <w:t xml:space="preserve">Caution Amber</w:t>
            </w:r>
          </w:p>
          <w:p>
            <w:r>
              <w:rPr>
                <w:rFonts w:ascii="Courier New" w:cs="Courier New" w:eastAsia="Courier New" w:hAnsi="Courier New"/>
                <w:color w:val="666666"/>
                <w:sz w:val="17"/>
                <w:szCs w:val="17"/>
              </w:rPr>
              <w:t xml:space="preserve">#FF9900</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Medium-confidence predictions (50–80%), model distribution warnings, caution flags</w:t>
            </w:r>
          </w:p>
        </w:tc>
      </w:tr>
      <w:tr>
        <w:tc>
          <w:tcPr>
            <w:tcW w:type="dxa" w:w="1200"/>
            <w:tcBorders>
              <w:top w:val="single" w:color="CCCCCC" w:sz="1"/>
              <w:left w:val="single" w:color="CCCCCC" w:sz="1"/>
              <w:bottom w:val="single" w:color="CCCCCC" w:sz="1"/>
              <w:right w:val="single" w:color="CCCCCC" w:sz="1"/>
            </w:tcBorders>
            <w:shd w:fill="C00000" w:val="clear"/>
            <w:tcMar>
              <w:top w:type="dxa" w:w="120"/>
              <w:left w:type="dxa" w:w="140"/>
              <w:bottom w:type="dxa" w:w="120"/>
              <w:right w:type="dxa" w:w="140"/>
            </w:tcMar>
          </w:tcPr>
          <w:p>
            <w:r>
              <w:rPr>
                <w:rFonts w:ascii="Arial" w:cs="Arial" w:eastAsia="Arial" w:hAnsi="Arial"/>
                <w:sz w:val="20"/>
                <w:szCs w:val="20"/>
              </w:rPr>
              <w:t xml:space="preserve"> </w:t>
            </w:r>
          </w:p>
        </w:tc>
        <w:tc>
          <w:tcPr>
            <w:tcW w:type="dxa" w:w="20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bCs/>
                <w:color w:val="1A1A2E"/>
                <w:sz w:val="19"/>
                <w:szCs w:val="19"/>
              </w:rPr>
              <w:t xml:space="preserve">Alert Red</w:t>
            </w:r>
          </w:p>
          <w:p>
            <w:r>
              <w:rPr>
                <w:rFonts w:ascii="Courier New" w:cs="Courier New" w:eastAsia="Courier New" w:hAnsi="Courier New"/>
                <w:color w:val="666666"/>
                <w:sz w:val="17"/>
                <w:szCs w:val="17"/>
              </w:rPr>
              <w:t xml:space="preserve">#C00000</w:t>
            </w:r>
          </w:p>
        </w:tc>
        <w:tc>
          <w:tcPr>
            <w:tcW w:type="dxa" w:w="61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color w:val="1A1A2E"/>
                <w:sz w:val="19"/>
                <w:szCs w:val="19"/>
              </w:rPr>
              <w:t xml:space="preserve">Low-confidence predictions (&lt;50%), severely disruptive mutations, error states</w:t>
            </w:r>
          </w:p>
        </w:tc>
      </w:tr>
      <w:tr>
        <w:tc>
          <w:tcPr>
            <w:tcW w:type="dxa" w:w="1200"/>
            <w:tcBorders>
              <w:top w:val="single" w:color="CCCCCC" w:sz="1"/>
              <w:left w:val="single" w:color="CCCCCC" w:sz="1"/>
              <w:bottom w:val="single" w:color="CCCCCC" w:sz="1"/>
              <w:right w:val="single" w:color="CCCCCC" w:sz="1"/>
            </w:tcBorders>
            <w:shd w:fill="7030A0" w:val="clear"/>
            <w:tcMar>
              <w:top w:type="dxa" w:w="120"/>
              <w:left w:type="dxa" w:w="140"/>
              <w:bottom w:type="dxa" w:w="120"/>
              <w:right w:type="dxa" w:w="140"/>
            </w:tcMar>
          </w:tcPr>
          <w:p>
            <w:r>
              <w:rPr>
                <w:rFonts w:ascii="Arial" w:cs="Arial" w:eastAsia="Arial" w:hAnsi="Arial"/>
                <w:sz w:val="20"/>
                <w:szCs w:val="20"/>
              </w:rPr>
              <w:t xml:space="preserve"> </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19"/>
                <w:szCs w:val="19"/>
              </w:rPr>
              <w:t xml:space="preserve">Pharmacology Purple</w:t>
            </w:r>
          </w:p>
          <w:p>
            <w:r>
              <w:rPr>
                <w:rFonts w:ascii="Courier New" w:cs="Courier New" w:eastAsia="Courier New" w:hAnsi="Courier New"/>
                <w:color w:val="666666"/>
                <w:sz w:val="17"/>
                <w:szCs w:val="17"/>
              </w:rPr>
              <w:t xml:space="preserve">#7030A0</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Drug-related data, DrugBank results, clinical trial indicators</w:t>
            </w:r>
          </w:p>
        </w:tc>
      </w:tr>
      <w:tr>
        <w:tc>
          <w:tcPr>
            <w:tcW w:type="dxa" w:w="1200"/>
            <w:tcBorders>
              <w:top w:val="single" w:color="CCCCCC" w:sz="1"/>
              <w:left w:val="single" w:color="CCCCCC" w:sz="1"/>
              <w:bottom w:val="single" w:color="CCCCCC" w:sz="1"/>
              <w:right w:val="single" w:color="CCCCCC" w:sz="1"/>
            </w:tcBorders>
            <w:shd w:fill="375623" w:val="clear"/>
            <w:tcMar>
              <w:top w:type="dxa" w:w="120"/>
              <w:left w:type="dxa" w:w="140"/>
              <w:bottom w:type="dxa" w:w="120"/>
              <w:right w:type="dxa" w:w="140"/>
            </w:tcMar>
          </w:tcPr>
          <w:p>
            <w:r>
              <w:rPr>
                <w:rFonts w:ascii="Arial" w:cs="Arial" w:eastAsia="Arial" w:hAnsi="Arial"/>
                <w:sz w:val="20"/>
                <w:szCs w:val="20"/>
              </w:rPr>
              <w:t xml:space="preserve"> </w:t>
            </w:r>
          </w:p>
        </w:tc>
        <w:tc>
          <w:tcPr>
            <w:tcW w:type="dxa" w:w="20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bCs/>
                <w:color w:val="1A1A2E"/>
                <w:sz w:val="19"/>
                <w:szCs w:val="19"/>
              </w:rPr>
              <w:t xml:space="preserve">Deep Green (Conservation)</w:t>
            </w:r>
          </w:p>
          <w:p>
            <w:r>
              <w:rPr>
                <w:rFonts w:ascii="Courier New" w:cs="Courier New" w:eastAsia="Courier New" w:hAnsi="Courier New"/>
                <w:color w:val="666666"/>
                <w:sz w:val="17"/>
                <w:szCs w:val="17"/>
              </w:rPr>
              <w:t xml:space="preserve">#375623</w:t>
            </w:r>
          </w:p>
        </w:tc>
        <w:tc>
          <w:tcPr>
            <w:tcW w:type="dxa" w:w="61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color w:val="1A1A2E"/>
                <w:sz w:val="19"/>
                <w:szCs w:val="19"/>
              </w:rPr>
              <w:t xml:space="preserve">Structurally conserved regions in comparator, high essentiality scores</w:t>
            </w:r>
          </w:p>
        </w:tc>
      </w:tr>
    </w:tbl>
    <w:p>
      <w:pPr>
        <w:spacing w:before="80" w:after="80"/>
      </w:pPr>
      <w:r>
        <w:t xml:space="preserve"/>
      </w:r>
    </w:p>
    <w:p>
      <w:pPr>
        <w:spacing w:before="160" w:after="60"/>
      </w:pPr>
      <w:r>
        <w:rPr>
          <w:rFonts w:ascii="Arial" w:cs="Arial" w:eastAsia="Arial" w:hAnsi="Arial"/>
          <w:b/>
          <w:bCs/>
          <w:color w:val="1A1A2E"/>
          <w:sz w:val="22"/>
          <w:szCs w:val="22"/>
        </w:rPr>
        <w:t xml:space="preserve">pLDDT Confidence Color Scale (AlphaFold Convention)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18"/>
                <w:szCs w:val="18"/>
              </w:rPr>
              <w:t xml:space="preserve">Swatch</w:t>
            </w:r>
          </w:p>
        </w:tc>
        <w:tc>
          <w:tcPr>
            <w:tcW w:type="dxa" w:w="20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18"/>
                <w:szCs w:val="18"/>
              </w:rPr>
              <w:t xml:space="preserve">Color / Hex</w:t>
            </w:r>
          </w:p>
        </w:tc>
        <w:tc>
          <w:tcPr>
            <w:tcW w:type="dxa" w:w="61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18"/>
                <w:szCs w:val="18"/>
              </w:rPr>
              <w:t xml:space="preserve">Usage</w:t>
            </w:r>
          </w:p>
        </w:tc>
      </w:tr>
      <w:tr>
        <w:tc>
          <w:tcPr>
            <w:tcW w:type="dxa" w:w="1200"/>
            <w:tcBorders>
              <w:top w:val="single" w:color="CCCCCC" w:sz="1"/>
              <w:left w:val="single" w:color="CCCCCC" w:sz="1"/>
              <w:bottom w:val="single" w:color="CCCCCC" w:sz="1"/>
              <w:right w:val="single" w:color="CCCCCC" w:sz="1"/>
            </w:tcBorders>
            <w:shd w:fill="0053D6" w:val="clear"/>
            <w:tcMar>
              <w:top w:type="dxa" w:w="120"/>
              <w:left w:type="dxa" w:w="140"/>
              <w:bottom w:type="dxa" w:w="120"/>
              <w:right w:type="dxa" w:w="140"/>
            </w:tcMar>
          </w:tcPr>
          <w:p>
            <w:r>
              <w:rPr>
                <w:rFonts w:ascii="Arial" w:cs="Arial" w:eastAsia="Arial" w:hAnsi="Arial"/>
                <w:sz w:val="20"/>
                <w:szCs w:val="20"/>
              </w:rPr>
              <w:t xml:space="preserve"> </w:t>
            </w:r>
          </w:p>
        </w:tc>
        <w:tc>
          <w:tcPr>
            <w:tcW w:type="dxa" w:w="20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bCs/>
                <w:color w:val="1A1A2E"/>
                <w:sz w:val="19"/>
                <w:szCs w:val="19"/>
              </w:rPr>
              <w:t xml:space="preserve">Very High (&gt;90)</w:t>
            </w:r>
          </w:p>
          <w:p>
            <w:r>
              <w:rPr>
                <w:rFonts w:ascii="Courier New" w:cs="Courier New" w:eastAsia="Courier New" w:hAnsi="Courier New"/>
                <w:color w:val="666666"/>
                <w:sz w:val="17"/>
                <w:szCs w:val="17"/>
              </w:rPr>
              <w:t xml:space="preserve">#0053D6</w:t>
            </w:r>
          </w:p>
        </w:tc>
        <w:tc>
          <w:tcPr>
            <w:tcW w:type="dxa" w:w="61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color w:val="1A1A2E"/>
                <w:sz w:val="19"/>
                <w:szCs w:val="19"/>
              </w:rPr>
              <w:t xml:space="preserve">Highly confident predicted structure regions — reliable for analysis</w:t>
            </w:r>
          </w:p>
        </w:tc>
      </w:tr>
      <w:tr>
        <w:tc>
          <w:tcPr>
            <w:tcW w:type="dxa" w:w="1200"/>
            <w:tcBorders>
              <w:top w:val="single" w:color="CCCCCC" w:sz="1"/>
              <w:left w:val="single" w:color="CCCCCC" w:sz="1"/>
              <w:bottom w:val="single" w:color="CCCCCC" w:sz="1"/>
              <w:right w:val="single" w:color="CCCCCC" w:sz="1"/>
            </w:tcBorders>
            <w:shd w:fill="65CBF3" w:val="clear"/>
            <w:tcMar>
              <w:top w:type="dxa" w:w="120"/>
              <w:left w:type="dxa" w:w="140"/>
              <w:bottom w:type="dxa" w:w="120"/>
              <w:right w:type="dxa" w:w="140"/>
            </w:tcMar>
          </w:tcPr>
          <w:p>
            <w:r>
              <w:rPr>
                <w:rFonts w:ascii="Arial" w:cs="Arial" w:eastAsia="Arial" w:hAnsi="Arial"/>
                <w:sz w:val="20"/>
                <w:szCs w:val="20"/>
              </w:rPr>
              <w:t xml:space="preserve"> </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19"/>
                <w:szCs w:val="19"/>
              </w:rPr>
              <w:t xml:space="preserve">Confident (70–90)</w:t>
            </w:r>
          </w:p>
          <w:p>
            <w:r>
              <w:rPr>
                <w:rFonts w:ascii="Courier New" w:cs="Courier New" w:eastAsia="Courier New" w:hAnsi="Courier New"/>
                <w:color w:val="666666"/>
                <w:sz w:val="17"/>
                <w:szCs w:val="17"/>
              </w:rPr>
              <w:t xml:space="preserve">#65CBF3</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Generally accurate predicted regions</w:t>
            </w:r>
          </w:p>
        </w:tc>
      </w:tr>
      <w:tr>
        <w:tc>
          <w:tcPr>
            <w:tcW w:type="dxa" w:w="1200"/>
            <w:tcBorders>
              <w:top w:val="single" w:color="CCCCCC" w:sz="1"/>
              <w:left w:val="single" w:color="CCCCCC" w:sz="1"/>
              <w:bottom w:val="single" w:color="CCCCCC" w:sz="1"/>
              <w:right w:val="single" w:color="CCCCCC" w:sz="1"/>
            </w:tcBorders>
            <w:shd w:fill="FFDB13" w:val="clear"/>
            <w:tcMar>
              <w:top w:type="dxa" w:w="120"/>
              <w:left w:type="dxa" w:w="140"/>
              <w:bottom w:type="dxa" w:w="120"/>
              <w:right w:type="dxa" w:w="140"/>
            </w:tcMar>
          </w:tcPr>
          <w:p>
            <w:r>
              <w:rPr>
                <w:rFonts w:ascii="Arial" w:cs="Arial" w:eastAsia="Arial" w:hAnsi="Arial"/>
                <w:sz w:val="20"/>
                <w:szCs w:val="20"/>
              </w:rPr>
              <w:t xml:space="preserve"> </w:t>
            </w:r>
          </w:p>
        </w:tc>
        <w:tc>
          <w:tcPr>
            <w:tcW w:type="dxa" w:w="20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bCs/>
                <w:color w:val="1A1A2E"/>
                <w:sz w:val="19"/>
                <w:szCs w:val="19"/>
              </w:rPr>
              <w:t xml:space="preserve">Low (50–70)</w:t>
            </w:r>
          </w:p>
          <w:p>
            <w:r>
              <w:rPr>
                <w:rFonts w:ascii="Courier New" w:cs="Courier New" w:eastAsia="Courier New" w:hAnsi="Courier New"/>
                <w:color w:val="666666"/>
                <w:sz w:val="17"/>
                <w:szCs w:val="17"/>
              </w:rPr>
              <w:t xml:space="preserve">#FFDB13</w:t>
            </w:r>
          </w:p>
        </w:tc>
        <w:tc>
          <w:tcPr>
            <w:tcW w:type="dxa" w:w="61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color w:val="1A1A2E"/>
                <w:sz w:val="19"/>
                <w:szCs w:val="19"/>
              </w:rPr>
              <w:t xml:space="preserve">Predicted with low confidence — treat with caution</w:t>
            </w:r>
          </w:p>
        </w:tc>
      </w:tr>
      <w:tr>
        <w:tc>
          <w:tcPr>
            <w:tcW w:type="dxa" w:w="1200"/>
            <w:tcBorders>
              <w:top w:val="single" w:color="CCCCCC" w:sz="1"/>
              <w:left w:val="single" w:color="CCCCCC" w:sz="1"/>
              <w:bottom w:val="single" w:color="CCCCCC" w:sz="1"/>
              <w:right w:val="single" w:color="CCCCCC" w:sz="1"/>
            </w:tcBorders>
            <w:shd w:fill="FF7D45" w:val="clear"/>
            <w:tcMar>
              <w:top w:type="dxa" w:w="120"/>
              <w:left w:type="dxa" w:w="140"/>
              <w:bottom w:type="dxa" w:w="120"/>
              <w:right w:type="dxa" w:w="140"/>
            </w:tcMar>
          </w:tcPr>
          <w:p>
            <w:r>
              <w:rPr>
                <w:rFonts w:ascii="Arial" w:cs="Arial" w:eastAsia="Arial" w:hAnsi="Arial"/>
                <w:sz w:val="20"/>
                <w:szCs w:val="20"/>
              </w:rPr>
              <w:t xml:space="preserve"> </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19"/>
                <w:szCs w:val="19"/>
              </w:rPr>
              <w:t xml:space="preserve">Very Low (&lt;50)</w:t>
            </w:r>
          </w:p>
          <w:p>
            <w:r>
              <w:rPr>
                <w:rFonts w:ascii="Courier New" w:cs="Courier New" w:eastAsia="Courier New" w:hAnsi="Courier New"/>
                <w:color w:val="666666"/>
                <w:sz w:val="17"/>
                <w:szCs w:val="17"/>
              </w:rPr>
              <w:t xml:space="preserve">#FF7D45</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Likely disordered or unreliable — not suitable for structural interpretation</w:t>
            </w:r>
          </w:p>
        </w:tc>
      </w:tr>
    </w:tbl>
    <w:p>
      <w:pPr>
        <w:spacing w:before="80" w:after="80"/>
      </w:pPr>
      <w:r>
        <w:t xml:space="preserve"/>
      </w:r>
    </w:p>
    <w:p>
      <w:pPr>
        <w:pStyle w:val="Heading3"/>
        <w:spacing w:before="200" w:after="80"/>
      </w:pPr>
      <w:r>
        <w:rPr>
          <w:rFonts w:ascii="Arial" w:cs="Arial" w:eastAsia="Arial" w:hAnsi="Arial"/>
          <w:b/>
          <w:bCs/>
          <w:color w:val="0070C0"/>
          <w:sz w:val="24"/>
          <w:szCs w:val="24"/>
        </w:rPr>
        <w:t xml:space="preserve">5.2.2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000"/>
        <w:gridCol w:w="1600"/>
        <w:gridCol w:w="2960"/>
      </w:tblGrid>
      <w:tr>
        <w:tc>
          <w:tcPr>
            <w:tcW w:type="dxa" w:w="20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Role</w:t>
            </w:r>
          </w:p>
        </w:tc>
        <w:tc>
          <w:tcPr>
            <w:tcW w:type="dxa" w:w="18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Typeface</w:t>
            </w:r>
          </w:p>
        </w:tc>
        <w:tc>
          <w:tcPr>
            <w:tcW w:type="dxa" w:w="10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Size</w:t>
            </w:r>
          </w:p>
        </w:tc>
        <w:tc>
          <w:tcPr>
            <w:tcW w:type="dxa" w:w="16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Weight</w:t>
            </w:r>
          </w:p>
        </w:tc>
        <w:tc>
          <w:tcPr>
            <w:tcW w:type="dxa" w:w="29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Usage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Display Title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Inter</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48–72px</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700 Bold</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Landing page hero text, major feature titles</w:t>
            </w:r>
          </w:p>
        </w:tc>
      </w:tr>
      <w:tr>
        <w:tc>
          <w:tcPr>
            <w:tcW w:type="dxa" w:w="20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Page Title (H1)</w:t>
            </w:r>
          </w:p>
        </w:tc>
        <w:tc>
          <w:tcPr>
            <w:tcW w:type="dxa" w:w="18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Inter</w:t>
            </w:r>
          </w:p>
        </w:tc>
        <w:tc>
          <w:tcPr>
            <w:tcW w:type="dxa" w:w="10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32px</w:t>
            </w:r>
          </w:p>
        </w:tc>
        <w:tc>
          <w:tcPr>
            <w:tcW w:type="dxa" w:w="1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700 Bold</w:t>
            </w:r>
          </w:p>
        </w:tc>
        <w:tc>
          <w:tcPr>
            <w:tcW w:type="dxa" w:w="29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Chapter and section titles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Section Header (H2)</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Inter</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24px</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600 SemiBold</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Major subsection headers</w:t>
            </w:r>
          </w:p>
        </w:tc>
      </w:tr>
      <w:tr>
        <w:tc>
          <w:tcPr>
            <w:tcW w:type="dxa" w:w="20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Sub-Header (H3)</w:t>
            </w:r>
          </w:p>
        </w:tc>
        <w:tc>
          <w:tcPr>
            <w:tcW w:type="dxa" w:w="18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Inter</w:t>
            </w:r>
          </w:p>
        </w:tc>
        <w:tc>
          <w:tcPr>
            <w:tcW w:type="dxa" w:w="10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20px</w:t>
            </w:r>
          </w:p>
        </w:tc>
        <w:tc>
          <w:tcPr>
            <w:tcW w:type="dxa" w:w="1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600 SemiBold</w:t>
            </w:r>
          </w:p>
        </w:tc>
        <w:tc>
          <w:tcPr>
            <w:tcW w:type="dxa" w:w="29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Component group headers, panel titles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Label / H4</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Inter</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16px</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600 SemiBold</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Field labels, card headers</w:t>
            </w:r>
          </w:p>
        </w:tc>
      </w:tr>
      <w:tr>
        <w:tc>
          <w:tcPr>
            <w:tcW w:type="dxa" w:w="20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Body Text</w:t>
            </w:r>
          </w:p>
        </w:tc>
        <w:tc>
          <w:tcPr>
            <w:tcW w:type="dxa" w:w="18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Inter</w:t>
            </w:r>
          </w:p>
        </w:tc>
        <w:tc>
          <w:tcPr>
            <w:tcW w:type="dxa" w:w="10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15px</w:t>
            </w:r>
          </w:p>
        </w:tc>
        <w:tc>
          <w:tcPr>
            <w:tcW w:type="dxa" w:w="1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400 Regular</w:t>
            </w:r>
          </w:p>
        </w:tc>
        <w:tc>
          <w:tcPr>
            <w:tcW w:type="dxa" w:w="29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Paragraphs, descriptions, explanations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Body Emphasis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Inter</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15px</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500 Medium</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Inline emphasis within body copy</w:t>
            </w:r>
          </w:p>
        </w:tc>
      </w:tr>
      <w:tr>
        <w:tc>
          <w:tcPr>
            <w:tcW w:type="dxa" w:w="20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Caption / Meta</w:t>
            </w:r>
          </w:p>
        </w:tc>
        <w:tc>
          <w:tcPr>
            <w:tcW w:type="dxa" w:w="18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Inter</w:t>
            </w:r>
          </w:p>
        </w:tc>
        <w:tc>
          <w:tcPr>
            <w:tcW w:type="dxa" w:w="10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13px</w:t>
            </w:r>
          </w:p>
        </w:tc>
        <w:tc>
          <w:tcPr>
            <w:tcW w:type="dxa" w:w="1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400 Regular</w:t>
            </w:r>
          </w:p>
        </w:tc>
        <w:tc>
          <w:tcPr>
            <w:tcW w:type="dxa" w:w="29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Timestamps, database references, footnotes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Data / Monospace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JetBrains Mono</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14px</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400 Regular</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Sequences, UniProt IDs, PDB accessions, confidence values</w:t>
            </w:r>
          </w:p>
        </w:tc>
      </w:tr>
      <w:tr>
        <w:tc>
          <w:tcPr>
            <w:tcW w:type="dxa" w:w="20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Score Display</w:t>
            </w:r>
          </w:p>
        </w:tc>
        <w:tc>
          <w:tcPr>
            <w:tcW w:type="dxa" w:w="18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JetBrains Mono</w:t>
            </w:r>
          </w:p>
        </w:tc>
        <w:tc>
          <w:tcPr>
            <w:tcW w:type="dxa" w:w="10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18px</w:t>
            </w:r>
          </w:p>
        </w:tc>
        <w:tc>
          <w:tcPr>
            <w:tcW w:type="dxa" w:w="1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700 Bold</w:t>
            </w:r>
          </w:p>
        </w:tc>
        <w:tc>
          <w:tcPr>
            <w:tcW w:type="dxa" w:w="29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Confidence scores, RMSD values, Fmax scores — requires precision reading</w:t>
            </w:r>
          </w:p>
        </w:tc>
      </w:tr>
    </w:tbl>
    <w:p>
      <w:pPr>
        <w:spacing w:before="80" w:after="80"/>
      </w:pPr>
      <w:r>
        <w:t xml:space="preserve"/>
      </w:r>
    </w:p>
    <w:p>
      <w:pPr>
        <w:spacing w:before="60" w:after="100"/>
      </w:pPr>
      <w:r>
        <w:rPr>
          <w:rFonts w:ascii="Arial" w:cs="Arial" w:eastAsia="Arial" w:hAnsi="Arial"/>
          <w:color w:val="1A1A2E"/>
          <w:sz w:val="22"/>
          <w:szCs w:val="22"/>
        </w:rPr>
        <w:t xml:space="preserve">Inter is chosen as the primary typeface for its exceptional legibility at small sizes, its open-source licensing, and its wide character set including all scientific notation required. JetBrains Mono is used exclusively for technical data strings where character-level precision matters — UniProt IDs must never render ambiguously.</w:t>
      </w:r>
    </w:p>
    <w:p>
      <w:pPr>
        <w:spacing w:before="80" w:after="80"/>
      </w:pPr>
      <w:r>
        <w:t xml:space="preserve"/>
      </w:r>
    </w:p>
    <w:p>
      <w:pPr>
        <w:pStyle w:val="Heading3"/>
        <w:spacing w:before="200" w:after="80"/>
      </w:pPr>
      <w:r>
        <w:rPr>
          <w:rFonts w:ascii="Arial" w:cs="Arial" w:eastAsia="Arial" w:hAnsi="Arial"/>
          <w:b/>
          <w:bCs/>
          <w:color w:val="0070C0"/>
          <w:sz w:val="24"/>
          <w:szCs w:val="24"/>
        </w:rPr>
        <w:t xml:space="preserve">5.2.3  Spacing &amp; Layout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c>
          <w:tcPr>
            <w:tcW w:type="dxa" w:w="18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Token</w:t>
            </w:r>
          </w:p>
        </w:tc>
        <w:tc>
          <w:tcPr>
            <w:tcW w:type="dxa" w:w="14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Value</w:t>
            </w:r>
          </w:p>
        </w:tc>
        <w:tc>
          <w:tcPr>
            <w:tcW w:type="dxa" w:w="61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Usage</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--space-1</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4px</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Micro gaps — icon-to-label, tight inline spacing</w:t>
            </w:r>
          </w:p>
        </w:tc>
      </w:tr>
      <w:tr>
        <w:tc>
          <w:tcPr>
            <w:tcW w:type="dxa" w:w="18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--space-2</w:t>
            </w:r>
          </w:p>
        </w:tc>
        <w:tc>
          <w:tcPr>
            <w:tcW w:type="dxa" w:w="14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8px</w:t>
            </w:r>
          </w:p>
        </w:tc>
        <w:tc>
          <w:tcPr>
            <w:tcW w:type="dxa" w:w="61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Small gaps — within form fields, compact list items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--space-3</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12px</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Default component internal padding</w:t>
            </w:r>
          </w:p>
        </w:tc>
      </w:tr>
      <w:tr>
        <w:tc>
          <w:tcPr>
            <w:tcW w:type="dxa" w:w="18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--space-4</w:t>
            </w:r>
          </w:p>
        </w:tc>
        <w:tc>
          <w:tcPr>
            <w:tcW w:type="dxa" w:w="14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16px</w:t>
            </w:r>
          </w:p>
        </w:tc>
        <w:tc>
          <w:tcPr>
            <w:tcW w:type="dxa" w:w="61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Standard gap between related elements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--space-6</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24px</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Section internal spacing, card padding</w:t>
            </w:r>
          </w:p>
        </w:tc>
      </w:tr>
      <w:tr>
        <w:tc>
          <w:tcPr>
            <w:tcW w:type="dxa" w:w="18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--space-8</w:t>
            </w:r>
          </w:p>
        </w:tc>
        <w:tc>
          <w:tcPr>
            <w:tcW w:type="dxa" w:w="14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32px</w:t>
            </w:r>
          </w:p>
        </w:tc>
        <w:tc>
          <w:tcPr>
            <w:tcW w:type="dxa" w:w="61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Gap between major sections within a page</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--space-12</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48px</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Gap between page-level sections</w:t>
            </w:r>
          </w:p>
        </w:tc>
      </w:tr>
      <w:tr>
        <w:tc>
          <w:tcPr>
            <w:tcW w:type="dxa" w:w="18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--space-16</w:t>
            </w:r>
          </w:p>
        </w:tc>
        <w:tc>
          <w:tcPr>
            <w:tcW w:type="dxa" w:w="14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64px</w:t>
            </w:r>
          </w:p>
        </w:tc>
        <w:tc>
          <w:tcPr>
            <w:tcW w:type="dxa" w:w="61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Hero section vertical padding</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--radius-sm</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4px</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Button corners, small badge corners</w:t>
            </w:r>
          </w:p>
        </w:tc>
      </w:tr>
      <w:tr>
        <w:tc>
          <w:tcPr>
            <w:tcW w:type="dxa" w:w="18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--radius-md</w:t>
            </w:r>
          </w:p>
        </w:tc>
        <w:tc>
          <w:tcPr>
            <w:tcW w:type="dxa" w:w="14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8px</w:t>
            </w:r>
          </w:p>
        </w:tc>
        <w:tc>
          <w:tcPr>
            <w:tcW w:type="dxa" w:w="61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Card corners, panel corners, input fields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--radius-lg</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12px</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Modal corners, large card corners</w:t>
            </w:r>
          </w:p>
        </w:tc>
      </w:tr>
      <w:tr>
        <w:tc>
          <w:tcPr>
            <w:tcW w:type="dxa" w:w="18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--shadow-sm</w:t>
            </w:r>
          </w:p>
        </w:tc>
        <w:tc>
          <w:tcPr>
            <w:tcW w:type="dxa" w:w="14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0 1px 3px rgba(0,0,0,0.08)</w:t>
            </w:r>
          </w:p>
        </w:tc>
        <w:tc>
          <w:tcPr>
            <w:tcW w:type="dxa" w:w="61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Resting card elevation</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--shadow-md</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0 4px 12px rgba(0,0,0,0.12)</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Hover card elevation, active panel</w:t>
            </w:r>
          </w:p>
        </w:tc>
      </w:tr>
      <w:tr>
        <w:tc>
          <w:tcPr>
            <w:tcW w:type="dxa" w:w="18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--shadow-lg</w:t>
            </w:r>
          </w:p>
        </w:tc>
        <w:tc>
          <w:tcPr>
            <w:tcW w:type="dxa" w:w="14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0 8px 32px rgba(0,0,0,0.16)</w:t>
            </w:r>
          </w:p>
        </w:tc>
        <w:tc>
          <w:tcPr>
            <w:tcW w:type="dxa" w:w="61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Modal elevation, floating toolbar</w:t>
            </w:r>
          </w:p>
        </w:tc>
      </w:tr>
    </w:tbl>
    <w:p>
      <w:pPr>
        <w:spacing w:before="80" w:after="80"/>
      </w:pPr>
      <w:r>
        <w:t xml:space="preserve"/>
      </w:r>
    </w:p>
    <w:p>
      <w:pPr>
        <w:spacing w:before="160" w:after="60"/>
      </w:pPr>
      <w:r>
        <w:rPr>
          <w:rFonts w:ascii="Arial" w:cs="Arial" w:eastAsia="Arial" w:hAnsi="Arial"/>
          <w:b/>
          <w:bCs/>
          <w:color w:val="1A1A2E"/>
          <w:sz w:val="22"/>
          <w:szCs w:val="22"/>
        </w:rPr>
        <w:t xml:space="preserve">Layout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200"/>
        <w:gridCol w:w="1200"/>
        <w:gridCol w:w="3160"/>
      </w:tblGrid>
      <w:tr>
        <w:tc>
          <w:tcPr>
            <w:tcW w:type="dxa" w:w="22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Breakpoint</w:t>
            </w:r>
          </w:p>
        </w:tc>
        <w:tc>
          <w:tcPr>
            <w:tcW w:type="dxa" w:w="16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Grid Columns</w:t>
            </w:r>
          </w:p>
        </w:tc>
        <w:tc>
          <w:tcPr>
            <w:tcW w:type="dxa" w:w="12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Gutter</w:t>
            </w:r>
          </w:p>
        </w:tc>
        <w:tc>
          <w:tcPr>
            <w:tcW w:type="dxa" w:w="12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Margin</w:t>
            </w:r>
          </w:p>
        </w:tc>
        <w:tc>
          <w:tcPr>
            <w:tcW w:type="dxa" w:w="31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Mobile (&lt; 768px)</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4 columns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16px</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16px</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Visualization tools show simplified 2D fallback</w:t>
            </w:r>
          </w:p>
        </w:tc>
      </w:tr>
      <w:tr>
        <w:tc>
          <w:tcPr>
            <w:tcW w:type="dxa" w:w="2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Tablet (768–1199px)</w:t>
            </w:r>
          </w:p>
        </w:tc>
        <w:tc>
          <w:tcPr>
            <w:tcW w:type="dxa" w:w="1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8 columns</w:t>
            </w:r>
          </w:p>
        </w:tc>
        <w:tc>
          <w:tcPr>
            <w:tcW w:type="dxa" w:w="1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24px</w:t>
            </w:r>
          </w:p>
        </w:tc>
        <w:tc>
          <w:tcPr>
            <w:tcW w:type="dxa" w:w="1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24px</w:t>
            </w:r>
          </w:p>
        </w:tc>
        <w:tc>
          <w:tcPr>
            <w:tcW w:type="dxa" w:w="31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Sidebar panels collapse to bottom drawers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Desktop (1200–1599px)</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12 columns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24px</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32px</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Standard layout — main target viewport</w:t>
            </w:r>
          </w:p>
        </w:tc>
      </w:tr>
      <w:tr>
        <w:tc>
          <w:tcPr>
            <w:tcW w:type="dxa" w:w="2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Wide (1600px+)</w:t>
            </w:r>
          </w:p>
        </w:tc>
        <w:tc>
          <w:tcPr>
            <w:tcW w:type="dxa" w:w="1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12 columns (max 1440px wide)</w:t>
            </w:r>
          </w:p>
        </w:tc>
        <w:tc>
          <w:tcPr>
            <w:tcW w:type="dxa" w:w="1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32px</w:t>
            </w:r>
          </w:p>
        </w:tc>
        <w:tc>
          <w:tcPr>
            <w:tcW w:type="dxa" w:w="1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Auto</w:t>
            </w:r>
          </w:p>
        </w:tc>
        <w:tc>
          <w:tcPr>
            <w:tcW w:type="dxa" w:w="31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Dashboard max-width capped at 1440px, centered</w:t>
            </w:r>
          </w:p>
        </w:tc>
      </w:tr>
    </w:tbl>
    <w:p>
      <w:pPr>
        <w:spacing w:before="80" w:after="80"/>
      </w:pPr>
      <w:r>
        <w:t xml:space="preserve"/>
      </w:r>
    </w:p>
    <w:p>
      <w:pPr>
        <w:pStyle w:val="Heading3"/>
        <w:spacing w:before="200" w:after="80"/>
      </w:pPr>
      <w:r>
        <w:rPr>
          <w:rFonts w:ascii="Arial" w:cs="Arial" w:eastAsia="Arial" w:hAnsi="Arial"/>
          <w:b/>
          <w:bCs/>
          <w:color w:val="0070C0"/>
          <w:sz w:val="24"/>
          <w:szCs w:val="24"/>
        </w:rPr>
        <w:t xml:space="preserve">5.2.4  Iconography &amp; Visual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560"/>
      </w:tblGrid>
      <w:tr>
        <w:tc>
          <w:tcPr>
            <w:tcW w:type="dxa" w:w="22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Icon Set</w:t>
            </w:r>
          </w:p>
        </w:tc>
        <w:tc>
          <w:tcPr>
            <w:tcW w:type="dxa" w:w="46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Usage</w:t>
            </w:r>
          </w:p>
        </w:tc>
        <w:tc>
          <w:tcPr>
            <w:tcW w:type="dxa" w:w="25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Source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Phosphor Icons</w:t>
            </w:r>
          </w:p>
        </w:tc>
        <w:tc>
          <w:tcPr>
            <w:tcW w:type="dxa" w:w="4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Primary icon set — navigation, actions, status indicators</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phosphoricons.com — MIT licensed</w:t>
            </w:r>
          </w:p>
        </w:tc>
      </w:tr>
      <w:tr>
        <w:tc>
          <w:tcPr>
            <w:tcW w:type="dxa" w:w="2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Custom Bioinformatics Icons</w:t>
            </w:r>
          </w:p>
        </w:tc>
        <w:tc>
          <w:tcPr>
            <w:tcW w:type="dxa" w:w="4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Protein helix, DNA strand, molecule node, AlphaFold badge</w:t>
            </w:r>
          </w:p>
        </w:tc>
        <w:tc>
          <w:tcPr>
            <w:tcW w:type="dxa" w:w="25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Designed in Figma; exported as SVG</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Evidence Level Badges</w:t>
            </w:r>
          </w:p>
        </w:tc>
        <w:tc>
          <w:tcPr>
            <w:tcW w:type="dxa" w:w="4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EXP / IDA / IMP / etc. — colored pill badges for GO evidence codes</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Custom — color-coded by reliability tier</w:t>
            </w:r>
          </w:p>
        </w:tc>
      </w:tr>
      <w:tr>
        <w:tc>
          <w:tcPr>
            <w:tcW w:type="dxa" w:w="2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Confidence Meter</w:t>
            </w:r>
          </w:p>
        </w:tc>
        <w:tc>
          <w:tcPr>
            <w:tcW w:type="dxa" w:w="4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Horizontal progress bar with color-coded fill (green/amber/red)</w:t>
            </w:r>
          </w:p>
        </w:tc>
        <w:tc>
          <w:tcPr>
            <w:tcW w:type="dxa" w:w="25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Custom React component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pLDDT Color Scale</w:t>
            </w:r>
          </w:p>
        </w:tc>
        <w:tc>
          <w:tcPr>
            <w:tcW w:type="dxa" w:w="4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Color-coded residue confidence in all structure views</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Matches AlphaFold DB convention exactly</w:t>
            </w:r>
          </w:p>
        </w:tc>
      </w:tr>
    </w:tbl>
    <w:p>
      <w:pPr>
        <w:spacing w:before="80" w:after="80"/>
      </w:pPr>
      <w:r>
        <w:t xml:space="preserve"/>
      </w:r>
    </w:p>
    <w:p>
      <w:pPr>
        <w:pStyle w:val="Heading2"/>
        <w:spacing w:before="280" w:after="120"/>
      </w:pPr>
      <w:r>
        <w:rPr>
          <w:rFonts w:ascii="Arial" w:cs="Arial" w:eastAsia="Arial" w:hAnsi="Arial"/>
          <w:b/>
          <w:bCs/>
          <w:color w:val="2E75B6"/>
          <w:sz w:val="28"/>
          <w:szCs w:val="28"/>
        </w:rPr>
        <w:t xml:space="preserve">5.3  Component Library</w:t>
      </w:r>
    </w:p>
    <w:p>
      <w:pPr>
        <w:spacing w:before="60" w:after="100"/>
      </w:pPr>
      <w:r>
        <w:rPr>
          <w:rFonts w:ascii="Arial" w:cs="Arial" w:eastAsia="Arial" w:hAnsi="Arial"/>
          <w:color w:val="1A1A2E"/>
          <w:sz w:val="22"/>
          <w:szCs w:val="22"/>
        </w:rPr>
        <w:t xml:space="preserve">ProtMind's component library is built in React with TypeScript and styled using TailwindCSS utility classes. Every component is documented with its props, variants, states, and accessibility requirements.</w:t>
      </w:r>
    </w:p>
    <w:p>
      <w:pPr>
        <w:spacing w:before="80" w:after="80"/>
      </w:pPr>
      <w:r>
        <w:t xml:space="preserve"/>
      </w:r>
    </w:p>
    <w:p>
      <w:pPr>
        <w:pStyle w:val="Heading3"/>
        <w:spacing w:before="200" w:after="80"/>
      </w:pPr>
      <w:r>
        <w:rPr>
          <w:rFonts w:ascii="Arial" w:cs="Arial" w:eastAsia="Arial" w:hAnsi="Arial"/>
          <w:b/>
          <w:bCs/>
          <w:color w:val="0070C0"/>
          <w:sz w:val="24"/>
          <w:szCs w:val="24"/>
        </w:rPr>
        <w:t xml:space="preserve">5.3.1  Core Interactive Components</w:t>
      </w:r>
    </w:p>
    <w:p>
      <w:pPr>
        <w:spacing w:before="80" w:after="80"/>
      </w:pPr>
      <w:r>
        <w:t xml:space="preserve"/>
      </w:r>
    </w:p>
    <w:p>
      <w:pPr>
        <w:spacing w:before="140" w:after="60"/>
      </w:pPr>
      <w:r>
        <w:rPr>
          <w:rFonts w:ascii="Arial" w:cs="Arial" w:eastAsia="Arial" w:hAnsi="Arial"/>
          <w:b/>
          <w:bCs/>
          <w:color w:val="1B4F8A"/>
          <w:sz w:val="22"/>
          <w:szCs w:val="22"/>
        </w:rPr>
        <w:t xml:space="preserve">◆ SearchBar</w:t>
      </w:r>
      <w:r>
        <w:rPr>
          <w:rFonts w:ascii="Arial" w:cs="Arial" w:eastAsia="Arial" w:hAnsi="Arial"/>
          <w:color w:val="666666"/>
          <w:sz w:val="21"/>
          <w:szCs w:val="21"/>
        </w:rPr>
        <w:t xml:space="preserve">  — The central interaction element — accepts UniProt IDs, sequences, or natural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3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9"/>
                <w:szCs w:val="19"/>
              </w:rPr>
              <w:t xml:space="preserve">Value / Spec</w:t>
            </w:r>
          </w:p>
        </w:tc>
        <w:tc>
          <w:tcPr>
            <w:tcW w:type="dxa" w:w="37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Courier New" w:cs="Courier New" w:eastAsia="Courier New" w:hAnsi="Courier New"/>
                <w:b/>
                <w:bCs/>
                <w:color w:val="1A1A2E"/>
                <w:sz w:val="18"/>
                <w:szCs w:val="18"/>
              </w:rPr>
              <w:t xml:space="preserve">variant</w:t>
            </w:r>
          </w:p>
        </w:tc>
        <w:tc>
          <w:tcPr>
            <w:tcW w:type="dxa" w:w="3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1A1A2E"/>
                <w:sz w:val="19"/>
                <w:szCs w:val="19"/>
              </w:rPr>
              <w:t xml:space="preserve">'hero' | 'compact'</w:t>
            </w:r>
          </w:p>
        </w:tc>
        <w:tc>
          <w:tcPr>
            <w:tcW w:type="dxa" w:w="3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i/>
                <w:iCs/>
                <w:color w:val="666666"/>
                <w:sz w:val="19"/>
                <w:szCs w:val="19"/>
              </w:rPr>
              <w:t xml:space="preserve">hero: landing page large format; compact: embedded in tool panels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A1A2E"/>
                <w:sz w:val="18"/>
                <w:szCs w:val="18"/>
              </w:rPr>
              <w:t xml:space="preserve">placeholder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string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66666"/>
                <w:sz w:val="19"/>
                <w:szCs w:val="19"/>
              </w:rPr>
              <w:t xml:space="preserve">Adapts per context: 'Enter UniProt ID, sequence, or ask...'</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Courier New" w:cs="Courier New" w:eastAsia="Courier New" w:hAnsi="Courier New"/>
                <w:b/>
                <w:bCs/>
                <w:color w:val="1A1A2E"/>
                <w:sz w:val="18"/>
                <w:szCs w:val="18"/>
              </w:rPr>
              <w:t xml:space="preserve">onSearch(query)</w:t>
            </w:r>
          </w:p>
        </w:tc>
        <w:tc>
          <w:tcPr>
            <w:tcW w:type="dxa" w:w="3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1A1A2E"/>
                <w:sz w:val="19"/>
                <w:szCs w:val="19"/>
              </w:rPr>
              <w:t xml:space="preserve">function</w:t>
            </w:r>
          </w:p>
        </w:tc>
        <w:tc>
          <w:tcPr>
            <w:tcW w:type="dxa" w:w="3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i/>
                <w:iCs/>
                <w:color w:val="666666"/>
                <w:sz w:val="19"/>
                <w:szCs w:val="19"/>
              </w:rPr>
              <w:t xml:space="preserve">Called on Enter or search button click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A1A2E"/>
                <w:sz w:val="18"/>
                <w:szCs w:val="18"/>
              </w:rPr>
              <w:t xml:space="preserve">isLoading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boolean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66666"/>
                <w:sz w:val="19"/>
                <w:szCs w:val="19"/>
              </w:rPr>
              <w:t xml:space="preserve">Shows animated spinner inside input during fetch</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Courier New" w:cs="Courier New" w:eastAsia="Courier New" w:hAnsi="Courier New"/>
                <w:b/>
                <w:bCs/>
                <w:color w:val="1A1A2E"/>
                <w:sz w:val="18"/>
                <w:szCs w:val="18"/>
              </w:rPr>
              <w:t xml:space="preserve">suggestions</w:t>
            </w:r>
          </w:p>
        </w:tc>
        <w:tc>
          <w:tcPr>
            <w:tcW w:type="dxa" w:w="3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1A1A2E"/>
                <w:sz w:val="19"/>
                <w:szCs w:val="19"/>
              </w:rPr>
              <w:t xml:space="preserve">string[]</w:t>
            </w:r>
          </w:p>
        </w:tc>
        <w:tc>
          <w:tcPr>
            <w:tcW w:type="dxa" w:w="3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i/>
                <w:iCs/>
                <w:color w:val="666666"/>
                <w:sz w:val="19"/>
                <w:szCs w:val="19"/>
              </w:rPr>
              <w:t xml:space="preserve">Inline autocomplete from UniProt ID prefix lookup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A1A2E"/>
                <w:sz w:val="18"/>
                <w:szCs w:val="18"/>
              </w:rPr>
              <w:t xml:space="preserve">a11y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role='searchbox', aria-label, keyboard nav</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66666"/>
                <w:sz w:val="19"/>
                <w:szCs w:val="19"/>
              </w:rPr>
              <w:t xml:space="preserve">Full keyboard support; escape clears; up/down for suggestions</w:t>
            </w:r>
          </w:p>
        </w:tc>
      </w:tr>
    </w:tbl>
    <w:p>
      <w:pPr>
        <w:spacing w:before="80" w:after="80"/>
      </w:pPr>
      <w:r>
        <w:t xml:space="preserve"/>
      </w:r>
    </w:p>
    <w:p>
      <w:pPr>
        <w:spacing w:before="140" w:after="60"/>
      </w:pPr>
      <w:r>
        <w:rPr>
          <w:rFonts w:ascii="Arial" w:cs="Arial" w:eastAsia="Arial" w:hAnsi="Arial"/>
          <w:b/>
          <w:bCs/>
          <w:color w:val="1B4F8A"/>
          <w:sz w:val="22"/>
          <w:szCs w:val="22"/>
        </w:rPr>
        <w:t xml:space="preserve">◆ ConfidenceScore</w:t>
      </w:r>
      <w:r>
        <w:rPr>
          <w:rFonts w:ascii="Arial" w:cs="Arial" w:eastAsia="Arial" w:hAnsi="Arial"/>
          <w:color w:val="666666"/>
          <w:sz w:val="21"/>
          <w:szCs w:val="21"/>
        </w:rPr>
        <w:t xml:space="preserve">  — Displays a model confidence value with color coding and context label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3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9"/>
                <w:szCs w:val="19"/>
              </w:rPr>
              <w:t xml:space="preserve">Value / Spec</w:t>
            </w:r>
          </w:p>
        </w:tc>
        <w:tc>
          <w:tcPr>
            <w:tcW w:type="dxa" w:w="37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Courier New" w:cs="Courier New" w:eastAsia="Courier New" w:hAnsi="Courier New"/>
                <w:b/>
                <w:bCs/>
                <w:color w:val="1A1A2E"/>
                <w:sz w:val="18"/>
                <w:szCs w:val="18"/>
              </w:rPr>
              <w:t xml:space="preserve">value</w:t>
            </w:r>
          </w:p>
        </w:tc>
        <w:tc>
          <w:tcPr>
            <w:tcW w:type="dxa" w:w="3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1A1A2E"/>
                <w:sz w:val="19"/>
                <w:szCs w:val="19"/>
              </w:rPr>
              <w:t xml:space="preserve">number (0–1)</w:t>
            </w:r>
          </w:p>
        </w:tc>
        <w:tc>
          <w:tcPr>
            <w:tcW w:type="dxa" w:w="3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i/>
                <w:iCs/>
                <w:color w:val="666666"/>
                <w:sz w:val="19"/>
                <w:szCs w:val="19"/>
              </w:rPr>
              <w:t xml:space="preserve">Raw confidence probability — rendered as percentage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A1A2E"/>
                <w:sz w:val="18"/>
                <w:szCs w:val="18"/>
              </w:rPr>
              <w:t xml:space="preserve">label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string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66666"/>
                <w:sz w:val="19"/>
                <w:szCs w:val="19"/>
              </w:rPr>
              <w:t xml:space="preserve">e.g. 'GO:0005515 — Protein binding'</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Courier New" w:cs="Courier New" w:eastAsia="Courier New" w:hAnsi="Courier New"/>
                <w:b/>
                <w:bCs/>
                <w:color w:val="1A1A2E"/>
                <w:sz w:val="18"/>
                <w:szCs w:val="18"/>
              </w:rPr>
              <w:t xml:space="preserve">size</w:t>
            </w:r>
          </w:p>
        </w:tc>
        <w:tc>
          <w:tcPr>
            <w:tcW w:type="dxa" w:w="3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1A1A2E"/>
                <w:sz w:val="19"/>
                <w:szCs w:val="19"/>
              </w:rPr>
              <w:t xml:space="preserve">'sm' | 'md' | 'lg'</w:t>
            </w:r>
          </w:p>
        </w:tc>
        <w:tc>
          <w:tcPr>
            <w:tcW w:type="dxa" w:w="3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i/>
                <w:iCs/>
                <w:color w:val="666666"/>
                <w:sz w:val="19"/>
                <w:szCs w:val="19"/>
              </w:rPr>
              <w:t xml:space="preserve">Controls text and bar sizing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A1A2E"/>
                <w:sz w:val="18"/>
                <w:szCs w:val="18"/>
              </w:rPr>
              <w:t xml:space="preserve">showBar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boolean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66666"/>
                <w:sz w:val="19"/>
                <w:szCs w:val="19"/>
              </w:rPr>
              <w:t xml:space="preserve">Whether to show horizontal fill bar beneath percentage</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Courier New" w:cs="Courier New" w:eastAsia="Courier New" w:hAnsi="Courier New"/>
                <w:b/>
                <w:bCs/>
                <w:color w:val="1A1A2E"/>
                <w:sz w:val="18"/>
                <w:szCs w:val="18"/>
              </w:rPr>
              <w:t xml:space="preserve">colorRule</w:t>
            </w:r>
          </w:p>
        </w:tc>
        <w:tc>
          <w:tcPr>
            <w:tcW w:type="dxa" w:w="3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1A1A2E"/>
                <w:sz w:val="19"/>
                <w:szCs w:val="19"/>
              </w:rPr>
              <w:t xml:space="preserve">'plddt' | 'prediction' | 'interaction'</w:t>
            </w:r>
          </w:p>
        </w:tc>
        <w:tc>
          <w:tcPr>
            <w:tcW w:type="dxa" w:w="3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i/>
                <w:iCs/>
                <w:color w:val="666666"/>
                <w:sz w:val="19"/>
                <w:szCs w:val="19"/>
              </w:rPr>
              <w:t xml:space="preserve">Determines color thresholds — pLDDT uses AlphaFold scale; prediction uses 80/50 thresholds</w:t>
            </w:r>
          </w:p>
        </w:tc>
      </w:tr>
    </w:tbl>
    <w:p>
      <w:pPr>
        <w:spacing w:before="80" w:after="80"/>
      </w:pPr>
      <w:r>
        <w:t xml:space="preserve"/>
      </w:r>
    </w:p>
    <w:p>
      <w:pPr>
        <w:spacing w:before="140" w:after="60"/>
      </w:pPr>
      <w:r>
        <w:rPr>
          <w:rFonts w:ascii="Arial" w:cs="Arial" w:eastAsia="Arial" w:hAnsi="Arial"/>
          <w:b/>
          <w:bCs/>
          <w:color w:val="1B4F8A"/>
          <w:sz w:val="22"/>
          <w:szCs w:val="22"/>
        </w:rPr>
        <w:t xml:space="preserve">◆ EvidenceBadge</w:t>
      </w:r>
      <w:r>
        <w:rPr>
          <w:rFonts w:ascii="Arial" w:cs="Arial" w:eastAsia="Arial" w:hAnsi="Arial"/>
          <w:color w:val="666666"/>
          <w:sz w:val="21"/>
          <w:szCs w:val="21"/>
        </w:rPr>
        <w:t xml:space="preserve">  — GO annotation evidence code pill badge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3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9"/>
                <w:szCs w:val="19"/>
              </w:rPr>
              <w:t xml:space="preserve">Value / Spec</w:t>
            </w:r>
          </w:p>
        </w:tc>
        <w:tc>
          <w:tcPr>
            <w:tcW w:type="dxa" w:w="37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Courier New" w:cs="Courier New" w:eastAsia="Courier New" w:hAnsi="Courier New"/>
                <w:b/>
                <w:bCs/>
                <w:color w:val="1A1A2E"/>
                <w:sz w:val="18"/>
                <w:szCs w:val="18"/>
              </w:rPr>
              <w:t xml:space="preserve">code</w:t>
            </w:r>
          </w:p>
        </w:tc>
        <w:tc>
          <w:tcPr>
            <w:tcW w:type="dxa" w:w="3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1A1A2E"/>
                <w:sz w:val="19"/>
                <w:szCs w:val="19"/>
              </w:rPr>
              <w:t xml:space="preserve">'EXP' | 'IDA' | 'IPI' | 'IMP' | 'IGI' | 'IEP'</w:t>
            </w:r>
          </w:p>
        </w:tc>
        <w:tc>
          <w:tcPr>
            <w:tcW w:type="dxa" w:w="3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i/>
                <w:iCs/>
                <w:color w:val="666666"/>
                <w:sz w:val="19"/>
                <w:szCs w:val="19"/>
              </w:rPr>
              <w:t xml:space="preserve">Evidence code from GOA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A1A2E"/>
                <w:sz w:val="18"/>
                <w:szCs w:val="18"/>
              </w:rPr>
              <w:t xml:space="preserve">tooltip</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string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66666"/>
                <w:sz w:val="19"/>
                <w:szCs w:val="19"/>
              </w:rPr>
              <w:t xml:space="preserve">Full evidence code description shown on hover</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Courier New" w:cs="Courier New" w:eastAsia="Courier New" w:hAnsi="Courier New"/>
                <w:b/>
                <w:bCs/>
                <w:color w:val="1A1A2E"/>
                <w:sz w:val="18"/>
                <w:szCs w:val="18"/>
              </w:rPr>
              <w:t xml:space="preserve">variant</w:t>
            </w:r>
          </w:p>
        </w:tc>
        <w:tc>
          <w:tcPr>
            <w:tcW w:type="dxa" w:w="3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1A1A2E"/>
                <w:sz w:val="19"/>
                <w:szCs w:val="19"/>
              </w:rPr>
              <w:t xml:space="preserve">'filled' | 'outlined'</w:t>
            </w:r>
          </w:p>
        </w:tc>
        <w:tc>
          <w:tcPr>
            <w:tcW w:type="dxa" w:w="3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i/>
                <w:iCs/>
                <w:color w:val="666666"/>
                <w:sz w:val="19"/>
                <w:szCs w:val="19"/>
              </w:rPr>
              <w:t xml:space="preserve">filled: strong emphasis; outlined: secondary context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A1A2E"/>
                <w:sz w:val="18"/>
                <w:szCs w:val="18"/>
              </w:rPr>
              <w:t xml:space="preserve">color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Auto from code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66666"/>
                <w:sz w:val="19"/>
                <w:szCs w:val="19"/>
              </w:rPr>
              <w:t xml:space="preserve">EXP=deep green; IDA=green; IPI=teal; IMP=blue; IGI=mid-blue; IEP=gray-blue</w:t>
            </w:r>
          </w:p>
        </w:tc>
      </w:tr>
    </w:tbl>
    <w:p>
      <w:pPr>
        <w:spacing w:before="80" w:after="80"/>
      </w:pPr>
      <w:r>
        <w:t xml:space="preserve"/>
      </w:r>
    </w:p>
    <w:p>
      <w:pPr>
        <w:spacing w:before="140" w:after="60"/>
      </w:pPr>
      <w:r>
        <w:rPr>
          <w:rFonts w:ascii="Arial" w:cs="Arial" w:eastAsia="Arial" w:hAnsi="Arial"/>
          <w:b/>
          <w:bCs/>
          <w:color w:val="1B4F8A"/>
          <w:sz w:val="22"/>
          <w:szCs w:val="22"/>
        </w:rPr>
        <w:t xml:space="preserve">◆ StructureViewer</w:t>
      </w:r>
      <w:r>
        <w:rPr>
          <w:rFonts w:ascii="Arial" w:cs="Arial" w:eastAsia="Arial" w:hAnsi="Arial"/>
          <w:color w:val="666666"/>
          <w:sz w:val="21"/>
          <w:szCs w:val="21"/>
        </w:rPr>
        <w:t xml:space="preserve">  — The core 3D rendering component wrapping Mol*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3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9"/>
                <w:szCs w:val="19"/>
              </w:rPr>
              <w:t xml:space="preserve">Value / Spec</w:t>
            </w:r>
          </w:p>
        </w:tc>
        <w:tc>
          <w:tcPr>
            <w:tcW w:type="dxa" w:w="37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Courier New" w:cs="Courier New" w:eastAsia="Courier New" w:hAnsi="Courier New"/>
                <w:b/>
                <w:bCs/>
                <w:color w:val="1A1A2E"/>
                <w:sz w:val="18"/>
                <w:szCs w:val="18"/>
              </w:rPr>
              <w:t xml:space="preserve">structureUrl</w:t>
            </w:r>
          </w:p>
        </w:tc>
        <w:tc>
          <w:tcPr>
            <w:tcW w:type="dxa" w:w="3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1A1A2E"/>
                <w:sz w:val="19"/>
                <w:szCs w:val="19"/>
              </w:rPr>
              <w:t xml:space="preserve">string (URL to PDB/mmCIF)</w:t>
            </w:r>
          </w:p>
        </w:tc>
        <w:tc>
          <w:tcPr>
            <w:tcW w:type="dxa" w:w="3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i/>
                <w:iCs/>
                <w:color w:val="666666"/>
                <w:sz w:val="19"/>
                <w:szCs w:val="19"/>
              </w:rPr>
              <w:t xml:space="preserve">Loaded on mount or when URL changes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A1A2E"/>
                <w:sz w:val="18"/>
                <w:szCs w:val="18"/>
              </w:rPr>
              <w:t xml:space="preserve">colorScheme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'plddt' | 'bfactor' | 'secondary' | 'residue'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66666"/>
                <w:sz w:val="19"/>
                <w:szCs w:val="19"/>
              </w:rPr>
              <w:t xml:space="preserve">Controls coloring mode in Mol*</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Courier New" w:cs="Courier New" w:eastAsia="Courier New" w:hAnsi="Courier New"/>
                <w:b/>
                <w:bCs/>
                <w:color w:val="1A1A2E"/>
                <w:sz w:val="18"/>
                <w:szCs w:val="18"/>
              </w:rPr>
              <w:t xml:space="preserve">representation</w:t>
            </w:r>
          </w:p>
        </w:tc>
        <w:tc>
          <w:tcPr>
            <w:tcW w:type="dxa" w:w="3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1A1A2E"/>
                <w:sz w:val="19"/>
                <w:szCs w:val="19"/>
              </w:rPr>
              <w:t xml:space="preserve">'cartoon' | 'surface' | 'ball-stick'</w:t>
            </w:r>
          </w:p>
        </w:tc>
        <w:tc>
          <w:tcPr>
            <w:tcW w:type="dxa" w:w="3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i/>
                <w:iCs/>
                <w:color w:val="666666"/>
                <w:sz w:val="19"/>
                <w:szCs w:val="19"/>
              </w:rPr>
              <w:t xml:space="preserve">Defaults to cartoon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A1A2E"/>
                <w:sz w:val="18"/>
                <w:szCs w:val="18"/>
              </w:rPr>
              <w:t xml:space="preserve">highlightedResidues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number[]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66666"/>
                <w:sz w:val="19"/>
                <w:szCs w:val="19"/>
              </w:rPr>
              <w:t xml:space="preserve">Array of residue indices to highlight (from prediction)</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Courier New" w:cs="Courier New" w:eastAsia="Courier New" w:hAnsi="Courier New"/>
                <w:b/>
                <w:bCs/>
                <w:color w:val="1A1A2E"/>
                <w:sz w:val="18"/>
                <w:szCs w:val="18"/>
              </w:rPr>
              <w:t xml:space="preserve">onResidueClick(idx)</w:t>
            </w:r>
          </w:p>
        </w:tc>
        <w:tc>
          <w:tcPr>
            <w:tcW w:type="dxa" w:w="3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1A1A2E"/>
                <w:sz w:val="19"/>
                <w:szCs w:val="19"/>
              </w:rPr>
              <w:t xml:space="preserve">function</w:t>
            </w:r>
          </w:p>
        </w:tc>
        <w:tc>
          <w:tcPr>
            <w:tcW w:type="dxa" w:w="3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i/>
                <w:iCs/>
                <w:color w:val="666666"/>
                <w:sz w:val="19"/>
                <w:szCs w:val="19"/>
              </w:rPr>
              <w:t xml:space="preserve">Called when user clicks a residue in the viewer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A1A2E"/>
                <w:sz w:val="18"/>
                <w:szCs w:val="18"/>
              </w:rPr>
              <w:t xml:space="preserve">showPAE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boolean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66666"/>
                <w:sz w:val="19"/>
                <w:szCs w:val="19"/>
              </w:rPr>
              <w:t xml:space="preserve">Whether to render the PAE heatmap panel alongside the structure</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Courier New" w:cs="Courier New" w:eastAsia="Courier New" w:hAnsi="Courier New"/>
                <w:b/>
                <w:bCs/>
                <w:color w:val="1A1A2E"/>
                <w:sz w:val="18"/>
                <w:szCs w:val="18"/>
              </w:rPr>
              <w:t xml:space="preserve">exportEnabled</w:t>
            </w:r>
          </w:p>
        </w:tc>
        <w:tc>
          <w:tcPr>
            <w:tcW w:type="dxa" w:w="3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1A1A2E"/>
                <w:sz w:val="19"/>
                <w:szCs w:val="19"/>
              </w:rPr>
              <w:t xml:space="preserve">boolean</w:t>
            </w:r>
          </w:p>
        </w:tc>
        <w:tc>
          <w:tcPr>
            <w:tcW w:type="dxa" w:w="3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i/>
                <w:iCs/>
                <w:color w:val="666666"/>
                <w:sz w:val="19"/>
                <w:szCs w:val="19"/>
              </w:rPr>
              <w:t xml:space="preserve">Shows export PNG button in viewer toolbar</w:t>
            </w:r>
          </w:p>
        </w:tc>
      </w:tr>
    </w:tbl>
    <w:p>
      <w:pPr>
        <w:spacing w:before="80" w:after="80"/>
      </w:pPr>
      <w:r>
        <w:t xml:space="preserve"/>
      </w:r>
    </w:p>
    <w:p>
      <w:pPr>
        <w:spacing w:before="140" w:after="60"/>
      </w:pPr>
      <w:r>
        <w:rPr>
          <w:rFonts w:ascii="Arial" w:cs="Arial" w:eastAsia="Arial" w:hAnsi="Arial"/>
          <w:b/>
          <w:bCs/>
          <w:color w:val="1B4F8A"/>
          <w:sz w:val="22"/>
          <w:szCs w:val="22"/>
        </w:rPr>
        <w:t xml:space="preserve">◆ InteractionGraph</w:t>
      </w:r>
      <w:r>
        <w:rPr>
          <w:rFonts w:ascii="Arial" w:cs="Arial" w:eastAsia="Arial" w:hAnsi="Arial"/>
          <w:color w:val="666666"/>
          <w:sz w:val="21"/>
          <w:szCs w:val="21"/>
        </w:rPr>
        <w:t xml:space="preserve">  — D3.js-based PPI network 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3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9"/>
                <w:szCs w:val="19"/>
              </w:rPr>
              <w:t xml:space="preserve">Value / Spec</w:t>
            </w:r>
          </w:p>
        </w:tc>
        <w:tc>
          <w:tcPr>
            <w:tcW w:type="dxa" w:w="37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Courier New" w:cs="Courier New" w:eastAsia="Courier New" w:hAnsi="Courier New"/>
                <w:b/>
                <w:bCs/>
                <w:color w:val="1A1A2E"/>
                <w:sz w:val="18"/>
                <w:szCs w:val="18"/>
              </w:rPr>
              <w:t xml:space="preserve">nodes</w:t>
            </w:r>
          </w:p>
        </w:tc>
        <w:tc>
          <w:tcPr>
            <w:tcW w:type="dxa" w:w="3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1A1A2E"/>
                <w:sz w:val="19"/>
                <w:szCs w:val="19"/>
              </w:rPr>
              <w:t xml:space="preserve">ProteinNode[]</w:t>
            </w:r>
          </w:p>
        </w:tc>
        <w:tc>
          <w:tcPr>
            <w:tcW w:type="dxa" w:w="3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i/>
                <w:iCs/>
                <w:color w:val="666666"/>
                <w:sz w:val="19"/>
                <w:szCs w:val="19"/>
              </w:rPr>
              <w:t xml:space="preserve">Each node: { id, uniprotId, name, isHighlighted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A1A2E"/>
                <w:sz w:val="18"/>
                <w:szCs w:val="18"/>
              </w:rPr>
              <w:t xml:space="preserve">edges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InteractionEdge[]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66666"/>
                <w:sz w:val="19"/>
                <w:szCs w:val="19"/>
              </w:rPr>
              <w:t xml:space="preserve">Each edge: { source, target, type, confidence, source_db }</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Courier New" w:cs="Courier New" w:eastAsia="Courier New" w:hAnsi="Courier New"/>
                <w:b/>
                <w:bCs/>
                <w:color w:val="1A1A2E"/>
                <w:sz w:val="18"/>
                <w:szCs w:val="18"/>
              </w:rPr>
              <w:t xml:space="preserve">centerNodeId</w:t>
            </w:r>
          </w:p>
        </w:tc>
        <w:tc>
          <w:tcPr>
            <w:tcW w:type="dxa" w:w="3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1A1A2E"/>
                <w:sz w:val="19"/>
                <w:szCs w:val="19"/>
              </w:rPr>
              <w:t xml:space="preserve">string</w:t>
            </w:r>
          </w:p>
        </w:tc>
        <w:tc>
          <w:tcPr>
            <w:tcW w:type="dxa" w:w="3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i/>
                <w:iCs/>
                <w:color w:val="666666"/>
                <w:sz w:val="19"/>
                <w:szCs w:val="19"/>
              </w:rPr>
              <w:t xml:space="preserve">UniProt ID of the protein to center the layout 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A1A2E"/>
                <w:sz w:val="18"/>
                <w:szCs w:val="18"/>
              </w:rPr>
              <w:t xml:space="preserve">onNodeClick(id)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function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66666"/>
                <w:sz w:val="19"/>
                <w:szCs w:val="19"/>
              </w:rPr>
              <w:t xml:space="preserve">Expands node neighborhood or opens protein detail panel</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Courier New" w:cs="Courier New" w:eastAsia="Courier New" w:hAnsi="Courier New"/>
                <w:b/>
                <w:bCs/>
                <w:color w:val="1A1A2E"/>
                <w:sz w:val="18"/>
                <w:szCs w:val="18"/>
              </w:rPr>
              <w:t xml:space="preserve">onEdgeClick(edge)</w:t>
            </w:r>
          </w:p>
        </w:tc>
        <w:tc>
          <w:tcPr>
            <w:tcW w:type="dxa" w:w="3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1A1A2E"/>
                <w:sz w:val="19"/>
                <w:szCs w:val="19"/>
              </w:rPr>
              <w:t xml:space="preserve">function</w:t>
            </w:r>
          </w:p>
        </w:tc>
        <w:tc>
          <w:tcPr>
            <w:tcW w:type="dxa" w:w="3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i/>
                <w:iCs/>
                <w:color w:val="666666"/>
                <w:sz w:val="19"/>
                <w:szCs w:val="19"/>
              </w:rPr>
              <w:t xml:space="preserve">Opens edge detail panel with interaction data + drug context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A1A2E"/>
                <w:sz w:val="18"/>
                <w:szCs w:val="18"/>
              </w:rPr>
              <w:t xml:space="preserve">filterMinConfidence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number (0–1)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66666"/>
                <w:sz w:val="19"/>
                <w:szCs w:val="19"/>
              </w:rPr>
              <w:t xml:space="preserve">Hides edges below this STRING/BioGRID confidence threshold</w:t>
            </w:r>
          </w:p>
        </w:tc>
      </w:tr>
    </w:tbl>
    <w:p>
      <w:pPr>
        <w:spacing w:before="80" w:after="80"/>
      </w:pPr>
      <w:r>
        <w:t xml:space="preserve"/>
      </w:r>
    </w:p>
    <w:p>
      <w:pPr>
        <w:spacing w:before="140" w:after="60"/>
      </w:pPr>
      <w:r>
        <w:rPr>
          <w:rFonts w:ascii="Arial" w:cs="Arial" w:eastAsia="Arial" w:hAnsi="Arial"/>
          <w:b/>
          <w:bCs/>
          <w:color w:val="1B4F8A"/>
          <w:sz w:val="22"/>
          <w:szCs w:val="22"/>
        </w:rPr>
        <w:t xml:space="preserve">◆ SequenceAnnotator</w:t>
      </w:r>
      <w:r>
        <w:rPr>
          <w:rFonts w:ascii="Arial" w:cs="Arial" w:eastAsia="Arial" w:hAnsi="Arial"/>
          <w:color w:val="666666"/>
          <w:sz w:val="21"/>
          <w:szCs w:val="21"/>
        </w:rPr>
        <w:t xml:space="preserve">  — Scrollable annotated amino acid sequence display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3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9"/>
                <w:szCs w:val="19"/>
              </w:rPr>
              <w:t xml:space="preserve">Value / Spec</w:t>
            </w:r>
          </w:p>
        </w:tc>
        <w:tc>
          <w:tcPr>
            <w:tcW w:type="dxa" w:w="37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Courier New" w:cs="Courier New" w:eastAsia="Courier New" w:hAnsi="Courier New"/>
                <w:b/>
                <w:bCs/>
                <w:color w:val="1A1A2E"/>
                <w:sz w:val="18"/>
                <w:szCs w:val="18"/>
              </w:rPr>
              <w:t xml:space="preserve">sequence</w:t>
            </w:r>
          </w:p>
        </w:tc>
        <w:tc>
          <w:tcPr>
            <w:tcW w:type="dxa" w:w="3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1A1A2E"/>
                <w:sz w:val="19"/>
                <w:szCs w:val="19"/>
              </w:rPr>
              <w:t xml:space="preserve">string</w:t>
            </w:r>
          </w:p>
        </w:tc>
        <w:tc>
          <w:tcPr>
            <w:tcW w:type="dxa" w:w="3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i/>
                <w:iCs/>
                <w:color w:val="666666"/>
                <w:sz w:val="19"/>
                <w:szCs w:val="19"/>
              </w:rPr>
              <w:t xml:space="preserve">Full amino acid sequence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A1A2E"/>
                <w:sz w:val="18"/>
                <w:szCs w:val="18"/>
              </w:rPr>
              <w:t xml:space="preserve">annotations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Annotation[]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66666"/>
                <w:sz w:val="19"/>
                <w:szCs w:val="19"/>
              </w:rPr>
              <w:t xml:space="preserve">Array of { start, end, type, label, color } regions</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Courier New" w:cs="Courier New" w:eastAsia="Courier New" w:hAnsi="Courier New"/>
                <w:b/>
                <w:bCs/>
                <w:color w:val="1A1A2E"/>
                <w:sz w:val="18"/>
                <w:szCs w:val="18"/>
              </w:rPr>
              <w:t xml:space="preserve">attentionWeights</w:t>
            </w:r>
          </w:p>
        </w:tc>
        <w:tc>
          <w:tcPr>
            <w:tcW w:type="dxa" w:w="3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1A1A2E"/>
                <w:sz w:val="19"/>
                <w:szCs w:val="19"/>
              </w:rPr>
              <w:t xml:space="preserve">number[]</w:t>
            </w:r>
          </w:p>
        </w:tc>
        <w:tc>
          <w:tcPr>
            <w:tcW w:type="dxa" w:w="3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i/>
                <w:iCs/>
                <w:color w:val="666666"/>
                <w:sz w:val="19"/>
                <w:szCs w:val="19"/>
              </w:rPr>
              <w:t xml:space="preserve">Per-residue attention values — rendered as heatmap overlay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A1A2E"/>
                <w:sz w:val="18"/>
                <w:szCs w:val="18"/>
              </w:rPr>
              <w:t xml:space="preserve">highlightedPositions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number[]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66666"/>
                <w:sz w:val="19"/>
                <w:szCs w:val="19"/>
              </w:rPr>
              <w:t xml:space="preserve">Specific positions to mark (e.g., mutation sites)</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Courier New" w:cs="Courier New" w:eastAsia="Courier New" w:hAnsi="Courier New"/>
                <w:b/>
                <w:bCs/>
                <w:color w:val="1A1A2E"/>
                <w:sz w:val="18"/>
                <w:szCs w:val="18"/>
              </w:rPr>
              <w:t xml:space="preserve">onResidueHover(idx)</w:t>
            </w:r>
          </w:p>
        </w:tc>
        <w:tc>
          <w:tcPr>
            <w:tcW w:type="dxa" w:w="3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1A1A2E"/>
                <w:sz w:val="19"/>
                <w:szCs w:val="19"/>
              </w:rPr>
              <w:t xml:space="preserve">function</w:t>
            </w:r>
          </w:p>
        </w:tc>
        <w:tc>
          <w:tcPr>
            <w:tcW w:type="dxa" w:w="3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i/>
                <w:iCs/>
                <w:color w:val="666666"/>
                <w:sz w:val="19"/>
                <w:szCs w:val="19"/>
              </w:rPr>
              <w:t xml:space="preserve">Shows tooltip with residue metadata on hover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A1A2E"/>
                <w:sz w:val="18"/>
                <w:szCs w:val="18"/>
              </w:rPr>
              <w:t xml:space="preserve">colorMode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'annotation' | 'attention' | 'both'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66666"/>
                <w:sz w:val="19"/>
                <w:szCs w:val="19"/>
              </w:rPr>
              <w:t xml:space="preserve">Controls what is shown as color overlay</w:t>
            </w:r>
          </w:p>
        </w:tc>
      </w:tr>
    </w:tbl>
    <w:p>
      <w:pPr>
        <w:spacing w:before="80" w:after="80"/>
      </w:pPr>
      <w:r>
        <w:t xml:space="preserve"/>
      </w:r>
    </w:p>
    <w:p>
      <w:pPr>
        <w:pStyle w:val="Heading3"/>
        <w:spacing w:before="200" w:after="80"/>
      </w:pPr>
      <w:r>
        <w:rPr>
          <w:rFonts w:ascii="Arial" w:cs="Arial" w:eastAsia="Arial" w:hAnsi="Arial"/>
          <w:b/>
          <w:bCs/>
          <w:color w:val="0070C0"/>
          <w:sz w:val="24"/>
          <w:szCs w:val="24"/>
        </w:rPr>
        <w:t xml:space="preserve">5.3.2  Layout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38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33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Key Props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DashboardShell</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Root layout: global header, left nav, main content area, right context panel</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activeView, onNavigate, user, notifications</w:t>
            </w:r>
          </w:p>
        </w:tc>
      </w:tr>
      <w:tr>
        <w:tc>
          <w:tcPr>
            <w:tcW w:type="dxa" w:w="2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SplitPanel</w:t>
            </w:r>
          </w:p>
        </w:tc>
        <w:tc>
          <w:tcPr>
            <w:tcW w:type="dxa" w:w="38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Resizable two-panel layout (e.g., 3D viewer + sequence annotator side-by-side)</w:t>
            </w:r>
          </w:p>
        </w:tc>
        <w:tc>
          <w:tcPr>
            <w:tcW w:type="dxa" w:w="33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leftContent, rightContent, defaultSplit, minLeftWidth</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ReportCard</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Structured output container for AI prediction results</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title, summary, steps, details, references, exportEnabled</w:t>
            </w:r>
          </w:p>
        </w:tc>
      </w:tr>
      <w:tr>
        <w:tc>
          <w:tcPr>
            <w:tcW w:type="dxa" w:w="2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EvidenceGraph</w:t>
            </w:r>
          </w:p>
        </w:tc>
        <w:tc>
          <w:tcPr>
            <w:tcW w:type="dxa" w:w="38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Interactive network of prediction → supporting evidence nodes</w:t>
            </w:r>
          </w:p>
        </w:tc>
        <w:tc>
          <w:tcPr>
            <w:tcW w:type="dxa" w:w="33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predictionId, depth (1–3 hops), onNodeClick</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ToolTile</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Dashboard landing tile for direct tool access</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toolId, icon, title, description, onClick, badge (e.g., 'New')</w:t>
            </w:r>
          </w:p>
        </w:tc>
      </w:tr>
      <w:tr>
        <w:tc>
          <w:tcPr>
            <w:tcW w:type="dxa" w:w="2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ProgressJob</w:t>
            </w:r>
          </w:p>
        </w:tc>
        <w:tc>
          <w:tcPr>
            <w:tcW w:type="dxa" w:w="38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WebSocket-connected job status display for long-running tasks</w:t>
            </w:r>
          </w:p>
        </w:tc>
        <w:tc>
          <w:tcPr>
            <w:tcW w:type="dxa" w:w="33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jobId, onComplete, onError, stages (string[])</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FilterBar</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Horizontal controls for threshold sliders, dropdown filters, search inputs</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filters (FilterConfig[]), onChange, onReset</w:t>
            </w:r>
          </w:p>
        </w:tc>
      </w:tr>
      <w:tr>
        <w:tc>
          <w:tcPr>
            <w:tcW w:type="dxa" w:w="2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DataTable</w:t>
            </w:r>
          </w:p>
        </w:tc>
        <w:tc>
          <w:tcPr>
            <w:tcW w:type="dxa" w:w="38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Virtualized scrollable data table for protein lists and candidate rankings</w:t>
            </w:r>
          </w:p>
        </w:tc>
        <w:tc>
          <w:tcPr>
            <w:tcW w:type="dxa" w:w="33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columns, rows, sortable, onRowClick, exportCSV</w:t>
            </w:r>
          </w:p>
        </w:tc>
      </w:tr>
    </w:tbl>
    <w:p>
      <w:pPr>
        <w:spacing w:before="80" w:after="80"/>
      </w:pPr>
      <w:r>
        <w:t xml:space="preserve"/>
      </w:r>
    </w:p>
    <w:p>
      <w:pPr>
        <w:pStyle w:val="Heading3"/>
        <w:spacing w:before="200" w:after="80"/>
      </w:pPr>
      <w:r>
        <w:rPr>
          <w:rFonts w:ascii="Arial" w:cs="Arial" w:eastAsia="Arial" w:hAnsi="Arial"/>
          <w:b/>
          <w:bCs/>
          <w:color w:val="0070C0"/>
          <w:sz w:val="24"/>
          <w:szCs w:val="24"/>
        </w:rPr>
        <w:t xml:space="preserve">5.3.3  States &amp; Variants for All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State</w:t>
            </w:r>
          </w:p>
        </w:tc>
        <w:tc>
          <w:tcPr>
            <w:tcW w:type="dxa" w:w="36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Visual Treatment</w:t>
            </w:r>
          </w:p>
        </w:tc>
        <w:tc>
          <w:tcPr>
            <w:tcW w:type="dxa" w:w="35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Examples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Default / Resting</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Standard colors, 1px border, --shadow-sm elevation</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All components at rest</w:t>
            </w:r>
          </w:p>
        </w:tc>
      </w:tr>
      <w:tr>
        <w:tc>
          <w:tcPr>
            <w:tcW w:type="dxa" w:w="2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Hover</w:t>
            </w:r>
          </w:p>
        </w:tc>
        <w:tc>
          <w:tcPr>
            <w:tcW w:type="dxa" w:w="3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Border color → C.mid (Cobalt Blue), --shadow-md elevation, cursor: pointer</w:t>
            </w:r>
          </w:p>
        </w:tc>
        <w:tc>
          <w:tcPr>
            <w:tcW w:type="dxa" w:w="35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Cards, tiles, table rows, graph nodes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Active / Selected</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Fill → C.lightBg, border → C.blue, bold label</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Selected table row, active nav item, expanded panel</w:t>
            </w:r>
          </w:p>
        </w:tc>
      </w:tr>
      <w:tr>
        <w:tc>
          <w:tcPr>
            <w:tcW w:type="dxa" w:w="2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Loading</w:t>
            </w:r>
          </w:p>
        </w:tc>
        <w:tc>
          <w:tcPr>
            <w:tcW w:type="dxa" w:w="3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Pulsing skeleton animation (#E8EEF6 → #D0DCF0 cycle), 1.2s duration</w:t>
            </w:r>
          </w:p>
        </w:tc>
        <w:tc>
          <w:tcPr>
            <w:tcW w:type="dxa" w:w="35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Structure viewer while loading, prediction score while computing</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Error</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Red left border (--color-alert), error icon, descriptive message text</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Invalid UniProt ID, API timeout, model failure</w:t>
            </w:r>
          </w:p>
        </w:tc>
      </w:tr>
      <w:tr>
        <w:tc>
          <w:tcPr>
            <w:tcW w:type="dxa" w:w="2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Empty</w:t>
            </w:r>
          </w:p>
        </w:tc>
        <w:tc>
          <w:tcPr>
            <w:tcW w:type="dxa" w:w="3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Centered neutral icon + guidance text (no red — not an error)</w:t>
            </w:r>
          </w:p>
        </w:tc>
        <w:tc>
          <w:tcPr>
            <w:tcW w:type="dxa" w:w="35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No candidates found, empty interaction network</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Disabled</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40% opacity, cursor: not-allowed, no hover effect</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Buttons for features not yet in current phase</w:t>
            </w:r>
          </w:p>
        </w:tc>
      </w:tr>
      <w:tr>
        <w:tc>
          <w:tcPr>
            <w:tcW w:type="dxa" w:w="2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High Confidence</w:t>
            </w:r>
          </w:p>
        </w:tc>
        <w:tc>
          <w:tcPr>
            <w:tcW w:type="dxa" w:w="3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Green accent, validated badge</w:t>
            </w:r>
          </w:p>
        </w:tc>
        <w:tc>
          <w:tcPr>
            <w:tcW w:type="dxa" w:w="35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GO predictions &gt;80%, EXP evidence code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Low Confidence</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Amber accent, caution icon</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Predictions 50–80%, SWISS-MODEL fallback result</w:t>
            </w:r>
          </w:p>
        </w:tc>
      </w:tr>
      <w:tr>
        <w:tc>
          <w:tcPr>
            <w:tcW w:type="dxa" w:w="2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Very Low Confidence</w:t>
            </w:r>
          </w:p>
        </w:tc>
        <w:tc>
          <w:tcPr>
            <w:tcW w:type="dxa" w:w="3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Red accent, warning icon</w:t>
            </w:r>
          </w:p>
        </w:tc>
        <w:tc>
          <w:tcPr>
            <w:tcW w:type="dxa" w:w="35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Predictions &lt;50%, severely disruptive mutation</w:t>
            </w:r>
          </w:p>
        </w:tc>
      </w:tr>
    </w:tbl>
    <w:p>
      <w:pPr>
        <w:spacing w:before="80" w:after="80"/>
      </w:pPr>
      <w:r>
        <w:t xml:space="preserve"/>
      </w:r>
    </w:p>
    <w:p>
      <w:pPr>
        <w:pStyle w:val="Heading2"/>
        <w:spacing w:before="280" w:after="120"/>
      </w:pPr>
      <w:r>
        <w:rPr>
          <w:rFonts w:ascii="Arial" w:cs="Arial" w:eastAsia="Arial" w:hAnsi="Arial"/>
          <w:b/>
          <w:bCs/>
          <w:color w:val="2E75B6"/>
          <w:sz w:val="28"/>
          <w:szCs w:val="28"/>
        </w:rPr>
        <w:t xml:space="preserve">5.4  Information Architecture</w:t>
      </w:r>
    </w:p>
    <w:p>
      <w:pPr>
        <w:pStyle w:val="Heading3"/>
        <w:spacing w:before="200" w:after="80"/>
      </w:pPr>
      <w:r>
        <w:rPr>
          <w:rFonts w:ascii="Arial" w:cs="Arial" w:eastAsia="Arial" w:hAnsi="Arial"/>
          <w:b/>
          <w:bCs/>
          <w:color w:val="0070C0"/>
          <w:sz w:val="24"/>
          <w:szCs w:val="24"/>
        </w:rPr>
        <w:t xml:space="preserve">5.4.1  Navigation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1800"/>
        <w:gridCol w:w="2960"/>
      </w:tblGrid>
      <w:tr>
        <w:tc>
          <w:tcPr>
            <w:tcW w:type="dxa" w:w="20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Level</w:t>
            </w:r>
          </w:p>
        </w:tc>
        <w:tc>
          <w:tcPr>
            <w:tcW w:type="dxa" w:w="26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Section</w:t>
            </w:r>
          </w:p>
        </w:tc>
        <w:tc>
          <w:tcPr>
            <w:tcW w:type="dxa" w:w="18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Access</w:t>
            </w:r>
          </w:p>
        </w:tc>
        <w:tc>
          <w:tcPr>
            <w:tcW w:type="dxa" w:w="29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Global Nav (top)</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Dashboard, Search, Tools, Reports, Admin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Always visible</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Collapses to icon-only on tablet</w:t>
            </w:r>
          </w:p>
        </w:tc>
      </w:tr>
      <w:tr>
        <w:tc>
          <w:tcPr>
            <w:tcW w:type="dxa" w:w="20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Left Sidebar</w:t>
            </w:r>
          </w:p>
        </w:tc>
        <w:tc>
          <w:tcPr>
            <w:tcW w:type="dxa" w:w="2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Tool-specific sub-navigation (context-sensitive)</w:t>
            </w:r>
          </w:p>
        </w:tc>
        <w:tc>
          <w:tcPr>
            <w:tcW w:type="dxa" w:w="18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Visible in tool views</w:t>
            </w:r>
          </w:p>
        </w:tc>
        <w:tc>
          <w:tcPr>
            <w:tcW w:type="dxa" w:w="29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Hidden on landing dashboard</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Tool Tiles (landing)</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6 direct tool tiles + AI query bar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1 click from landing</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Most common entry point</w:t>
            </w:r>
          </w:p>
        </w:tc>
      </w:tr>
      <w:tr>
        <w:tc>
          <w:tcPr>
            <w:tcW w:type="dxa" w:w="20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Breadcrumb</w:t>
            </w:r>
          </w:p>
        </w:tc>
        <w:tc>
          <w:tcPr>
            <w:tcW w:type="dxa" w:w="2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Dashboard &gt; Tool Name &gt; Protein ID</w:t>
            </w:r>
          </w:p>
        </w:tc>
        <w:tc>
          <w:tcPr>
            <w:tcW w:type="dxa" w:w="18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All non-landing views</w:t>
            </w:r>
          </w:p>
        </w:tc>
        <w:tc>
          <w:tcPr>
            <w:tcW w:type="dxa" w:w="29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Enables multi-level back navigation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Right Context Panel</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Protein metadata, evidence summary, related links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Auto-populated from active query</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Collapsible; 300px default width</w:t>
            </w:r>
          </w:p>
        </w:tc>
      </w:tr>
    </w:tbl>
    <w:p>
      <w:pPr>
        <w:spacing w:before="80" w:after="80"/>
      </w:pPr>
      <w:r>
        <w:t xml:space="preserve"/>
      </w:r>
    </w:p>
    <w:p>
      <w:pPr>
        <w:pStyle w:val="Heading3"/>
        <w:spacing w:before="200" w:after="80"/>
      </w:pPr>
      <w:r>
        <w:rPr>
          <w:rFonts w:ascii="Arial" w:cs="Arial" w:eastAsia="Arial" w:hAnsi="Arial"/>
          <w:b/>
          <w:bCs/>
          <w:color w:val="0070C0"/>
          <w:sz w:val="24"/>
          <w:szCs w:val="24"/>
        </w:rPr>
        <w:t xml:space="preserve">5.4.2  Site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c>
          <w:tcPr>
            <w:tcW w:type="dxa" w:w="28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Route</w:t>
            </w:r>
          </w:p>
        </w:tc>
        <w:tc>
          <w:tcPr>
            <w:tcW w:type="dxa" w:w="36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View</w:t>
            </w:r>
          </w:p>
        </w:tc>
        <w:tc>
          <w:tcPr>
            <w:tcW w:type="dxa" w:w="29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Accessible To</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Landing Dashboard (search + tool tiles + recent queries)</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All authenticated users</w:t>
            </w:r>
          </w:p>
        </w:tc>
      </w:tr>
      <w:tr>
        <w:tc>
          <w:tcPr>
            <w:tcW w:type="dxa" w:w="28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/search</w:t>
            </w:r>
          </w:p>
        </w:tc>
        <w:tc>
          <w:tcPr>
            <w:tcW w:type="dxa" w:w="3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Protein Search Results</w:t>
            </w:r>
          </w:p>
        </w:tc>
        <w:tc>
          <w:tcPr>
            <w:tcW w:type="dxa" w:w="29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All authenticated users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/protein/:uniprotId</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Protein Overview Page</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All authenticated users</w:t>
            </w:r>
          </w:p>
        </w:tc>
      </w:tr>
      <w:tr>
        <w:tc>
          <w:tcPr>
            <w:tcW w:type="dxa" w:w="28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/tools/structure-builder</w:t>
            </w:r>
          </w:p>
        </w:tc>
        <w:tc>
          <w:tcPr>
            <w:tcW w:type="dxa" w:w="3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Sequence-to-Structure Builder</w:t>
            </w:r>
          </w:p>
        </w:tc>
        <w:tc>
          <w:tcPr>
            <w:tcW w:type="dxa" w:w="29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All authenticated users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/tools/structure-viewer</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3D Structure Viewer (Standalone)</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All authenticated users</w:t>
            </w:r>
          </w:p>
        </w:tc>
      </w:tr>
      <w:tr>
        <w:tc>
          <w:tcPr>
            <w:tcW w:type="dxa" w:w="28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/tools/sequence-annotator</w:t>
            </w:r>
          </w:p>
        </w:tc>
        <w:tc>
          <w:tcPr>
            <w:tcW w:type="dxa" w:w="3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Sequence Annotator (Standalone)</w:t>
            </w:r>
          </w:p>
        </w:tc>
        <w:tc>
          <w:tcPr>
            <w:tcW w:type="dxa" w:w="29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All authenticated users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/tools/structure-comparator</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Structure Comparator (Standalone)</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All authenticated users</w:t>
            </w:r>
          </w:p>
        </w:tc>
      </w:tr>
      <w:tr>
        <w:tc>
          <w:tcPr>
            <w:tcW w:type="dxa" w:w="28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/tools/interaction-network</w:t>
            </w:r>
          </w:p>
        </w:tc>
        <w:tc>
          <w:tcPr>
            <w:tcW w:type="dxa" w:w="3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Interaction Network Viewer (Standalone)</w:t>
            </w:r>
          </w:p>
        </w:tc>
        <w:tc>
          <w:tcPr>
            <w:tcW w:type="dxa" w:w="29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All authenticated users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/tools/expression-heatmap</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Expression Heatmap (Standalone)</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All authenticated users</w:t>
            </w:r>
          </w:p>
        </w:tc>
      </w:tr>
      <w:tr>
        <w:tc>
          <w:tcPr>
            <w:tcW w:type="dxa" w:w="28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/predict/function</w:t>
            </w:r>
          </w:p>
        </w:tc>
        <w:tc>
          <w:tcPr>
            <w:tcW w:type="dxa" w:w="3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Protein Function Prediction (AI)</w:t>
            </w:r>
          </w:p>
        </w:tc>
        <w:tc>
          <w:tcPr>
            <w:tcW w:type="dxa" w:w="29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All authenticated users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/predict/ppi</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PPI Prediction (AI)</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All authenticated users</w:t>
            </w:r>
          </w:p>
        </w:tc>
      </w:tr>
      <w:tr>
        <w:tc>
          <w:tcPr>
            <w:tcW w:type="dxa" w:w="28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/predict/mutation</w:t>
            </w:r>
          </w:p>
        </w:tc>
        <w:tc>
          <w:tcPr>
            <w:tcW w:type="dxa" w:w="3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Mutation Effect Analysis (AI)</w:t>
            </w:r>
          </w:p>
        </w:tc>
        <w:tc>
          <w:tcPr>
            <w:tcW w:type="dxa" w:w="29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All authenticated users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/predict/essentiality</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Cross-Species Essentiality (AI)</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All authenticated users</w:t>
            </w:r>
          </w:p>
        </w:tc>
      </w:tr>
      <w:tr>
        <w:tc>
          <w:tcPr>
            <w:tcW w:type="dxa" w:w="28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/cca</w:t>
            </w:r>
          </w:p>
        </w:tc>
        <w:tc>
          <w:tcPr>
            <w:tcW w:type="dxa" w:w="3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CCA Biomarker Dashboard</w:t>
            </w:r>
          </w:p>
        </w:tc>
        <w:tc>
          <w:tcPr>
            <w:tcW w:type="dxa" w:w="29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Researcher + Clinical Scientist roles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/reports/:reportId</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Saved Prediction Report View</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Report owner</w:t>
            </w:r>
          </w:p>
        </w:tc>
      </w:tr>
      <w:tr>
        <w:tc>
          <w:tcPr>
            <w:tcW w:type="dxa" w:w="28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/admin</w:t>
            </w:r>
          </w:p>
        </w:tc>
        <w:tc>
          <w:tcPr>
            <w:tcW w:type="dxa" w:w="3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Admin Dashboard (pipeline, users, health)</w:t>
            </w:r>
          </w:p>
        </w:tc>
        <w:tc>
          <w:tcPr>
            <w:tcW w:type="dxa" w:w="29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Platform Admin role only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/admin/pipeline</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Data Pipeline Management</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Platform Admin role only</w:t>
            </w:r>
          </w:p>
        </w:tc>
      </w:tr>
    </w:tbl>
    <w:p>
      <w:pPr>
        <w:spacing w:before="80" w:after="80"/>
      </w:pPr>
      <w:r>
        <w:t xml:space="preserve"/>
      </w:r>
    </w:p>
    <w:p>
      <w:pPr>
        <w:pStyle w:val="Heading2"/>
        <w:spacing w:before="280" w:after="120"/>
      </w:pPr>
      <w:r>
        <w:rPr>
          <w:rFonts w:ascii="Arial" w:cs="Arial" w:eastAsia="Arial" w:hAnsi="Arial"/>
          <w:b/>
          <w:bCs/>
          <w:color w:val="2E75B6"/>
          <w:sz w:val="28"/>
          <w:szCs w:val="28"/>
        </w:rPr>
        <w:t xml:space="preserve">5.5  Wireframe Specifications</w:t>
      </w:r>
    </w:p>
    <w:p>
      <w:pPr>
        <w:spacing w:before="60" w:after="100"/>
      </w:pPr>
      <w:r>
        <w:rPr>
          <w:rFonts w:ascii="Arial" w:cs="Arial" w:eastAsia="Arial" w:hAnsi="Arial"/>
          <w:color w:val="1A1A2E"/>
          <w:sz w:val="22"/>
          <w:szCs w:val="22"/>
        </w:rPr>
        <w:t xml:space="preserve">The following wireframe specifications document every major view in ProtMind. Each specification describes the zone layout, component placement, and interaction behavior. Full high-fidelity wireframes are to be produced in Figma using these specs as the source of truth.</w:t>
      </w:r>
    </w:p>
    <w:p>
      <w:pPr>
        <w:spacing w:before="80" w:after="80"/>
      </w:pPr>
      <w:r>
        <w:t xml:space="preserve"/>
      </w:r>
    </w:p>
    <w:p>
      <w:pPr>
        <w:pStyle w:val="Heading3"/>
        <w:spacing w:before="200" w:after="80"/>
      </w:pPr>
      <w:r>
        <w:rPr>
          <w:rFonts w:ascii="Arial" w:cs="Arial" w:eastAsia="Arial" w:hAnsi="Arial"/>
          <w:b/>
          <w:bCs/>
          <w:color w:val="0070C0"/>
          <w:sz w:val="24"/>
          <w:szCs w:val="24"/>
        </w:rPr>
        <w:t xml:space="preserve">5.5.1  Landing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1B4F8A" w:sz="8"/>
              <w:bottom w:val="single" w:color="2E75B6" w:sz="1"/>
              <w:right w:val="single" w:color="2E75B6" w:sz="1"/>
            </w:tcBorders>
            <w:shd w:fill="F0F5FC" w:val="clear"/>
            <w:tcMar>
              <w:top w:type="dxa" w:w="160"/>
              <w:left w:type="dxa" w:w="220"/>
              <w:bottom w:type="dxa" w:w="60"/>
              <w:right w:type="dxa" w:w="220"/>
            </w:tcMar>
          </w:tcPr>
          <w:p>
            <w:r>
              <w:rPr>
                <w:rFonts w:ascii="Arial" w:cs="Arial" w:eastAsia="Arial" w:hAnsi="Arial"/>
                <w:b/>
                <w:bCs/>
                <w:color w:val="1B4F8A"/>
                <w:sz w:val="23"/>
                <w:szCs w:val="23"/>
              </w:rPr>
              <w:t xml:space="preserve">⬜  Landing Dashboard  —  /</w:t>
            </w:r>
          </w:p>
          <w:p>
            <w:pPr>
              <w:spacing w:before="60" w:after="80"/>
            </w:pPr>
            <w:r>
              <w:rPr>
                <w:rFonts w:ascii="Arial" w:cs="Arial" w:eastAsia="Arial" w:hAnsi="Arial"/>
                <w:i/>
                <w:iCs/>
                <w:color w:val="666666"/>
                <w:sz w:val="20"/>
                <w:szCs w:val="20"/>
              </w:rPr>
              <w:t xml:space="preserve">Entry point for all users. Optimized for the two primary interaction modes: search and direct tool access.</w:t>
            </w:r>
          </w:p>
        </w:tc>
      </w:tr>
      <w:tr>
        <w:tc>
          <w:tcPr>
            <w:tcBorders>
              <w:top w:val="none"/>
              <w:left w:val="single" w:color="1B4F8A" w:sz="8"/>
              <w:bottom w:val="none"/>
              <w:right w:val="single" w:color="2E75B6" w:sz="1"/>
            </w:tcBorders>
            <w:shd w:fill="FFFFFF" w:val="clear"/>
            <w:tcMar>
              <w:top w:type="dxa" w:w="80"/>
              <w:left w:type="dxa" w:w="300"/>
              <w:bottom w:type="dxa" w:w="80"/>
              <w:right w:type="dxa" w:w="220"/>
            </w:tcMar>
          </w:tcPr>
          <w:p>
            <w:r>
              <w:rPr>
                <w:rFonts w:ascii="Arial" w:cs="Arial" w:eastAsia="Arial" w:hAnsi="Arial"/>
                <w:color w:val="0070C0"/>
                <w:sz w:val="20"/>
                <w:szCs w:val="20"/>
              </w:rPr>
              <w:t xml:space="preserve">▸ </w:t>
            </w:r>
            <w:r>
              <w:rPr>
                <w:rFonts w:ascii="Arial" w:cs="Arial" w:eastAsia="Arial" w:hAnsi="Arial"/>
                <w:b/>
                <w:bCs/>
                <w:color w:val="1A1A2E"/>
                <w:sz w:val="20"/>
                <w:szCs w:val="20"/>
              </w:rPr>
              <w:t xml:space="preserve">Top Bar (64px):  </w:t>
            </w:r>
            <w:r>
              <w:rPr>
                <w:rFonts w:ascii="Arial" w:cs="Arial" w:eastAsia="Arial" w:hAnsi="Arial"/>
                <w:color w:val="1A1A2E"/>
                <w:sz w:val="20"/>
                <w:szCs w:val="20"/>
              </w:rPr>
              <w:t xml:space="preserve">Logo (left) · Global navigation links (center) · User avatar + notification bell (right). Background: white, bottom border: 1px C.mid.</w:t>
            </w:r>
          </w:p>
        </w:tc>
      </w:tr>
      <w:tr>
        <w:tc>
          <w:tcPr>
            <w:tcBorders>
              <w:top w:val="none"/>
              <w:left w:val="single" w:color="1B4F8A" w:sz="8"/>
              <w:bottom w:val="none"/>
              <w:right w:val="single" w:color="2E75B6" w:sz="1"/>
            </w:tcBorders>
            <w:shd w:fill="F7FAFF" w:val="clear"/>
            <w:tcMar>
              <w:top w:type="dxa" w:w="80"/>
              <w:left w:type="dxa" w:w="300"/>
              <w:bottom w:type="dxa" w:w="80"/>
              <w:right w:type="dxa" w:w="220"/>
            </w:tcMar>
          </w:tcPr>
          <w:p>
            <w:r>
              <w:rPr>
                <w:rFonts w:ascii="Arial" w:cs="Arial" w:eastAsia="Arial" w:hAnsi="Arial"/>
                <w:color w:val="0070C0"/>
                <w:sz w:val="20"/>
                <w:szCs w:val="20"/>
              </w:rPr>
              <w:t xml:space="preserve">▸ </w:t>
            </w:r>
            <w:r>
              <w:rPr>
                <w:rFonts w:ascii="Arial" w:cs="Arial" w:eastAsia="Arial" w:hAnsi="Arial"/>
                <w:b/>
                <w:bCs/>
                <w:color w:val="1A1A2E"/>
                <w:sz w:val="20"/>
                <w:szCs w:val="20"/>
              </w:rPr>
              <w:t xml:space="preserve">Hero Zone (240px):  </w:t>
            </w:r>
            <w:r>
              <w:rPr>
                <w:rFonts w:ascii="Arial" w:cs="Arial" w:eastAsia="Arial" w:hAnsi="Arial"/>
                <w:color w:val="1A1A2E"/>
                <w:sz w:val="20"/>
                <w:szCs w:val="20"/>
              </w:rPr>
              <w:t xml:space="preserve">Centered SearchBar (hero variant, 640px max-width). Below: 3 example queries as clickable chips ('What does P01308 do?', 'Compare P01308 and P01315', 'Find CCA drug targets'). Background: linear gradient from white → C.lightBg.</w:t>
            </w:r>
          </w:p>
        </w:tc>
      </w:tr>
      <w:tr>
        <w:tc>
          <w:tcPr>
            <w:tcBorders>
              <w:top w:val="none"/>
              <w:left w:val="single" w:color="1B4F8A" w:sz="8"/>
              <w:bottom w:val="none"/>
              <w:right w:val="single" w:color="2E75B6" w:sz="1"/>
            </w:tcBorders>
            <w:shd w:fill="FFFFFF" w:val="clear"/>
            <w:tcMar>
              <w:top w:type="dxa" w:w="80"/>
              <w:left w:type="dxa" w:w="300"/>
              <w:bottom w:type="dxa" w:w="80"/>
              <w:right w:type="dxa" w:w="220"/>
            </w:tcMar>
          </w:tcPr>
          <w:p>
            <w:r>
              <w:rPr>
                <w:rFonts w:ascii="Arial" w:cs="Arial" w:eastAsia="Arial" w:hAnsi="Arial"/>
                <w:color w:val="0070C0"/>
                <w:sz w:val="20"/>
                <w:szCs w:val="20"/>
              </w:rPr>
              <w:t xml:space="preserve">▸ </w:t>
            </w:r>
            <w:r>
              <w:rPr>
                <w:rFonts w:ascii="Arial" w:cs="Arial" w:eastAsia="Arial" w:hAnsi="Arial"/>
                <w:b/>
                <w:bCs/>
                <w:color w:val="1A1A2E"/>
                <w:sz w:val="20"/>
                <w:szCs w:val="20"/>
              </w:rPr>
              <w:t xml:space="preserve">Tool Tiles Grid (auto):  </w:t>
            </w:r>
            <w:r>
              <w:rPr>
                <w:rFonts w:ascii="Arial" w:cs="Arial" w:eastAsia="Arial" w:hAnsi="Arial"/>
                <w:color w:val="1A1A2E"/>
                <w:sz w:val="20"/>
                <w:szCs w:val="20"/>
              </w:rPr>
              <w:t xml:space="preserve">2-column × 3-row grid of ToolTile components (6 tiles). Each tile: 200px tall, icon (48px, C.accent), tool name (H4), one-line description, 'Open Tool' ghost button. Tiles have --shadow-sm; hover → --shadow-md + blue top border.</w:t>
            </w:r>
          </w:p>
        </w:tc>
      </w:tr>
      <w:tr>
        <w:tc>
          <w:tcPr>
            <w:tcBorders>
              <w:top w:val="none"/>
              <w:left w:val="single" w:color="1B4F8A" w:sz="8"/>
              <w:bottom w:val="none"/>
              <w:right w:val="single" w:color="2E75B6" w:sz="1"/>
            </w:tcBorders>
            <w:shd w:fill="F7FAFF" w:val="clear"/>
            <w:tcMar>
              <w:top w:type="dxa" w:w="80"/>
              <w:left w:type="dxa" w:w="300"/>
              <w:bottom w:type="dxa" w:w="80"/>
              <w:right w:type="dxa" w:w="220"/>
            </w:tcMar>
          </w:tcPr>
          <w:p>
            <w:r>
              <w:rPr>
                <w:rFonts w:ascii="Arial" w:cs="Arial" w:eastAsia="Arial" w:hAnsi="Arial"/>
                <w:color w:val="0070C0"/>
                <w:sz w:val="20"/>
                <w:szCs w:val="20"/>
              </w:rPr>
              <w:t xml:space="preserve">▸ </w:t>
            </w:r>
            <w:r>
              <w:rPr>
                <w:rFonts w:ascii="Arial" w:cs="Arial" w:eastAsia="Arial" w:hAnsi="Arial"/>
                <w:b/>
                <w:bCs/>
                <w:color w:val="1A1A2E"/>
                <w:sz w:val="20"/>
                <w:szCs w:val="20"/>
              </w:rPr>
              <w:t xml:space="preserve">Recent Queries (auto):  </w:t>
            </w:r>
            <w:r>
              <w:rPr>
                <w:rFonts w:ascii="Arial" w:cs="Arial" w:eastAsia="Arial" w:hAnsi="Arial"/>
                <w:color w:val="1A1A2E"/>
                <w:sz w:val="20"/>
                <w:szCs w:val="20"/>
              </w:rPr>
              <w:t xml:space="preserve">Section header 'Recent Queries'. List of last 5 queries: protein name · query type badge · timestamp · confidence score if available. Click to restore result. Empty state: 'No recent queries — try searching above'.</w:t>
            </w:r>
          </w:p>
        </w:tc>
      </w:tr>
      <w:tr>
        <w:tc>
          <w:tcPr>
            <w:tcBorders>
              <w:top w:val="none"/>
              <w:left w:val="single" w:color="1B4F8A" w:sz="8"/>
              <w:bottom w:val="none"/>
              <w:right w:val="single" w:color="2E75B6" w:sz="1"/>
            </w:tcBorders>
            <w:shd w:fill="FFFFFF" w:val="clear"/>
            <w:tcMar>
              <w:top w:type="dxa" w:w="80"/>
              <w:left w:type="dxa" w:w="300"/>
              <w:bottom w:type="dxa" w:w="80"/>
              <w:right w:type="dxa" w:w="220"/>
            </w:tcMar>
          </w:tcPr>
          <w:p>
            <w:r>
              <w:rPr>
                <w:rFonts w:ascii="Arial" w:cs="Arial" w:eastAsia="Arial" w:hAnsi="Arial"/>
                <w:color w:val="0070C0"/>
                <w:sz w:val="20"/>
                <w:szCs w:val="20"/>
              </w:rPr>
              <w:t xml:space="preserve">▸ </w:t>
            </w:r>
            <w:r>
              <w:rPr>
                <w:rFonts w:ascii="Arial" w:cs="Arial" w:eastAsia="Arial" w:hAnsi="Arial"/>
                <w:b/>
                <w:bCs/>
                <w:color w:val="1A1A2E"/>
                <w:sz w:val="20"/>
                <w:szCs w:val="20"/>
              </w:rPr>
              <w:t xml:space="preserve">System Status Bar (40px):  </w:t>
            </w:r>
            <w:r>
              <w:rPr>
                <w:rFonts w:ascii="Arial" w:cs="Arial" w:eastAsia="Arial" w:hAnsi="Arial"/>
                <w:color w:val="1A1A2E"/>
                <w:sz w:val="20"/>
                <w:szCs w:val="20"/>
              </w:rPr>
              <w:t xml:space="preserve">Bottom of page: Database version · Last pipeline run · Models deployed (version badges). Background: C.lightBg, 12px font, gray text.</w:t>
            </w:r>
          </w:p>
        </w:tc>
      </w:tr>
      <w:tr>
        <w:tc>
          <w:tcPr>
            <w:tcBorders>
              <w:top w:val="none"/>
              <w:left w:val="single" w:color="1B4F8A" w:sz="8"/>
              <w:bottom w:val="single" w:color="2E75B6" w:sz="1"/>
              <w:right w:val="single" w:color="2E75B6" w:sz="1"/>
            </w:tcBorders>
            <w:shd w:fill="EBF3FB" w:val="clear"/>
            <w:tcMar>
              <w:top w:type="dxa" w:w="40"/>
              <w:left w:type="dxa" w:w="220"/>
              <w:bottom w:type="dxa" w:w="40"/>
              <w:right w:type="dxa" w:w="220"/>
            </w:tcMar>
          </w:tcPr>
          <w:p>
            <w:r>
              <w:rPr>
                <w:rFonts w:ascii="Arial" w:cs="Arial" w:eastAsia="Arial" w:hAnsi="Arial"/>
                <w:sz w:val="16"/>
                <w:szCs w:val="16"/>
              </w:rPr>
              <w:t xml:space="preserve"/>
            </w:r>
          </w:p>
        </w:tc>
      </w:tr>
    </w:tbl>
    <w:p>
      <w:pPr>
        <w:spacing w:before="80" w:after="80"/>
      </w:pPr>
      <w:r>
        <w:t xml:space="preserve"/>
      </w:r>
    </w:p>
    <w:p>
      <w:pPr>
        <w:pStyle w:val="Heading3"/>
        <w:spacing w:before="200" w:after="80"/>
      </w:pPr>
      <w:r>
        <w:rPr>
          <w:rFonts w:ascii="Arial" w:cs="Arial" w:eastAsia="Arial" w:hAnsi="Arial"/>
          <w:b/>
          <w:bCs/>
          <w:color w:val="0070C0"/>
          <w:sz w:val="24"/>
          <w:szCs w:val="24"/>
        </w:rPr>
        <w:t xml:space="preserve">5.5.2  3D Structure Viewer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1B4F8A" w:sz="8"/>
              <w:bottom w:val="single" w:color="2E75B6" w:sz="1"/>
              <w:right w:val="single" w:color="2E75B6" w:sz="1"/>
            </w:tcBorders>
            <w:shd w:fill="F0F5FC" w:val="clear"/>
            <w:tcMar>
              <w:top w:type="dxa" w:w="160"/>
              <w:left w:type="dxa" w:w="220"/>
              <w:bottom w:type="dxa" w:w="60"/>
              <w:right w:type="dxa" w:w="220"/>
            </w:tcMar>
          </w:tcPr>
          <w:p>
            <w:r>
              <w:rPr>
                <w:rFonts w:ascii="Arial" w:cs="Arial" w:eastAsia="Arial" w:hAnsi="Arial"/>
                <w:b/>
                <w:bCs/>
                <w:color w:val="1B4F8A"/>
                <w:sz w:val="23"/>
                <w:szCs w:val="23"/>
              </w:rPr>
              <w:t xml:space="preserve">⬜  3D Structure Viewer  —  /tools/structure-viewer</w:t>
            </w:r>
          </w:p>
          <w:p>
            <w:pPr>
              <w:spacing w:before="60" w:after="80"/>
            </w:pPr>
            <w:r>
              <w:rPr>
                <w:rFonts w:ascii="Arial" w:cs="Arial" w:eastAsia="Arial" w:hAnsi="Arial"/>
                <w:i/>
                <w:iCs/>
                <w:color w:val="666666"/>
                <w:sz w:val="20"/>
                <w:szCs w:val="20"/>
              </w:rPr>
              <w:t xml:space="preserve">Web-based full-feature equivalent of UCSF Chimera. Standalone tool — no AI required.</w:t>
            </w:r>
          </w:p>
        </w:tc>
      </w:tr>
      <w:tr>
        <w:tc>
          <w:tcPr>
            <w:tcBorders>
              <w:top w:val="none"/>
              <w:left w:val="single" w:color="1B4F8A" w:sz="8"/>
              <w:bottom w:val="none"/>
              <w:right w:val="single" w:color="2E75B6" w:sz="1"/>
            </w:tcBorders>
            <w:shd w:fill="FFFFFF" w:val="clear"/>
            <w:tcMar>
              <w:top w:type="dxa" w:w="80"/>
              <w:left w:type="dxa" w:w="300"/>
              <w:bottom w:type="dxa" w:w="80"/>
              <w:right w:type="dxa" w:w="220"/>
            </w:tcMar>
          </w:tcPr>
          <w:p>
            <w:r>
              <w:rPr>
                <w:rFonts w:ascii="Arial" w:cs="Arial" w:eastAsia="Arial" w:hAnsi="Arial"/>
                <w:color w:val="0070C0"/>
                <w:sz w:val="20"/>
                <w:szCs w:val="20"/>
              </w:rPr>
              <w:t xml:space="preserve">▸ </w:t>
            </w:r>
            <w:r>
              <w:rPr>
                <w:rFonts w:ascii="Arial" w:cs="Arial" w:eastAsia="Arial" w:hAnsi="Arial"/>
                <w:b/>
                <w:bCs/>
                <w:color w:val="1A1A2E"/>
                <w:sz w:val="20"/>
                <w:szCs w:val="20"/>
              </w:rPr>
              <w:t xml:space="preserve">Top Bar:  </w:t>
            </w:r>
            <w:r>
              <w:rPr>
                <w:rFonts w:ascii="Arial" w:cs="Arial" w:eastAsia="Arial" w:hAnsi="Arial"/>
                <w:color w:val="1A1A2E"/>
                <w:sz w:val="20"/>
                <w:szCs w:val="20"/>
              </w:rPr>
              <w:t xml:space="preserve">Shared global nav + breadcrumb: Dashboard &gt; 3D Structure Viewer.</w:t>
            </w:r>
          </w:p>
        </w:tc>
      </w:tr>
      <w:tr>
        <w:tc>
          <w:tcPr>
            <w:tcBorders>
              <w:top w:val="none"/>
              <w:left w:val="single" w:color="1B4F8A" w:sz="8"/>
              <w:bottom w:val="none"/>
              <w:right w:val="single" w:color="2E75B6" w:sz="1"/>
            </w:tcBorders>
            <w:shd w:fill="F7FAFF" w:val="clear"/>
            <w:tcMar>
              <w:top w:type="dxa" w:w="80"/>
              <w:left w:type="dxa" w:w="300"/>
              <w:bottom w:type="dxa" w:w="80"/>
              <w:right w:type="dxa" w:w="220"/>
            </w:tcMar>
          </w:tcPr>
          <w:p>
            <w:r>
              <w:rPr>
                <w:rFonts w:ascii="Arial" w:cs="Arial" w:eastAsia="Arial" w:hAnsi="Arial"/>
                <w:color w:val="0070C0"/>
                <w:sz w:val="20"/>
                <w:szCs w:val="20"/>
              </w:rPr>
              <w:t xml:space="preserve">▸ </w:t>
            </w:r>
            <w:r>
              <w:rPr>
                <w:rFonts w:ascii="Arial" w:cs="Arial" w:eastAsia="Arial" w:hAnsi="Arial"/>
                <w:b/>
                <w:bCs/>
                <w:color w:val="1A1A2E"/>
                <w:sz w:val="20"/>
                <w:szCs w:val="20"/>
              </w:rPr>
              <w:t xml:space="preserve">Input Panel (left, 280px):  </w:t>
            </w:r>
            <w:r>
              <w:rPr>
                <w:rFonts w:ascii="Arial" w:cs="Arial" w:eastAsia="Arial" w:hAnsi="Arial"/>
                <w:color w:val="1A1A2E"/>
                <w:sz w:val="20"/>
                <w:szCs w:val="20"/>
              </w:rPr>
              <w:t xml:space="preserve">Input mode tabs: 'PDB ID' | 'UniProt ID' | 'Upload File'. Text input or file dropzone. Representation selector (Cartoon / Surface / Ball-Stick). Color scheme selector (pLDDT / B-factor / Secondary Structure / Chain). 'Load Structure' button (primary). Residue Info accordion: expands on residue click.</w:t>
            </w:r>
          </w:p>
        </w:tc>
      </w:tr>
      <w:tr>
        <w:tc>
          <w:tcPr>
            <w:tcBorders>
              <w:top w:val="none"/>
              <w:left w:val="single" w:color="1B4F8A" w:sz="8"/>
              <w:bottom w:val="none"/>
              <w:right w:val="single" w:color="2E75B6" w:sz="1"/>
            </w:tcBorders>
            <w:shd w:fill="FFFFFF" w:val="clear"/>
            <w:tcMar>
              <w:top w:type="dxa" w:w="80"/>
              <w:left w:type="dxa" w:w="300"/>
              <w:bottom w:type="dxa" w:w="80"/>
              <w:right w:type="dxa" w:w="220"/>
            </w:tcMar>
          </w:tcPr>
          <w:p>
            <w:r>
              <w:rPr>
                <w:rFonts w:ascii="Arial" w:cs="Arial" w:eastAsia="Arial" w:hAnsi="Arial"/>
                <w:color w:val="0070C0"/>
                <w:sz w:val="20"/>
                <w:szCs w:val="20"/>
              </w:rPr>
              <w:t xml:space="preserve">▸ </w:t>
            </w:r>
            <w:r>
              <w:rPr>
                <w:rFonts w:ascii="Arial" w:cs="Arial" w:eastAsia="Arial" w:hAnsi="Arial"/>
                <w:b/>
                <w:bCs/>
                <w:color w:val="1A1A2E"/>
                <w:sz w:val="20"/>
                <w:szCs w:val="20"/>
              </w:rPr>
              <w:t xml:space="preserve">3D Canvas (center, fill):  </w:t>
            </w:r>
            <w:r>
              <w:rPr>
                <w:rFonts w:ascii="Arial" w:cs="Arial" w:eastAsia="Arial" w:hAnsi="Arial"/>
                <w:color w:val="1A1A2E"/>
                <w:sz w:val="20"/>
                <w:szCs w:val="20"/>
              </w:rPr>
              <w:t xml:space="preserve">Full Mol* viewer. Toolbar overlay (top): zoom controls, reset view, export PNG. Bottom-left overlay: protein name + UniProt ID + resolution/pLDDT mean. Loading state: centered spinner with 'Fetching structure...' message.</w:t>
            </w:r>
          </w:p>
        </w:tc>
      </w:tr>
      <w:tr>
        <w:tc>
          <w:tcPr>
            <w:tcBorders>
              <w:top w:val="none"/>
              <w:left w:val="single" w:color="1B4F8A" w:sz="8"/>
              <w:bottom w:val="none"/>
              <w:right w:val="single" w:color="2E75B6" w:sz="1"/>
            </w:tcBorders>
            <w:shd w:fill="F7FAFF" w:val="clear"/>
            <w:tcMar>
              <w:top w:type="dxa" w:w="80"/>
              <w:left w:type="dxa" w:w="300"/>
              <w:bottom w:type="dxa" w:w="80"/>
              <w:right w:type="dxa" w:w="220"/>
            </w:tcMar>
          </w:tcPr>
          <w:p>
            <w:r>
              <w:rPr>
                <w:rFonts w:ascii="Arial" w:cs="Arial" w:eastAsia="Arial" w:hAnsi="Arial"/>
                <w:color w:val="0070C0"/>
                <w:sz w:val="20"/>
                <w:szCs w:val="20"/>
              </w:rPr>
              <w:t xml:space="preserve">▸ </w:t>
            </w:r>
            <w:r>
              <w:rPr>
                <w:rFonts w:ascii="Arial" w:cs="Arial" w:eastAsia="Arial" w:hAnsi="Arial"/>
                <w:b/>
                <w:bCs/>
                <w:color w:val="1A1A2E"/>
                <w:sz w:val="20"/>
                <w:szCs w:val="20"/>
              </w:rPr>
              <w:t xml:space="preserve">pLDDT Legend (canvas overlay, bottom-right):  </w:t>
            </w:r>
            <w:r>
              <w:rPr>
                <w:rFonts w:ascii="Arial" w:cs="Arial" w:eastAsia="Arial" w:hAnsi="Arial"/>
                <w:color w:val="1A1A2E"/>
                <w:sz w:val="20"/>
                <w:szCs w:val="20"/>
              </w:rPr>
              <w:t xml:space="preserve">Vertical color scale: Very High (&gt;90) · Confident (70–90) · Low (50–70) · Very Low (&lt;50). Only shown when color scheme = pLDDT.</w:t>
            </w:r>
          </w:p>
        </w:tc>
      </w:tr>
      <w:tr>
        <w:tc>
          <w:tcPr>
            <w:tcBorders>
              <w:top w:val="none"/>
              <w:left w:val="single" w:color="1B4F8A" w:sz="8"/>
              <w:bottom w:val="none"/>
              <w:right w:val="single" w:color="2E75B6" w:sz="1"/>
            </w:tcBorders>
            <w:shd w:fill="FFFFFF" w:val="clear"/>
            <w:tcMar>
              <w:top w:type="dxa" w:w="80"/>
              <w:left w:type="dxa" w:w="300"/>
              <w:bottom w:type="dxa" w:w="80"/>
              <w:right w:type="dxa" w:w="220"/>
            </w:tcMar>
          </w:tcPr>
          <w:p>
            <w:r>
              <w:rPr>
                <w:rFonts w:ascii="Arial" w:cs="Arial" w:eastAsia="Arial" w:hAnsi="Arial"/>
                <w:color w:val="0070C0"/>
                <w:sz w:val="20"/>
                <w:szCs w:val="20"/>
              </w:rPr>
              <w:t xml:space="preserve">▸ </w:t>
            </w:r>
            <w:r>
              <w:rPr>
                <w:rFonts w:ascii="Arial" w:cs="Arial" w:eastAsia="Arial" w:hAnsi="Arial"/>
                <w:b/>
                <w:bCs/>
                <w:color w:val="1A1A2E"/>
                <w:sz w:val="20"/>
                <w:szCs w:val="20"/>
              </w:rPr>
              <w:t xml:space="preserve">PAE Plot Panel (right, 320px, collapsible):  </w:t>
            </w:r>
            <w:r>
              <w:rPr>
                <w:rFonts w:ascii="Arial" w:cs="Arial" w:eastAsia="Arial" w:hAnsi="Arial"/>
                <w:color w:val="1A1A2E"/>
                <w:sz w:val="20"/>
                <w:szCs w:val="20"/>
              </w:rPr>
              <w:t xml:space="preserve">PAE matrix heatmap (NxN where N = sequence length). Interaction: click a cell → highlights corresponding residues in 3D viewer. Header: 'Predicted Aligned Error'. Info tooltip explaining PAE interpretation.</w:t>
            </w:r>
          </w:p>
        </w:tc>
      </w:tr>
      <w:tr>
        <w:tc>
          <w:tcPr>
            <w:tcBorders>
              <w:top w:val="none"/>
              <w:left w:val="single" w:color="1B4F8A" w:sz="8"/>
              <w:bottom w:val="single" w:color="2E75B6" w:sz="1"/>
              <w:right w:val="single" w:color="2E75B6" w:sz="1"/>
            </w:tcBorders>
            <w:shd w:fill="EBF3FB" w:val="clear"/>
            <w:tcMar>
              <w:top w:type="dxa" w:w="40"/>
              <w:left w:type="dxa" w:w="220"/>
              <w:bottom w:type="dxa" w:w="40"/>
              <w:right w:type="dxa" w:w="220"/>
            </w:tcMar>
          </w:tcPr>
          <w:p>
            <w:r>
              <w:rPr>
                <w:rFonts w:ascii="Arial" w:cs="Arial" w:eastAsia="Arial" w:hAnsi="Arial"/>
                <w:sz w:val="16"/>
                <w:szCs w:val="16"/>
              </w:rPr>
              <w:t xml:space="preserve"/>
            </w:r>
          </w:p>
        </w:tc>
      </w:tr>
    </w:tbl>
    <w:p>
      <w:pPr>
        <w:spacing w:before="80" w:after="80"/>
      </w:pPr>
      <w:r>
        <w:t xml:space="preserve"/>
      </w:r>
    </w:p>
    <w:p>
      <w:pPr>
        <w:pStyle w:val="Heading3"/>
        <w:spacing w:before="200" w:after="80"/>
      </w:pPr>
      <w:r>
        <w:rPr>
          <w:rFonts w:ascii="Arial" w:cs="Arial" w:eastAsia="Arial" w:hAnsi="Arial"/>
          <w:b/>
          <w:bCs/>
          <w:color w:val="0070C0"/>
          <w:sz w:val="24"/>
          <w:szCs w:val="24"/>
        </w:rPr>
        <w:t xml:space="preserve">5.5.3  Protein Function Prediction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1B4F8A" w:sz="8"/>
              <w:bottom w:val="single" w:color="2E75B6" w:sz="1"/>
              <w:right w:val="single" w:color="2E75B6" w:sz="1"/>
            </w:tcBorders>
            <w:shd w:fill="F0F5FC" w:val="clear"/>
            <w:tcMar>
              <w:top w:type="dxa" w:w="160"/>
              <w:left w:type="dxa" w:w="220"/>
              <w:bottom w:type="dxa" w:w="60"/>
              <w:right w:type="dxa" w:w="220"/>
            </w:tcMar>
          </w:tcPr>
          <w:p>
            <w:r>
              <w:rPr>
                <w:rFonts w:ascii="Arial" w:cs="Arial" w:eastAsia="Arial" w:hAnsi="Arial"/>
                <w:b/>
                <w:bCs/>
                <w:color w:val="1B4F8A"/>
                <w:sz w:val="23"/>
                <w:szCs w:val="23"/>
              </w:rPr>
              <w:t xml:space="preserve">⬜  Function Prediction Report  —  /predict/function</w:t>
            </w:r>
          </w:p>
          <w:p>
            <w:pPr>
              <w:spacing w:before="60" w:after="80"/>
            </w:pPr>
            <w:r>
              <w:rPr>
                <w:rFonts w:ascii="Arial" w:cs="Arial" w:eastAsia="Arial" w:hAnsi="Arial"/>
                <w:i/>
                <w:iCs/>
                <w:color w:val="666666"/>
                <w:sz w:val="20"/>
                <w:szCs w:val="20"/>
              </w:rPr>
              <w:t xml:space="preserve">AI-generated prediction output. Combines model results with integrated visualizations.</w:t>
            </w:r>
          </w:p>
        </w:tc>
      </w:tr>
      <w:tr>
        <w:tc>
          <w:tcPr>
            <w:tcBorders>
              <w:top w:val="none"/>
              <w:left w:val="single" w:color="1B4F8A" w:sz="8"/>
              <w:bottom w:val="none"/>
              <w:right w:val="single" w:color="2E75B6" w:sz="1"/>
            </w:tcBorders>
            <w:shd w:fill="FFFFFF" w:val="clear"/>
            <w:tcMar>
              <w:top w:type="dxa" w:w="80"/>
              <w:left w:type="dxa" w:w="300"/>
              <w:bottom w:type="dxa" w:w="80"/>
              <w:right w:type="dxa" w:w="220"/>
            </w:tcMar>
          </w:tcPr>
          <w:p>
            <w:r>
              <w:rPr>
                <w:rFonts w:ascii="Arial" w:cs="Arial" w:eastAsia="Arial" w:hAnsi="Arial"/>
                <w:color w:val="0070C0"/>
                <w:sz w:val="20"/>
                <w:szCs w:val="20"/>
              </w:rPr>
              <w:t xml:space="preserve">▸ </w:t>
            </w:r>
            <w:r>
              <w:rPr>
                <w:rFonts w:ascii="Arial" w:cs="Arial" w:eastAsia="Arial" w:hAnsi="Arial"/>
                <w:b/>
                <w:bCs/>
                <w:color w:val="1A1A2E"/>
                <w:sz w:val="20"/>
                <w:szCs w:val="20"/>
              </w:rPr>
              <w:t xml:space="preserve">Top Bar + Breadcrumb:  </w:t>
            </w:r>
            <w:r>
              <w:rPr>
                <w:rFonts w:ascii="Arial" w:cs="Arial" w:eastAsia="Arial" w:hAnsi="Arial"/>
                <w:color w:val="1A1A2E"/>
                <w:sz w:val="20"/>
                <w:szCs w:val="20"/>
              </w:rPr>
              <w:t xml:space="preserve">Dashboard &gt; Function Prediction &gt; [UniProt ID]. Right: 'Export PDF' button · 'Share' link button.</w:t>
            </w:r>
          </w:p>
        </w:tc>
      </w:tr>
      <w:tr>
        <w:tc>
          <w:tcPr>
            <w:tcBorders>
              <w:top w:val="none"/>
              <w:left w:val="single" w:color="1B4F8A" w:sz="8"/>
              <w:bottom w:val="none"/>
              <w:right w:val="single" w:color="2E75B6" w:sz="1"/>
            </w:tcBorders>
            <w:shd w:fill="F7FAFF" w:val="clear"/>
            <w:tcMar>
              <w:top w:type="dxa" w:w="80"/>
              <w:left w:type="dxa" w:w="300"/>
              <w:bottom w:type="dxa" w:w="80"/>
              <w:right w:type="dxa" w:w="220"/>
            </w:tcMar>
          </w:tcPr>
          <w:p>
            <w:r>
              <w:rPr>
                <w:rFonts w:ascii="Arial" w:cs="Arial" w:eastAsia="Arial" w:hAnsi="Arial"/>
                <w:color w:val="0070C0"/>
                <w:sz w:val="20"/>
                <w:szCs w:val="20"/>
              </w:rPr>
              <w:t xml:space="preserve">▸ </w:t>
            </w:r>
            <w:r>
              <w:rPr>
                <w:rFonts w:ascii="Arial" w:cs="Arial" w:eastAsia="Arial" w:hAnsi="Arial"/>
                <w:b/>
                <w:bCs/>
                <w:color w:val="1A1A2E"/>
                <w:sz w:val="20"/>
                <w:szCs w:val="20"/>
              </w:rPr>
              <w:t xml:space="preserve">Summary Card (top, full width):  </w:t>
            </w:r>
            <w:r>
              <w:rPr>
                <w:rFonts w:ascii="Arial" w:cs="Arial" w:eastAsia="Arial" w:hAnsi="Arial"/>
                <w:color w:val="1A1A2E"/>
                <w:sz w:val="20"/>
                <w:szCs w:val="20"/>
              </w:rPr>
              <w:t xml:space="preserve">Protein name + organism (H2). Plain-language summary paragraph (auto-generated). Top 3 predicted GO terms as colored chip badges with confidence meters. Model version + dataset version in small caption.</w:t>
            </w:r>
          </w:p>
        </w:tc>
      </w:tr>
      <w:tr>
        <w:tc>
          <w:tcPr>
            <w:tcBorders>
              <w:top w:val="none"/>
              <w:left w:val="single" w:color="1B4F8A" w:sz="8"/>
              <w:bottom w:val="none"/>
              <w:right w:val="single" w:color="2E75B6" w:sz="1"/>
            </w:tcBorders>
            <w:shd w:fill="FFFFFF" w:val="clear"/>
            <w:tcMar>
              <w:top w:type="dxa" w:w="80"/>
              <w:left w:type="dxa" w:w="300"/>
              <w:bottom w:type="dxa" w:w="80"/>
              <w:right w:type="dxa" w:w="220"/>
            </w:tcMar>
          </w:tcPr>
          <w:p>
            <w:r>
              <w:rPr>
                <w:rFonts w:ascii="Arial" w:cs="Arial" w:eastAsia="Arial" w:hAnsi="Arial"/>
                <w:color w:val="0070C0"/>
                <w:sz w:val="20"/>
                <w:szCs w:val="20"/>
              </w:rPr>
              <w:t xml:space="preserve">▸ </w:t>
            </w:r>
            <w:r>
              <w:rPr>
                <w:rFonts w:ascii="Arial" w:cs="Arial" w:eastAsia="Arial" w:hAnsi="Arial"/>
                <w:b/>
                <w:bCs/>
                <w:color w:val="1A1A2E"/>
                <w:sz w:val="20"/>
                <w:szCs w:val="20"/>
              </w:rPr>
              <w:t xml:space="preserve">Tabbed Detail Area (full width, below summary):  </w:t>
            </w:r>
            <w:r>
              <w:rPr>
                <w:rFonts w:ascii="Arial" w:cs="Arial" w:eastAsia="Arial" w:hAnsi="Arial"/>
                <w:color w:val="1A1A2E"/>
                <w:sz w:val="20"/>
                <w:szCs w:val="20"/>
              </w:rPr>
              <w:t xml:space="preserve">Tabs: 'Predictions' | 'Sequence View' | '3D Structure' | 'Evidence' | 'How it Works'. Active tab underlined in C.blue. Content area below tabs: renders the relevant sub-component.</w:t>
            </w:r>
          </w:p>
        </w:tc>
      </w:tr>
      <w:tr>
        <w:tc>
          <w:tcPr>
            <w:tcBorders>
              <w:top w:val="none"/>
              <w:left w:val="single" w:color="1B4F8A" w:sz="8"/>
              <w:bottom w:val="none"/>
              <w:right w:val="single" w:color="2E75B6" w:sz="1"/>
            </w:tcBorders>
            <w:shd w:fill="F7FAFF" w:val="clear"/>
            <w:tcMar>
              <w:top w:type="dxa" w:w="80"/>
              <w:left w:type="dxa" w:w="300"/>
              <w:bottom w:type="dxa" w:w="80"/>
              <w:right w:type="dxa" w:w="220"/>
            </w:tcMar>
          </w:tcPr>
          <w:p>
            <w:r>
              <w:rPr>
                <w:rFonts w:ascii="Arial" w:cs="Arial" w:eastAsia="Arial" w:hAnsi="Arial"/>
                <w:color w:val="0070C0"/>
                <w:sz w:val="20"/>
                <w:szCs w:val="20"/>
              </w:rPr>
              <w:t xml:space="preserve">▸ </w:t>
            </w:r>
            <w:r>
              <w:rPr>
                <w:rFonts w:ascii="Arial" w:cs="Arial" w:eastAsia="Arial" w:hAnsi="Arial"/>
                <w:b/>
                <w:bCs/>
                <w:color w:val="1A1A2E"/>
                <w:sz w:val="20"/>
                <w:szCs w:val="20"/>
              </w:rPr>
              <w:t xml:space="preserve">Tab: Predictions:  </w:t>
            </w:r>
            <w:r>
              <w:rPr>
                <w:rFonts w:ascii="Arial" w:cs="Arial" w:eastAsia="Arial" w:hAnsi="Arial"/>
                <w:color w:val="1A1A2E"/>
                <w:sz w:val="20"/>
                <w:szCs w:val="20"/>
              </w:rPr>
              <w:t xml:space="preserve">DataTable of all predicted GO MF terms: GO ID · Term name · Confidence score (bar + %) · Evidence badge · 'View in GO' link. Sortable by confidence.</w:t>
            </w:r>
          </w:p>
        </w:tc>
      </w:tr>
      <w:tr>
        <w:tc>
          <w:tcPr>
            <w:tcBorders>
              <w:top w:val="none"/>
              <w:left w:val="single" w:color="1B4F8A" w:sz="8"/>
              <w:bottom w:val="none"/>
              <w:right w:val="single" w:color="2E75B6" w:sz="1"/>
            </w:tcBorders>
            <w:shd w:fill="FFFFFF" w:val="clear"/>
            <w:tcMar>
              <w:top w:type="dxa" w:w="80"/>
              <w:left w:type="dxa" w:w="300"/>
              <w:bottom w:type="dxa" w:w="80"/>
              <w:right w:type="dxa" w:w="220"/>
            </w:tcMar>
          </w:tcPr>
          <w:p>
            <w:r>
              <w:rPr>
                <w:rFonts w:ascii="Arial" w:cs="Arial" w:eastAsia="Arial" w:hAnsi="Arial"/>
                <w:color w:val="0070C0"/>
                <w:sz w:val="20"/>
                <w:szCs w:val="20"/>
              </w:rPr>
              <w:t xml:space="preserve">▸ </w:t>
            </w:r>
            <w:r>
              <w:rPr>
                <w:rFonts w:ascii="Arial" w:cs="Arial" w:eastAsia="Arial" w:hAnsi="Arial"/>
                <w:b/>
                <w:bCs/>
                <w:color w:val="1A1A2E"/>
                <w:sz w:val="20"/>
                <w:szCs w:val="20"/>
              </w:rPr>
              <w:t xml:space="preserve">Tab: Sequence View:  </w:t>
            </w:r>
            <w:r>
              <w:rPr>
                <w:rFonts w:ascii="Arial" w:cs="Arial" w:eastAsia="Arial" w:hAnsi="Arial"/>
                <w:color w:val="1A1A2E"/>
                <w:sz w:val="20"/>
                <w:szCs w:val="20"/>
              </w:rPr>
              <w:t xml:space="preserve">Full SequenceAnnotator component. Toggle: 'Show attention heatmap' / 'Show GO regions' / 'Both'. Residue hover tooltip: amino acid · position · pLDDT · annotations.</w:t>
            </w:r>
          </w:p>
        </w:tc>
      </w:tr>
      <w:tr>
        <w:tc>
          <w:tcPr>
            <w:tcBorders>
              <w:top w:val="none"/>
              <w:left w:val="single" w:color="1B4F8A" w:sz="8"/>
              <w:bottom w:val="none"/>
              <w:right w:val="single" w:color="2E75B6" w:sz="1"/>
            </w:tcBorders>
            <w:shd w:fill="F7FAFF" w:val="clear"/>
            <w:tcMar>
              <w:top w:type="dxa" w:w="80"/>
              <w:left w:type="dxa" w:w="300"/>
              <w:bottom w:type="dxa" w:w="80"/>
              <w:right w:type="dxa" w:w="220"/>
            </w:tcMar>
          </w:tcPr>
          <w:p>
            <w:r>
              <w:rPr>
                <w:rFonts w:ascii="Arial" w:cs="Arial" w:eastAsia="Arial" w:hAnsi="Arial"/>
                <w:color w:val="0070C0"/>
                <w:sz w:val="20"/>
                <w:szCs w:val="20"/>
              </w:rPr>
              <w:t xml:space="preserve">▸ </w:t>
            </w:r>
            <w:r>
              <w:rPr>
                <w:rFonts w:ascii="Arial" w:cs="Arial" w:eastAsia="Arial" w:hAnsi="Arial"/>
                <w:b/>
                <w:bCs/>
                <w:color w:val="1A1A2E"/>
                <w:sz w:val="20"/>
                <w:szCs w:val="20"/>
              </w:rPr>
              <w:t xml:space="preserve">Tab: 3D Structure:  </w:t>
            </w:r>
            <w:r>
              <w:rPr>
                <w:rFonts w:ascii="Arial" w:cs="Arial" w:eastAsia="Arial" w:hAnsi="Arial"/>
                <w:color w:val="1A1A2E"/>
                <w:sz w:val="20"/>
                <w:szCs w:val="20"/>
              </w:rPr>
              <w:t xml:space="preserve">Embedded StructureViewer (compact mode). Predicted functional residues highlighted in C.accent. Toggle between 'Functional residues' and 'pLDDT coloring' highlight modes.</w:t>
            </w:r>
          </w:p>
        </w:tc>
      </w:tr>
      <w:tr>
        <w:tc>
          <w:tcPr>
            <w:tcBorders>
              <w:top w:val="none"/>
              <w:left w:val="single" w:color="1B4F8A" w:sz="8"/>
              <w:bottom w:val="none"/>
              <w:right w:val="single" w:color="2E75B6" w:sz="1"/>
            </w:tcBorders>
            <w:shd w:fill="FFFFFF" w:val="clear"/>
            <w:tcMar>
              <w:top w:type="dxa" w:w="80"/>
              <w:left w:type="dxa" w:w="300"/>
              <w:bottom w:type="dxa" w:w="80"/>
              <w:right w:type="dxa" w:w="220"/>
            </w:tcMar>
          </w:tcPr>
          <w:p>
            <w:r>
              <w:rPr>
                <w:rFonts w:ascii="Arial" w:cs="Arial" w:eastAsia="Arial" w:hAnsi="Arial"/>
                <w:color w:val="0070C0"/>
                <w:sz w:val="20"/>
                <w:szCs w:val="20"/>
              </w:rPr>
              <w:t xml:space="preserve">▸ </w:t>
            </w:r>
            <w:r>
              <w:rPr>
                <w:rFonts w:ascii="Arial" w:cs="Arial" w:eastAsia="Arial" w:hAnsi="Arial"/>
                <w:b/>
                <w:bCs/>
                <w:color w:val="1A1A2E"/>
                <w:sz w:val="20"/>
                <w:szCs w:val="20"/>
              </w:rPr>
              <w:t xml:space="preserve">Tab: Evidence:  </w:t>
            </w:r>
            <w:r>
              <w:rPr>
                <w:rFonts w:ascii="Arial" w:cs="Arial" w:eastAsia="Arial" w:hAnsi="Arial"/>
                <w:color w:val="1A1A2E"/>
                <w:sz w:val="20"/>
                <w:szCs w:val="20"/>
              </w:rPr>
              <w:t xml:space="preserve">EvidenceGraph component centered. Legend: Prediction node (blue) → UniProt feature nodes (green) → GO term nodes (teal) → Literature nodes (gray). Depth selector: 1 / 2 / 3 hops.</w:t>
            </w:r>
          </w:p>
        </w:tc>
      </w:tr>
      <w:tr>
        <w:tc>
          <w:tcPr>
            <w:tcBorders>
              <w:top w:val="none"/>
              <w:left w:val="single" w:color="1B4F8A" w:sz="8"/>
              <w:bottom w:val="none"/>
              <w:right w:val="single" w:color="2E75B6" w:sz="1"/>
            </w:tcBorders>
            <w:shd w:fill="F7FAFF" w:val="clear"/>
            <w:tcMar>
              <w:top w:type="dxa" w:w="80"/>
              <w:left w:type="dxa" w:w="300"/>
              <w:bottom w:type="dxa" w:w="80"/>
              <w:right w:type="dxa" w:w="220"/>
            </w:tcMar>
          </w:tcPr>
          <w:p>
            <w:r>
              <w:rPr>
                <w:rFonts w:ascii="Arial" w:cs="Arial" w:eastAsia="Arial" w:hAnsi="Arial"/>
                <w:color w:val="0070C0"/>
                <w:sz w:val="20"/>
                <w:szCs w:val="20"/>
              </w:rPr>
              <w:t xml:space="preserve">▸ </w:t>
            </w:r>
            <w:r>
              <w:rPr>
                <w:rFonts w:ascii="Arial" w:cs="Arial" w:eastAsia="Arial" w:hAnsi="Arial"/>
                <w:b/>
                <w:bCs/>
                <w:color w:val="1A1A2E"/>
                <w:sz w:val="20"/>
                <w:szCs w:val="20"/>
              </w:rPr>
              <w:t xml:space="preserve">Tab: How it Works:  </w:t>
            </w:r>
            <w:r>
              <w:rPr>
                <w:rFonts w:ascii="Arial" w:cs="Arial" w:eastAsia="Arial" w:hAnsi="Arial"/>
                <w:color w:val="1A1A2E"/>
                <w:sz w:val="20"/>
                <w:szCs w:val="20"/>
              </w:rPr>
              <w:t xml:space="preserve">Step-by-step explanation accordion: Step 1 (embedding) → Step 2 (classification) → Step 3 (attention) → Step 4 (evidence assembly). Each step expandable with technical detail.</w:t>
            </w:r>
          </w:p>
        </w:tc>
      </w:tr>
      <w:tr>
        <w:tc>
          <w:tcPr>
            <w:tcBorders>
              <w:top w:val="none"/>
              <w:left w:val="single" w:color="1B4F8A" w:sz="8"/>
              <w:bottom w:val="single" w:color="2E75B6" w:sz="1"/>
              <w:right w:val="single" w:color="2E75B6" w:sz="1"/>
            </w:tcBorders>
            <w:shd w:fill="EBF3FB" w:val="clear"/>
            <w:tcMar>
              <w:top w:type="dxa" w:w="40"/>
              <w:left w:type="dxa" w:w="220"/>
              <w:bottom w:type="dxa" w:w="40"/>
              <w:right w:type="dxa" w:w="220"/>
            </w:tcMar>
          </w:tcPr>
          <w:p>
            <w:r>
              <w:rPr>
                <w:rFonts w:ascii="Arial" w:cs="Arial" w:eastAsia="Arial" w:hAnsi="Arial"/>
                <w:sz w:val="16"/>
                <w:szCs w:val="16"/>
              </w:rPr>
              <w:t xml:space="preserve"/>
            </w:r>
          </w:p>
        </w:tc>
      </w:tr>
    </w:tbl>
    <w:p>
      <w:pPr>
        <w:spacing w:before="80" w:after="80"/>
      </w:pPr>
      <w:r>
        <w:t xml:space="preserve"/>
      </w:r>
    </w:p>
    <w:p>
      <w:pPr>
        <w:pStyle w:val="Heading3"/>
        <w:spacing w:before="200" w:after="80"/>
      </w:pPr>
      <w:r>
        <w:rPr>
          <w:rFonts w:ascii="Arial" w:cs="Arial" w:eastAsia="Arial" w:hAnsi="Arial"/>
          <w:b/>
          <w:bCs/>
          <w:color w:val="0070C0"/>
          <w:sz w:val="24"/>
          <w:szCs w:val="24"/>
        </w:rPr>
        <w:t xml:space="preserve">5.5.4  PPI Prediction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1B4F8A" w:sz="8"/>
              <w:bottom w:val="single" w:color="2E75B6" w:sz="1"/>
              <w:right w:val="single" w:color="2E75B6" w:sz="1"/>
            </w:tcBorders>
            <w:shd w:fill="F0F5FC" w:val="clear"/>
            <w:tcMar>
              <w:top w:type="dxa" w:w="160"/>
              <w:left w:type="dxa" w:w="220"/>
              <w:bottom w:type="dxa" w:w="60"/>
              <w:right w:type="dxa" w:w="220"/>
            </w:tcMar>
          </w:tcPr>
          <w:p>
            <w:r>
              <w:rPr>
                <w:rFonts w:ascii="Arial" w:cs="Arial" w:eastAsia="Arial" w:hAnsi="Arial"/>
                <w:b/>
                <w:bCs/>
                <w:color w:val="1B4F8A"/>
                <w:sz w:val="23"/>
                <w:szCs w:val="23"/>
              </w:rPr>
              <w:t xml:space="preserve">⬜  PPI Prediction Report  —  /predict/ppi</w:t>
            </w:r>
          </w:p>
          <w:p>
            <w:pPr>
              <w:spacing w:before="60" w:after="80"/>
            </w:pPr>
            <w:r>
              <w:rPr>
                <w:rFonts w:ascii="Arial" w:cs="Arial" w:eastAsia="Arial" w:hAnsi="Arial"/>
                <w:i/>
                <w:iCs/>
                <w:color w:val="666666"/>
                <w:sz w:val="20"/>
                <w:szCs w:val="20"/>
              </w:rPr>
              <w:t xml:space="preserve">Two-protein interaction prediction with binding interface visualization and pharmacological context.</w:t>
            </w:r>
          </w:p>
        </w:tc>
      </w:tr>
      <w:tr>
        <w:tc>
          <w:tcPr>
            <w:tcBorders>
              <w:top w:val="none"/>
              <w:left w:val="single" w:color="1B4F8A" w:sz="8"/>
              <w:bottom w:val="none"/>
              <w:right w:val="single" w:color="2E75B6" w:sz="1"/>
            </w:tcBorders>
            <w:shd w:fill="FFFFFF" w:val="clear"/>
            <w:tcMar>
              <w:top w:type="dxa" w:w="80"/>
              <w:left w:type="dxa" w:w="300"/>
              <w:bottom w:type="dxa" w:w="80"/>
              <w:right w:type="dxa" w:w="220"/>
            </w:tcMar>
          </w:tcPr>
          <w:p>
            <w:r>
              <w:rPr>
                <w:rFonts w:ascii="Arial" w:cs="Arial" w:eastAsia="Arial" w:hAnsi="Arial"/>
                <w:color w:val="0070C0"/>
                <w:sz w:val="20"/>
                <w:szCs w:val="20"/>
              </w:rPr>
              <w:t xml:space="preserve">▸ </w:t>
            </w:r>
            <w:r>
              <w:rPr>
                <w:rFonts w:ascii="Arial" w:cs="Arial" w:eastAsia="Arial" w:hAnsi="Arial"/>
                <w:b/>
                <w:bCs/>
                <w:color w:val="1A1A2E"/>
                <w:sz w:val="20"/>
                <w:szCs w:val="20"/>
              </w:rPr>
              <w:t xml:space="preserve">Top Bar + Input Row:  </w:t>
            </w:r>
            <w:r>
              <w:rPr>
                <w:rFonts w:ascii="Arial" w:cs="Arial" w:eastAsia="Arial" w:hAnsi="Arial"/>
                <w:color w:val="1A1A2E"/>
                <w:sz w:val="20"/>
                <w:szCs w:val="20"/>
              </w:rPr>
              <w:t xml:space="preserve">Two UniProt ID inputs side-by-side with a '↔' icon between them. 'Predict Interaction' button. Shows protein names below inputs once resolved.</w:t>
            </w:r>
          </w:p>
        </w:tc>
      </w:tr>
      <w:tr>
        <w:tc>
          <w:tcPr>
            <w:tcBorders>
              <w:top w:val="none"/>
              <w:left w:val="single" w:color="1B4F8A" w:sz="8"/>
              <w:bottom w:val="none"/>
              <w:right w:val="single" w:color="2E75B6" w:sz="1"/>
            </w:tcBorders>
            <w:shd w:fill="F7FAFF" w:val="clear"/>
            <w:tcMar>
              <w:top w:type="dxa" w:w="80"/>
              <w:left w:type="dxa" w:w="300"/>
              <w:bottom w:type="dxa" w:w="80"/>
              <w:right w:type="dxa" w:w="220"/>
            </w:tcMar>
          </w:tcPr>
          <w:p>
            <w:r>
              <w:rPr>
                <w:rFonts w:ascii="Arial" w:cs="Arial" w:eastAsia="Arial" w:hAnsi="Arial"/>
                <w:color w:val="0070C0"/>
                <w:sz w:val="20"/>
                <w:szCs w:val="20"/>
              </w:rPr>
              <w:t xml:space="preserve">▸ </w:t>
            </w:r>
            <w:r>
              <w:rPr>
                <w:rFonts w:ascii="Arial" w:cs="Arial" w:eastAsia="Arial" w:hAnsi="Arial"/>
                <w:b/>
                <w:bCs/>
                <w:color w:val="1A1A2E"/>
                <w:sz w:val="20"/>
                <w:szCs w:val="20"/>
              </w:rPr>
              <w:t xml:space="preserve">Result Header Card:  </w:t>
            </w:r>
            <w:r>
              <w:rPr>
                <w:rFonts w:ascii="Arial" w:cs="Arial" w:eastAsia="Arial" w:hAnsi="Arial"/>
                <w:color w:val="1A1A2E"/>
                <w:sz w:val="20"/>
                <w:szCs w:val="20"/>
              </w:rPr>
              <w:t xml:space="preserve">Interaction probability score (large, color-coded). Interaction type badge: 'Activating' (green) / 'Inhibitory' (red) / 'Unknown' (gray). Confidence calibration indicator.</w:t>
            </w:r>
          </w:p>
        </w:tc>
      </w:tr>
      <w:tr>
        <w:tc>
          <w:tcPr>
            <w:tcBorders>
              <w:top w:val="none"/>
              <w:left w:val="single" w:color="1B4F8A" w:sz="8"/>
              <w:bottom w:val="none"/>
              <w:right w:val="single" w:color="2E75B6" w:sz="1"/>
            </w:tcBorders>
            <w:shd w:fill="FFFFFF" w:val="clear"/>
            <w:tcMar>
              <w:top w:type="dxa" w:w="80"/>
              <w:left w:type="dxa" w:w="300"/>
              <w:bottom w:type="dxa" w:w="80"/>
              <w:right w:type="dxa" w:w="220"/>
            </w:tcMar>
          </w:tcPr>
          <w:p>
            <w:r>
              <w:rPr>
                <w:rFonts w:ascii="Arial" w:cs="Arial" w:eastAsia="Arial" w:hAnsi="Arial"/>
                <w:color w:val="0070C0"/>
                <w:sz w:val="20"/>
                <w:szCs w:val="20"/>
              </w:rPr>
              <w:t xml:space="preserve">▸ </w:t>
            </w:r>
            <w:r>
              <w:rPr>
                <w:rFonts w:ascii="Arial" w:cs="Arial" w:eastAsia="Arial" w:hAnsi="Arial"/>
                <w:b/>
                <w:bCs/>
                <w:color w:val="1A1A2E"/>
                <w:sz w:val="20"/>
                <w:szCs w:val="20"/>
              </w:rPr>
              <w:t xml:space="preserve">Co-Visualization Panel (left 60%):  </w:t>
            </w:r>
            <w:r>
              <w:rPr>
                <w:rFonts w:ascii="Arial" w:cs="Arial" w:eastAsia="Arial" w:hAnsi="Arial"/>
                <w:color w:val="1A1A2E"/>
                <w:sz w:val="20"/>
                <w:szCs w:val="20"/>
              </w:rPr>
              <w:t xml:space="preserve">StructureViewer in co-visualization mode: both proteins rendered simultaneously. Predicted binding interface highlighted in C.accent. Toggle: 'Show protein A only' / 'Show protein B only' / 'Show both'. Residue click → shows interaction evidence tooltip.</w:t>
            </w:r>
          </w:p>
        </w:tc>
      </w:tr>
      <w:tr>
        <w:tc>
          <w:tcPr>
            <w:tcBorders>
              <w:top w:val="none"/>
              <w:left w:val="single" w:color="1B4F8A" w:sz="8"/>
              <w:bottom w:val="none"/>
              <w:right w:val="single" w:color="2E75B6" w:sz="1"/>
            </w:tcBorders>
            <w:shd w:fill="F7FAFF" w:val="clear"/>
            <w:tcMar>
              <w:top w:type="dxa" w:w="80"/>
              <w:left w:type="dxa" w:w="300"/>
              <w:bottom w:type="dxa" w:w="80"/>
              <w:right w:type="dxa" w:w="220"/>
            </w:tcMar>
          </w:tcPr>
          <w:p>
            <w:r>
              <w:rPr>
                <w:rFonts w:ascii="Arial" w:cs="Arial" w:eastAsia="Arial" w:hAnsi="Arial"/>
                <w:color w:val="0070C0"/>
                <w:sz w:val="20"/>
                <w:szCs w:val="20"/>
              </w:rPr>
              <w:t xml:space="preserve">▸ </w:t>
            </w:r>
            <w:r>
              <w:rPr>
                <w:rFonts w:ascii="Arial" w:cs="Arial" w:eastAsia="Arial" w:hAnsi="Arial"/>
                <w:b/>
                <w:bCs/>
                <w:color w:val="1A1A2E"/>
                <w:sz w:val="20"/>
                <w:szCs w:val="20"/>
              </w:rPr>
              <w:t xml:space="preserve">Interaction Details Panel (right 40%):  </w:t>
            </w:r>
            <w:r>
              <w:rPr>
                <w:rFonts w:ascii="Arial" w:cs="Arial" w:eastAsia="Arial" w:hAnsi="Arial"/>
                <w:color w:val="1A1A2E"/>
                <w:sz w:val="20"/>
                <w:szCs w:val="20"/>
              </w:rPr>
              <w:t xml:space="preserve">Predicted interaction residues list (protein A residues ↔ protein B residues). Confidence per residue pair. Source data: BioGRID / STRING citations.</w:t>
            </w:r>
          </w:p>
        </w:tc>
      </w:tr>
      <w:tr>
        <w:tc>
          <w:tcPr>
            <w:tcBorders>
              <w:top w:val="none"/>
              <w:left w:val="single" w:color="1B4F8A" w:sz="8"/>
              <w:bottom w:val="none"/>
              <w:right w:val="single" w:color="2E75B6" w:sz="1"/>
            </w:tcBorders>
            <w:shd w:fill="FFFFFF" w:val="clear"/>
            <w:tcMar>
              <w:top w:type="dxa" w:w="80"/>
              <w:left w:type="dxa" w:w="300"/>
              <w:bottom w:type="dxa" w:w="80"/>
              <w:right w:type="dxa" w:w="220"/>
            </w:tcMar>
          </w:tcPr>
          <w:p>
            <w:r>
              <w:rPr>
                <w:rFonts w:ascii="Arial" w:cs="Arial" w:eastAsia="Arial" w:hAnsi="Arial"/>
                <w:color w:val="0070C0"/>
                <w:sz w:val="20"/>
                <w:szCs w:val="20"/>
              </w:rPr>
              <w:t xml:space="preserve">▸ </w:t>
            </w:r>
            <w:r>
              <w:rPr>
                <w:rFonts w:ascii="Arial" w:cs="Arial" w:eastAsia="Arial" w:hAnsi="Arial"/>
                <w:b/>
                <w:bCs/>
                <w:color w:val="1A1A2E"/>
                <w:sz w:val="20"/>
                <w:szCs w:val="20"/>
              </w:rPr>
              <w:t xml:space="preserve">Network Context Section (full width):  </w:t>
            </w:r>
            <w:r>
              <w:rPr>
                <w:rFonts w:ascii="Arial" w:cs="Arial" w:eastAsia="Arial" w:hAnsi="Arial"/>
                <w:color w:val="1A1A2E"/>
                <w:sz w:val="20"/>
                <w:szCs w:val="20"/>
              </w:rPr>
              <w:t xml:space="preserve">InteractionGraph centered on the queried protein pair. Both query proteins highlighted in C.blue. Surrounding nodes: known interaction partners. Filter: by STRING confidence threshold.</w:t>
            </w:r>
          </w:p>
        </w:tc>
      </w:tr>
      <w:tr>
        <w:tc>
          <w:tcPr>
            <w:tcBorders>
              <w:top w:val="none"/>
              <w:left w:val="single" w:color="1B4F8A" w:sz="8"/>
              <w:bottom w:val="none"/>
              <w:right w:val="single" w:color="2E75B6" w:sz="1"/>
            </w:tcBorders>
            <w:shd w:fill="F7FAFF" w:val="clear"/>
            <w:tcMar>
              <w:top w:type="dxa" w:w="80"/>
              <w:left w:type="dxa" w:w="300"/>
              <w:bottom w:type="dxa" w:w="80"/>
              <w:right w:type="dxa" w:w="220"/>
            </w:tcMar>
          </w:tcPr>
          <w:p>
            <w:r>
              <w:rPr>
                <w:rFonts w:ascii="Arial" w:cs="Arial" w:eastAsia="Arial" w:hAnsi="Arial"/>
                <w:color w:val="0070C0"/>
                <w:sz w:val="20"/>
                <w:szCs w:val="20"/>
              </w:rPr>
              <w:t xml:space="preserve">▸ </w:t>
            </w:r>
            <w:r>
              <w:rPr>
                <w:rFonts w:ascii="Arial" w:cs="Arial" w:eastAsia="Arial" w:hAnsi="Arial"/>
                <w:b/>
                <w:bCs/>
                <w:color w:val="1A1A2E"/>
                <w:sz w:val="20"/>
                <w:szCs w:val="20"/>
              </w:rPr>
              <w:t xml:space="preserve">Pharmacology Section (full width):  </w:t>
            </w:r>
            <w:r>
              <w:rPr>
                <w:rFonts w:ascii="Arial" w:cs="Arial" w:eastAsia="Arial" w:hAnsi="Arial"/>
                <w:color w:val="1A1A2E"/>
                <w:sz w:val="20"/>
                <w:szCs w:val="20"/>
              </w:rPr>
              <w:t xml:space="preserve">DrugBank results table: Drug name · Mechanism · Target (protein A or B or interface) · Phase (preclinical / clinical) · PubMed link. Empty state: 'No known pharmacological modulators found for this interaction.' </w:t>
            </w:r>
          </w:p>
        </w:tc>
      </w:tr>
      <w:tr>
        <w:tc>
          <w:tcPr>
            <w:tcBorders>
              <w:top w:val="none"/>
              <w:left w:val="single" w:color="1B4F8A" w:sz="8"/>
              <w:bottom w:val="single" w:color="2E75B6" w:sz="1"/>
              <w:right w:val="single" w:color="2E75B6" w:sz="1"/>
            </w:tcBorders>
            <w:shd w:fill="EBF3FB" w:val="clear"/>
            <w:tcMar>
              <w:top w:type="dxa" w:w="40"/>
              <w:left w:type="dxa" w:w="220"/>
              <w:bottom w:type="dxa" w:w="40"/>
              <w:right w:type="dxa" w:w="220"/>
            </w:tcMar>
          </w:tcPr>
          <w:p>
            <w:r>
              <w:rPr>
                <w:rFonts w:ascii="Arial" w:cs="Arial" w:eastAsia="Arial" w:hAnsi="Arial"/>
                <w:sz w:val="16"/>
                <w:szCs w:val="16"/>
              </w:rPr>
              <w:t xml:space="preserve"/>
            </w:r>
          </w:p>
        </w:tc>
      </w:tr>
    </w:tbl>
    <w:p>
      <w:pPr>
        <w:spacing w:before="80" w:after="80"/>
      </w:pPr>
      <w:r>
        <w:t xml:space="preserve"/>
      </w:r>
    </w:p>
    <w:p>
      <w:pPr>
        <w:pStyle w:val="Heading3"/>
        <w:spacing w:before="200" w:after="80"/>
      </w:pPr>
      <w:r>
        <w:rPr>
          <w:rFonts w:ascii="Arial" w:cs="Arial" w:eastAsia="Arial" w:hAnsi="Arial"/>
          <w:b/>
          <w:bCs/>
          <w:color w:val="0070C0"/>
          <w:sz w:val="24"/>
          <w:szCs w:val="24"/>
        </w:rPr>
        <w:t xml:space="preserve">5.5.5  Sequence Annotator (Standalone)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1B4F8A" w:sz="8"/>
              <w:bottom w:val="single" w:color="2E75B6" w:sz="1"/>
              <w:right w:val="single" w:color="2E75B6" w:sz="1"/>
            </w:tcBorders>
            <w:shd w:fill="F0F5FC" w:val="clear"/>
            <w:tcMar>
              <w:top w:type="dxa" w:w="160"/>
              <w:left w:type="dxa" w:w="220"/>
              <w:bottom w:type="dxa" w:w="60"/>
              <w:right w:type="dxa" w:w="220"/>
            </w:tcMar>
          </w:tcPr>
          <w:p>
            <w:r>
              <w:rPr>
                <w:rFonts w:ascii="Arial" w:cs="Arial" w:eastAsia="Arial" w:hAnsi="Arial"/>
                <w:b/>
                <w:bCs/>
                <w:color w:val="1B4F8A"/>
                <w:sz w:val="23"/>
                <w:szCs w:val="23"/>
              </w:rPr>
              <w:t xml:space="preserve">⬜  Sequence Annotator  —  /tools/sequence-annotator</w:t>
            </w:r>
          </w:p>
          <w:p>
            <w:pPr>
              <w:spacing w:before="60" w:after="80"/>
            </w:pPr>
            <w:r>
              <w:rPr>
                <w:rFonts w:ascii="Arial" w:cs="Arial" w:eastAsia="Arial" w:hAnsi="Arial"/>
                <w:i/>
                <w:iCs/>
                <w:color w:val="666666"/>
                <w:sz w:val="20"/>
                <w:szCs w:val="20"/>
              </w:rPr>
              <w:t xml:space="preserve">Standalone annotation view — equivalent to UniProt feature viewer but with AI attention overlay.</w:t>
            </w:r>
          </w:p>
        </w:tc>
      </w:tr>
      <w:tr>
        <w:tc>
          <w:tcPr>
            <w:tcBorders>
              <w:top w:val="none"/>
              <w:left w:val="single" w:color="1B4F8A" w:sz="8"/>
              <w:bottom w:val="none"/>
              <w:right w:val="single" w:color="2E75B6" w:sz="1"/>
            </w:tcBorders>
            <w:shd w:fill="FFFFFF" w:val="clear"/>
            <w:tcMar>
              <w:top w:type="dxa" w:w="80"/>
              <w:left w:type="dxa" w:w="300"/>
              <w:bottom w:type="dxa" w:w="80"/>
              <w:right w:type="dxa" w:w="220"/>
            </w:tcMar>
          </w:tcPr>
          <w:p>
            <w:r>
              <w:rPr>
                <w:rFonts w:ascii="Arial" w:cs="Arial" w:eastAsia="Arial" w:hAnsi="Arial"/>
                <w:color w:val="0070C0"/>
                <w:sz w:val="20"/>
                <w:szCs w:val="20"/>
              </w:rPr>
              <w:t xml:space="preserve">▸ </w:t>
            </w:r>
            <w:r>
              <w:rPr>
                <w:rFonts w:ascii="Arial" w:cs="Arial" w:eastAsia="Arial" w:hAnsi="Arial"/>
                <w:b/>
                <w:bCs/>
                <w:color w:val="1A1A2E"/>
                <w:sz w:val="20"/>
                <w:szCs w:val="20"/>
              </w:rPr>
              <w:t xml:space="preserve">Input Bar (top):  </w:t>
            </w:r>
            <w:r>
              <w:rPr>
                <w:rFonts w:ascii="Arial" w:cs="Arial" w:eastAsia="Arial" w:hAnsi="Arial"/>
                <w:color w:val="1A1A2E"/>
                <w:sz w:val="20"/>
                <w:szCs w:val="20"/>
              </w:rPr>
              <w:t xml:space="preserve">UniProt ID input + 'Load' button. Protein name + organism shown as resolved label once loaded.</w:t>
            </w:r>
          </w:p>
        </w:tc>
      </w:tr>
      <w:tr>
        <w:tc>
          <w:tcPr>
            <w:tcBorders>
              <w:top w:val="none"/>
              <w:left w:val="single" w:color="1B4F8A" w:sz="8"/>
              <w:bottom w:val="none"/>
              <w:right w:val="single" w:color="2E75B6" w:sz="1"/>
            </w:tcBorders>
            <w:shd w:fill="F7FAFF" w:val="clear"/>
            <w:tcMar>
              <w:top w:type="dxa" w:w="80"/>
              <w:left w:type="dxa" w:w="300"/>
              <w:bottom w:type="dxa" w:w="80"/>
              <w:right w:type="dxa" w:w="220"/>
            </w:tcMar>
          </w:tcPr>
          <w:p>
            <w:r>
              <w:rPr>
                <w:rFonts w:ascii="Arial" w:cs="Arial" w:eastAsia="Arial" w:hAnsi="Arial"/>
                <w:color w:val="0070C0"/>
                <w:sz w:val="20"/>
                <w:szCs w:val="20"/>
              </w:rPr>
              <w:t xml:space="preserve">▸ </w:t>
            </w:r>
            <w:r>
              <w:rPr>
                <w:rFonts w:ascii="Arial" w:cs="Arial" w:eastAsia="Arial" w:hAnsi="Arial"/>
                <w:b/>
                <w:bCs/>
                <w:color w:val="1A1A2E"/>
                <w:sz w:val="20"/>
                <w:szCs w:val="20"/>
              </w:rPr>
              <w:t xml:space="preserve">Annotation Track Selector (left sidebar, 220px):  </w:t>
            </w:r>
            <w:r>
              <w:rPr>
                <w:rFonts w:ascii="Arial" w:cs="Arial" w:eastAsia="Arial" w:hAnsi="Arial"/>
                <w:color w:val="1A1A2E"/>
                <w:sz w:val="20"/>
                <w:szCs w:val="20"/>
              </w:rPr>
              <w:t xml:space="preserve">Checkbox list: GO Functional Regions · Active Sites · Binding Sites · PTM Sites · Signal Peptide · Transmembrane Domains · Mutation Positions · ESM-2 Attention Heatmap. Color swatch per track type.</w:t>
            </w:r>
          </w:p>
        </w:tc>
      </w:tr>
      <w:tr>
        <w:tc>
          <w:tcPr>
            <w:tcBorders>
              <w:top w:val="none"/>
              <w:left w:val="single" w:color="1B4F8A" w:sz="8"/>
              <w:bottom w:val="none"/>
              <w:right w:val="single" w:color="2E75B6" w:sz="1"/>
            </w:tcBorders>
            <w:shd w:fill="FFFFFF" w:val="clear"/>
            <w:tcMar>
              <w:top w:type="dxa" w:w="80"/>
              <w:left w:type="dxa" w:w="300"/>
              <w:bottom w:type="dxa" w:w="80"/>
              <w:right w:type="dxa" w:w="220"/>
            </w:tcMar>
          </w:tcPr>
          <w:p>
            <w:r>
              <w:rPr>
                <w:rFonts w:ascii="Arial" w:cs="Arial" w:eastAsia="Arial" w:hAnsi="Arial"/>
                <w:color w:val="0070C0"/>
                <w:sz w:val="20"/>
                <w:szCs w:val="20"/>
              </w:rPr>
              <w:t xml:space="preserve">▸ </w:t>
            </w:r>
            <w:r>
              <w:rPr>
                <w:rFonts w:ascii="Arial" w:cs="Arial" w:eastAsia="Arial" w:hAnsi="Arial"/>
                <w:b/>
                <w:bCs/>
                <w:color w:val="1A1A2E"/>
                <w:sz w:val="20"/>
                <w:szCs w:val="20"/>
              </w:rPr>
              <w:t xml:space="preserve">Sequence Display (main area, scrollable horizontal):  </w:t>
            </w:r>
            <w:r>
              <w:rPr>
                <w:rFonts w:ascii="Arial" w:cs="Arial" w:eastAsia="Arial" w:hAnsi="Arial"/>
                <w:color w:val="1A1A2E"/>
                <w:sz w:val="20"/>
                <w:szCs w:val="20"/>
              </w:rPr>
              <w:t xml:space="preserve">Fixed 60-residue-per-line sequence display. Residues colored per active annotation tracks. Line numbers every 10 residues. Hovering a residue shows tooltip: position, amino acid, tracks active at that position.</w:t>
            </w:r>
          </w:p>
        </w:tc>
      </w:tr>
      <w:tr>
        <w:tc>
          <w:tcPr>
            <w:tcBorders>
              <w:top w:val="none"/>
              <w:left w:val="single" w:color="1B4F8A" w:sz="8"/>
              <w:bottom w:val="none"/>
              <w:right w:val="single" w:color="2E75B6" w:sz="1"/>
            </w:tcBorders>
            <w:shd w:fill="F7FAFF" w:val="clear"/>
            <w:tcMar>
              <w:top w:type="dxa" w:w="80"/>
              <w:left w:type="dxa" w:w="300"/>
              <w:bottom w:type="dxa" w:w="80"/>
              <w:right w:type="dxa" w:w="220"/>
            </w:tcMar>
          </w:tcPr>
          <w:p>
            <w:r>
              <w:rPr>
                <w:rFonts w:ascii="Arial" w:cs="Arial" w:eastAsia="Arial" w:hAnsi="Arial"/>
                <w:color w:val="0070C0"/>
                <w:sz w:val="20"/>
                <w:szCs w:val="20"/>
              </w:rPr>
              <w:t xml:space="preserve">▸ </w:t>
            </w:r>
            <w:r>
              <w:rPr>
                <w:rFonts w:ascii="Arial" w:cs="Arial" w:eastAsia="Arial" w:hAnsi="Arial"/>
                <w:b/>
                <w:bCs/>
                <w:color w:val="1A1A2E"/>
                <w:sz w:val="20"/>
                <w:szCs w:val="20"/>
              </w:rPr>
              <w:t xml:space="preserve">Attention Heatmap Row (below sequence):  </w:t>
            </w:r>
            <w:r>
              <w:rPr>
                <w:rFonts w:ascii="Arial" w:cs="Arial" w:eastAsia="Arial" w:hAnsi="Arial"/>
                <w:color w:val="1A1A2E"/>
                <w:sz w:val="20"/>
                <w:szCs w:val="20"/>
              </w:rPr>
              <w:t xml:space="preserve">When 'ESM-2 Attention Heatmap' is enabled: per-residue bar chart below the sequence. Y-axis: 0–1 normalized attention weight. Color gradient: white → C.accent at max weight.</w:t>
            </w:r>
          </w:p>
        </w:tc>
      </w:tr>
      <w:tr>
        <w:tc>
          <w:tcPr>
            <w:tcBorders>
              <w:top w:val="none"/>
              <w:left w:val="single" w:color="1B4F8A" w:sz="8"/>
              <w:bottom w:val="none"/>
              <w:right w:val="single" w:color="2E75B6" w:sz="1"/>
            </w:tcBorders>
            <w:shd w:fill="FFFFFF" w:val="clear"/>
            <w:tcMar>
              <w:top w:type="dxa" w:w="80"/>
              <w:left w:type="dxa" w:w="300"/>
              <w:bottom w:type="dxa" w:w="80"/>
              <w:right w:type="dxa" w:w="220"/>
            </w:tcMar>
          </w:tcPr>
          <w:p>
            <w:r>
              <w:rPr>
                <w:rFonts w:ascii="Arial" w:cs="Arial" w:eastAsia="Arial" w:hAnsi="Arial"/>
                <w:color w:val="0070C0"/>
                <w:sz w:val="20"/>
                <w:szCs w:val="20"/>
              </w:rPr>
              <w:t xml:space="preserve">▸ </w:t>
            </w:r>
            <w:r>
              <w:rPr>
                <w:rFonts w:ascii="Arial" w:cs="Arial" w:eastAsia="Arial" w:hAnsi="Arial"/>
                <w:b/>
                <w:bCs/>
                <w:color w:val="1A1A2E"/>
                <w:sz w:val="20"/>
                <w:szCs w:val="20"/>
              </w:rPr>
              <w:t xml:space="preserve">Annotation Legend (bottom):  </w:t>
            </w:r>
            <w:r>
              <w:rPr>
                <w:rFonts w:ascii="Arial" w:cs="Arial" w:eastAsia="Arial" w:hAnsi="Arial"/>
                <w:color w:val="1A1A2E"/>
                <w:sz w:val="20"/>
                <w:szCs w:val="20"/>
              </w:rPr>
              <w:t xml:space="preserve">Color legend for all active tracks. Each entry: color swatch + track name + count of annotated regions.</w:t>
            </w:r>
          </w:p>
        </w:tc>
      </w:tr>
      <w:tr>
        <w:tc>
          <w:tcPr>
            <w:tcBorders>
              <w:top w:val="none"/>
              <w:left w:val="single" w:color="1B4F8A" w:sz="8"/>
              <w:bottom w:val="single" w:color="2E75B6" w:sz="1"/>
              <w:right w:val="single" w:color="2E75B6" w:sz="1"/>
            </w:tcBorders>
            <w:shd w:fill="EBF3FB" w:val="clear"/>
            <w:tcMar>
              <w:top w:type="dxa" w:w="40"/>
              <w:left w:type="dxa" w:w="220"/>
              <w:bottom w:type="dxa" w:w="40"/>
              <w:right w:type="dxa" w:w="220"/>
            </w:tcMar>
          </w:tcPr>
          <w:p>
            <w:r>
              <w:rPr>
                <w:rFonts w:ascii="Arial" w:cs="Arial" w:eastAsia="Arial" w:hAnsi="Arial"/>
                <w:sz w:val="16"/>
                <w:szCs w:val="16"/>
              </w:rPr>
              <w:t xml:space="preserve"/>
            </w:r>
          </w:p>
        </w:tc>
      </w:tr>
    </w:tbl>
    <w:p>
      <w:pPr>
        <w:spacing w:before="80" w:after="80"/>
      </w:pPr>
      <w:r>
        <w:t xml:space="preserve"/>
      </w:r>
    </w:p>
    <w:p>
      <w:pPr>
        <w:pStyle w:val="Heading3"/>
        <w:spacing w:before="200" w:after="80"/>
      </w:pPr>
      <w:r>
        <w:rPr>
          <w:rFonts w:ascii="Arial" w:cs="Arial" w:eastAsia="Arial" w:hAnsi="Arial"/>
          <w:b/>
          <w:bCs/>
          <w:color w:val="0070C0"/>
          <w:sz w:val="24"/>
          <w:szCs w:val="24"/>
        </w:rPr>
        <w:t xml:space="preserve">5.5.6  Structure Comparator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1B4F8A" w:sz="8"/>
              <w:bottom w:val="single" w:color="2E75B6" w:sz="1"/>
              <w:right w:val="single" w:color="2E75B6" w:sz="1"/>
            </w:tcBorders>
            <w:shd w:fill="F0F5FC" w:val="clear"/>
            <w:tcMar>
              <w:top w:type="dxa" w:w="160"/>
              <w:left w:type="dxa" w:w="220"/>
              <w:bottom w:type="dxa" w:w="60"/>
              <w:right w:type="dxa" w:w="220"/>
            </w:tcMar>
          </w:tcPr>
          <w:p>
            <w:r>
              <w:rPr>
                <w:rFonts w:ascii="Arial" w:cs="Arial" w:eastAsia="Arial" w:hAnsi="Arial"/>
                <w:b/>
                <w:bCs/>
                <w:color w:val="1B4F8A"/>
                <w:sz w:val="23"/>
                <w:szCs w:val="23"/>
              </w:rPr>
              <w:t xml:space="preserve">⬜  Structure Comparator  —  /tools/structure-comparator</w:t>
            </w:r>
          </w:p>
          <w:p>
            <w:pPr>
              <w:spacing w:before="60" w:after="80"/>
            </w:pPr>
            <w:r>
              <w:rPr>
                <w:rFonts w:ascii="Arial" w:cs="Arial" w:eastAsia="Arial" w:hAnsi="Arial"/>
                <w:i/>
                <w:iCs/>
                <w:color w:val="666666"/>
                <w:sz w:val="20"/>
                <w:szCs w:val="20"/>
              </w:rPr>
              <w:t xml:space="preserve">WT vs. mutant or cross-species structural comparison with RMSD quantification.</w:t>
            </w:r>
          </w:p>
        </w:tc>
      </w:tr>
      <w:tr>
        <w:tc>
          <w:tcPr>
            <w:tcBorders>
              <w:top w:val="none"/>
              <w:left w:val="single" w:color="1B4F8A" w:sz="8"/>
              <w:bottom w:val="none"/>
              <w:right w:val="single" w:color="2E75B6" w:sz="1"/>
            </w:tcBorders>
            <w:shd w:fill="FFFFFF" w:val="clear"/>
            <w:tcMar>
              <w:top w:type="dxa" w:w="80"/>
              <w:left w:type="dxa" w:w="300"/>
              <w:bottom w:type="dxa" w:w="80"/>
              <w:right w:type="dxa" w:w="220"/>
            </w:tcMar>
          </w:tcPr>
          <w:p>
            <w:r>
              <w:rPr>
                <w:rFonts w:ascii="Arial" w:cs="Arial" w:eastAsia="Arial" w:hAnsi="Arial"/>
                <w:color w:val="0070C0"/>
                <w:sz w:val="20"/>
                <w:szCs w:val="20"/>
              </w:rPr>
              <w:t xml:space="preserve">▸ </w:t>
            </w:r>
            <w:r>
              <w:rPr>
                <w:rFonts w:ascii="Arial" w:cs="Arial" w:eastAsia="Arial" w:hAnsi="Arial"/>
                <w:b/>
                <w:bCs/>
                <w:color w:val="1A1A2E"/>
                <w:sz w:val="20"/>
                <w:szCs w:val="20"/>
              </w:rPr>
              <w:t xml:space="preserve">Input Row (top):  </w:t>
            </w:r>
            <w:r>
              <w:rPr>
                <w:rFonts w:ascii="Arial" w:cs="Arial" w:eastAsia="Arial" w:hAnsi="Arial"/>
                <w:color w:val="1A1A2E"/>
                <w:sz w:val="20"/>
                <w:szCs w:val="20"/>
              </w:rPr>
              <w:t xml:space="preserve">Structure A: UniProt ID input + label 'Wild-type or Reference'. Structure B: UniProt ID input + label 'Mutant or Comparison'. Optional: mutation specification field (e.g., A23V). 'Compare' primary button.</w:t>
            </w:r>
          </w:p>
        </w:tc>
      </w:tr>
      <w:tr>
        <w:tc>
          <w:tcPr>
            <w:tcBorders>
              <w:top w:val="none"/>
              <w:left w:val="single" w:color="1B4F8A" w:sz="8"/>
              <w:bottom w:val="none"/>
              <w:right w:val="single" w:color="2E75B6" w:sz="1"/>
            </w:tcBorders>
            <w:shd w:fill="F7FAFF" w:val="clear"/>
            <w:tcMar>
              <w:top w:type="dxa" w:w="80"/>
              <w:left w:type="dxa" w:w="300"/>
              <w:bottom w:type="dxa" w:w="80"/>
              <w:right w:type="dxa" w:w="220"/>
            </w:tcMar>
          </w:tcPr>
          <w:p>
            <w:r>
              <w:rPr>
                <w:rFonts w:ascii="Arial" w:cs="Arial" w:eastAsia="Arial" w:hAnsi="Arial"/>
                <w:color w:val="0070C0"/>
                <w:sz w:val="20"/>
                <w:szCs w:val="20"/>
              </w:rPr>
              <w:t xml:space="preserve">▸ </w:t>
            </w:r>
            <w:r>
              <w:rPr>
                <w:rFonts w:ascii="Arial" w:cs="Arial" w:eastAsia="Arial" w:hAnsi="Arial"/>
                <w:b/>
                <w:bCs/>
                <w:color w:val="1A1A2E"/>
                <w:sz w:val="20"/>
                <w:szCs w:val="20"/>
              </w:rPr>
              <w:t xml:space="preserve">RMSD Summary Bar (full width, below inputs):  </w:t>
            </w:r>
            <w:r>
              <w:rPr>
                <w:rFonts w:ascii="Arial" w:cs="Arial" w:eastAsia="Arial" w:hAnsi="Arial"/>
                <w:color w:val="1A1A2E"/>
                <w:sz w:val="20"/>
                <w:szCs w:val="20"/>
              </w:rPr>
              <w:t xml:space="preserve">Global RMSD value (large monospace display). Interpretation badge: &lt;0.5Å = 'Nearly Identical' (green) / 0.5–2.0Å = 'Minor Differences' (amber) / &gt;2.0Å = 'Significant Differences' (red). Per-domain RMSD breakdown table.</w:t>
            </w:r>
          </w:p>
        </w:tc>
      </w:tr>
      <w:tr>
        <w:tc>
          <w:tcPr>
            <w:tcBorders>
              <w:top w:val="none"/>
              <w:left w:val="single" w:color="1B4F8A" w:sz="8"/>
              <w:bottom w:val="none"/>
              <w:right w:val="single" w:color="2E75B6" w:sz="1"/>
            </w:tcBorders>
            <w:shd w:fill="FFFFFF" w:val="clear"/>
            <w:tcMar>
              <w:top w:type="dxa" w:w="80"/>
              <w:left w:type="dxa" w:w="300"/>
              <w:bottom w:type="dxa" w:w="80"/>
              <w:right w:type="dxa" w:w="220"/>
            </w:tcMar>
          </w:tcPr>
          <w:p>
            <w:r>
              <w:rPr>
                <w:rFonts w:ascii="Arial" w:cs="Arial" w:eastAsia="Arial" w:hAnsi="Arial"/>
                <w:color w:val="0070C0"/>
                <w:sz w:val="20"/>
                <w:szCs w:val="20"/>
              </w:rPr>
              <w:t xml:space="preserve">▸ </w:t>
            </w:r>
            <w:r>
              <w:rPr>
                <w:rFonts w:ascii="Arial" w:cs="Arial" w:eastAsia="Arial" w:hAnsi="Arial"/>
                <w:b/>
                <w:bCs/>
                <w:color w:val="1A1A2E"/>
                <w:sz w:val="20"/>
                <w:szCs w:val="20"/>
              </w:rPr>
              <w:t xml:space="preserve">3D Comparison View (main, 60% width):  </w:t>
            </w:r>
            <w:r>
              <w:rPr>
                <w:rFonts w:ascii="Arial" w:cs="Arial" w:eastAsia="Arial" w:hAnsi="Arial"/>
                <w:color w:val="1A1A2E"/>
                <w:sz w:val="20"/>
                <w:szCs w:val="20"/>
              </w:rPr>
              <w:t xml:space="preserve">Toggle between: Side-by-Side (two synchronized viewers) / Overlaid (superposed in one viewer). Difference highlighting: divergent regions in red, conserved in blue, mutation site in C.accent (purple if drug-adjacent). Synchronized rotation: rotating one viewer rotates both.</w:t>
            </w:r>
          </w:p>
        </w:tc>
      </w:tr>
      <w:tr>
        <w:tc>
          <w:tcPr>
            <w:tcBorders>
              <w:top w:val="none"/>
              <w:left w:val="single" w:color="1B4F8A" w:sz="8"/>
              <w:bottom w:val="none"/>
              <w:right w:val="single" w:color="2E75B6" w:sz="1"/>
            </w:tcBorders>
            <w:shd w:fill="F7FAFF" w:val="clear"/>
            <w:tcMar>
              <w:top w:type="dxa" w:w="80"/>
              <w:left w:type="dxa" w:w="300"/>
              <w:bottom w:type="dxa" w:w="80"/>
              <w:right w:type="dxa" w:w="220"/>
            </w:tcMar>
          </w:tcPr>
          <w:p>
            <w:r>
              <w:rPr>
                <w:rFonts w:ascii="Arial" w:cs="Arial" w:eastAsia="Arial" w:hAnsi="Arial"/>
                <w:color w:val="0070C0"/>
                <w:sz w:val="20"/>
                <w:szCs w:val="20"/>
              </w:rPr>
              <w:t xml:space="preserve">▸ </w:t>
            </w:r>
            <w:r>
              <w:rPr>
                <w:rFonts w:ascii="Arial" w:cs="Arial" w:eastAsia="Arial" w:hAnsi="Arial"/>
                <w:b/>
                <w:bCs/>
                <w:color w:val="1A1A2E"/>
                <w:sz w:val="20"/>
                <w:szCs w:val="20"/>
              </w:rPr>
              <w:t xml:space="preserve">Difference Summary Panel (right, 40%):  </w:t>
            </w:r>
            <w:r>
              <w:rPr>
                <w:rFonts w:ascii="Arial" w:cs="Arial" w:eastAsia="Arial" w:hAnsi="Arial"/>
                <w:color w:val="1A1A2E"/>
                <w:sz w:val="20"/>
                <w:szCs w:val="20"/>
              </w:rPr>
              <w:t xml:space="preserve">Sequence alignment strip showing aligned/misaligned regions. List of top 10 most structurally divergent residue ranges. Per-residue RMSD heat bar (color gradient). Mutation position card (if mutation was specified): shows functional context.</w:t>
            </w:r>
          </w:p>
        </w:tc>
      </w:tr>
      <w:tr>
        <w:tc>
          <w:tcPr>
            <w:tcBorders>
              <w:top w:val="none"/>
              <w:left w:val="single" w:color="1B4F8A" w:sz="8"/>
              <w:bottom w:val="single" w:color="2E75B6" w:sz="1"/>
              <w:right w:val="single" w:color="2E75B6" w:sz="1"/>
            </w:tcBorders>
            <w:shd w:fill="EBF3FB" w:val="clear"/>
            <w:tcMar>
              <w:top w:type="dxa" w:w="40"/>
              <w:left w:type="dxa" w:w="220"/>
              <w:bottom w:type="dxa" w:w="40"/>
              <w:right w:type="dxa" w:w="220"/>
            </w:tcMar>
          </w:tcPr>
          <w:p>
            <w:r>
              <w:rPr>
                <w:rFonts w:ascii="Arial" w:cs="Arial" w:eastAsia="Arial" w:hAnsi="Arial"/>
                <w:sz w:val="16"/>
                <w:szCs w:val="16"/>
              </w:rPr>
              <w:t xml:space="preserve"/>
            </w:r>
          </w:p>
        </w:tc>
      </w:tr>
    </w:tbl>
    <w:p>
      <w:pPr>
        <w:spacing w:before="80" w:after="80"/>
      </w:pPr>
      <w:r>
        <w:t xml:space="preserve"/>
      </w:r>
    </w:p>
    <w:p>
      <w:pPr>
        <w:pStyle w:val="Heading3"/>
        <w:spacing w:before="200" w:after="80"/>
      </w:pPr>
      <w:r>
        <w:rPr>
          <w:rFonts w:ascii="Arial" w:cs="Arial" w:eastAsia="Arial" w:hAnsi="Arial"/>
          <w:b/>
          <w:bCs/>
          <w:color w:val="0070C0"/>
          <w:sz w:val="24"/>
          <w:szCs w:val="24"/>
        </w:rPr>
        <w:t xml:space="preserve">5.5.7  CCA Biomarker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1B4F8A" w:sz="8"/>
              <w:bottom w:val="single" w:color="2E75B6" w:sz="1"/>
              <w:right w:val="single" w:color="2E75B6" w:sz="1"/>
            </w:tcBorders>
            <w:shd w:fill="F0F5FC" w:val="clear"/>
            <w:tcMar>
              <w:top w:type="dxa" w:w="160"/>
              <w:left w:type="dxa" w:w="220"/>
              <w:bottom w:type="dxa" w:w="60"/>
              <w:right w:type="dxa" w:w="220"/>
            </w:tcMar>
          </w:tcPr>
          <w:p>
            <w:r>
              <w:rPr>
                <w:rFonts w:ascii="Arial" w:cs="Arial" w:eastAsia="Arial" w:hAnsi="Arial"/>
                <w:b/>
                <w:bCs/>
                <w:color w:val="1B4F8A"/>
                <w:sz w:val="23"/>
                <w:szCs w:val="23"/>
              </w:rPr>
              <w:t xml:space="preserve">⬜  CCA Biomarker Dashboard  —  /cca</w:t>
            </w:r>
          </w:p>
          <w:p>
            <w:pPr>
              <w:spacing w:before="60" w:after="80"/>
            </w:pPr>
            <w:r>
              <w:rPr>
                <w:rFonts w:ascii="Arial" w:cs="Arial" w:eastAsia="Arial" w:hAnsi="Arial"/>
                <w:i/>
                <w:iCs/>
                <w:color w:val="666666"/>
                <w:sz w:val="20"/>
                <w:szCs w:val="20"/>
              </w:rPr>
              <w:t xml:space="preserve">End-to-end clinical demonstration view — TCGA → ranked biomarker candidates.</w:t>
            </w:r>
          </w:p>
        </w:tc>
      </w:tr>
      <w:tr>
        <w:tc>
          <w:tcPr>
            <w:tcBorders>
              <w:top w:val="none"/>
              <w:left w:val="single" w:color="1B4F8A" w:sz="8"/>
              <w:bottom w:val="none"/>
              <w:right w:val="single" w:color="2E75B6" w:sz="1"/>
            </w:tcBorders>
            <w:shd w:fill="FFFFFF" w:val="clear"/>
            <w:tcMar>
              <w:top w:type="dxa" w:w="80"/>
              <w:left w:type="dxa" w:w="300"/>
              <w:bottom w:type="dxa" w:w="80"/>
              <w:right w:type="dxa" w:w="220"/>
            </w:tcMar>
          </w:tcPr>
          <w:p>
            <w:r>
              <w:rPr>
                <w:rFonts w:ascii="Arial" w:cs="Arial" w:eastAsia="Arial" w:hAnsi="Arial"/>
                <w:color w:val="0070C0"/>
                <w:sz w:val="20"/>
                <w:szCs w:val="20"/>
              </w:rPr>
              <w:t xml:space="preserve">▸ </w:t>
            </w:r>
            <w:r>
              <w:rPr>
                <w:rFonts w:ascii="Arial" w:cs="Arial" w:eastAsia="Arial" w:hAnsi="Arial"/>
                <w:b/>
                <w:bCs/>
                <w:color w:val="1A1A2E"/>
                <w:sz w:val="20"/>
                <w:szCs w:val="20"/>
              </w:rPr>
              <w:t xml:space="preserve">Page Header:  </w:t>
            </w:r>
            <w:r>
              <w:rPr>
                <w:rFonts w:ascii="Arial" w:cs="Arial" w:eastAsia="Arial" w:hAnsi="Arial"/>
                <w:color w:val="1A1A2E"/>
                <w:sz w:val="20"/>
                <w:szCs w:val="20"/>
              </w:rPr>
              <w:t xml:space="preserve">Title: 'Cholangiocarcinoma Biomarker &amp; Drug Target Candidates'. Subtitle: 'TCGA-CHOL · Tumor vs. Normal · [Last updated date]'. Export button (top right): 'Export Full Report (PDF)'.</w:t>
            </w:r>
          </w:p>
        </w:tc>
      </w:tr>
      <w:tr>
        <w:tc>
          <w:tcPr>
            <w:tcBorders>
              <w:top w:val="none"/>
              <w:left w:val="single" w:color="1B4F8A" w:sz="8"/>
              <w:bottom w:val="none"/>
              <w:right w:val="single" w:color="2E75B6" w:sz="1"/>
            </w:tcBorders>
            <w:shd w:fill="F7FAFF" w:val="clear"/>
            <w:tcMar>
              <w:top w:type="dxa" w:w="80"/>
              <w:left w:type="dxa" w:w="300"/>
              <w:bottom w:type="dxa" w:w="80"/>
              <w:right w:type="dxa" w:w="220"/>
            </w:tcMar>
          </w:tcPr>
          <w:p>
            <w:r>
              <w:rPr>
                <w:rFonts w:ascii="Arial" w:cs="Arial" w:eastAsia="Arial" w:hAnsi="Arial"/>
                <w:color w:val="0070C0"/>
                <w:sz w:val="20"/>
                <w:szCs w:val="20"/>
              </w:rPr>
              <w:t xml:space="preserve">▸ </w:t>
            </w:r>
            <w:r>
              <w:rPr>
                <w:rFonts w:ascii="Arial" w:cs="Arial" w:eastAsia="Arial" w:hAnsi="Arial"/>
                <w:b/>
                <w:bCs/>
                <w:color w:val="1A1A2E"/>
                <w:sz w:val="20"/>
                <w:szCs w:val="20"/>
              </w:rPr>
              <w:t xml:space="preserve">Filter Controls Bar:  </w:t>
            </w:r>
            <w:r>
              <w:rPr>
                <w:rFonts w:ascii="Arial" w:cs="Arial" w:eastAsia="Arial" w:hAnsi="Arial"/>
                <w:color w:val="1A1A2E"/>
                <w:sz w:val="20"/>
                <w:szCs w:val="20"/>
              </w:rPr>
              <w:t xml:space="preserve">Fold-change cutoff slider (default: 2.0×). P-value cutoff input (default: 0.05). Expression direction: Both / Up-regulated / Down-regulated. Analysis type: All / Function-annotated / Drug-targetable. 'Apply Filters' + 'Reset' buttons. Results count badge: 'Showing 47 candidates'.</w:t>
            </w:r>
          </w:p>
        </w:tc>
      </w:tr>
      <w:tr>
        <w:tc>
          <w:tcPr>
            <w:tcBorders>
              <w:top w:val="none"/>
              <w:left w:val="single" w:color="1B4F8A" w:sz="8"/>
              <w:bottom w:val="none"/>
              <w:right w:val="single" w:color="2E75B6" w:sz="1"/>
            </w:tcBorders>
            <w:shd w:fill="FFFFFF" w:val="clear"/>
            <w:tcMar>
              <w:top w:type="dxa" w:w="80"/>
              <w:left w:type="dxa" w:w="300"/>
              <w:bottom w:type="dxa" w:w="80"/>
              <w:right w:type="dxa" w:w="220"/>
            </w:tcMar>
          </w:tcPr>
          <w:p>
            <w:r>
              <w:rPr>
                <w:rFonts w:ascii="Arial" w:cs="Arial" w:eastAsia="Arial" w:hAnsi="Arial"/>
                <w:color w:val="0070C0"/>
                <w:sz w:val="20"/>
                <w:szCs w:val="20"/>
              </w:rPr>
              <w:t xml:space="preserve">▸ </w:t>
            </w:r>
            <w:r>
              <w:rPr>
                <w:rFonts w:ascii="Arial" w:cs="Arial" w:eastAsia="Arial" w:hAnsi="Arial"/>
                <w:b/>
                <w:bCs/>
                <w:color w:val="1A1A2E"/>
                <w:sz w:val="20"/>
                <w:szCs w:val="20"/>
              </w:rPr>
              <w:t xml:space="preserve">Expression Heatmap (top section, full width):  </w:t>
            </w:r>
            <w:r>
              <w:rPr>
                <w:rFonts w:ascii="Arial" w:cs="Arial" w:eastAsia="Arial" w:hAnsi="Arial"/>
                <w:color w:val="1A1A2E"/>
                <w:sz w:val="20"/>
                <w:szCs w:val="20"/>
              </w:rPr>
              <w:t xml:space="preserve">TCGA expression heatmap — rows: filtered proteins, columns: sample groups (tumor / normal / subtypes). Color scale: blue (low expression) → white (median) → red (high expression). Click a row → scrolls to that protein's detail in ranking table.</w:t>
            </w:r>
          </w:p>
        </w:tc>
      </w:tr>
      <w:tr>
        <w:tc>
          <w:tcPr>
            <w:tcBorders>
              <w:top w:val="none"/>
              <w:left w:val="single" w:color="1B4F8A" w:sz="8"/>
              <w:bottom w:val="none"/>
              <w:right w:val="single" w:color="2E75B6" w:sz="1"/>
            </w:tcBorders>
            <w:shd w:fill="F7FAFF" w:val="clear"/>
            <w:tcMar>
              <w:top w:type="dxa" w:w="80"/>
              <w:left w:type="dxa" w:w="300"/>
              <w:bottom w:type="dxa" w:w="80"/>
              <w:right w:type="dxa" w:w="220"/>
            </w:tcMar>
          </w:tcPr>
          <w:p>
            <w:r>
              <w:rPr>
                <w:rFonts w:ascii="Arial" w:cs="Arial" w:eastAsia="Arial" w:hAnsi="Arial"/>
                <w:color w:val="0070C0"/>
                <w:sz w:val="20"/>
                <w:szCs w:val="20"/>
              </w:rPr>
              <w:t xml:space="preserve">▸ </w:t>
            </w:r>
            <w:r>
              <w:rPr>
                <w:rFonts w:ascii="Arial" w:cs="Arial" w:eastAsia="Arial" w:hAnsi="Arial"/>
                <w:b/>
                <w:bCs/>
                <w:color w:val="1A1A2E"/>
                <w:sz w:val="20"/>
                <w:szCs w:val="20"/>
              </w:rPr>
              <w:t xml:space="preserve">Candidate Ranking Table (full width):  </w:t>
            </w:r>
            <w:r>
              <w:rPr>
                <w:rFonts w:ascii="Arial" w:cs="Arial" w:eastAsia="Arial" w:hAnsi="Arial"/>
                <w:color w:val="1A1A2E"/>
                <w:sz w:val="20"/>
                <w:szCs w:val="20"/>
              </w:rPr>
              <w:t xml:space="preserve">Columns: Rank · UniProt ID · Gene Name · Fold Change · P-value · Top GO Function · Essentiality Score · Drug Relevance · Evidence Score. Row click → expands inline detail panel showing full ProtMind pipeline report for that protein. Rows color-coded: green left border = drug-targetable; purple left border = known CCA-associated.</w:t>
            </w:r>
          </w:p>
        </w:tc>
      </w:tr>
      <w:tr>
        <w:tc>
          <w:tcPr>
            <w:tcBorders>
              <w:top w:val="none"/>
              <w:left w:val="single" w:color="1B4F8A" w:sz="8"/>
              <w:bottom w:val="none"/>
              <w:right w:val="single" w:color="2E75B6" w:sz="1"/>
            </w:tcBorders>
            <w:shd w:fill="FFFFFF" w:val="clear"/>
            <w:tcMar>
              <w:top w:type="dxa" w:w="80"/>
              <w:left w:type="dxa" w:w="300"/>
              <w:bottom w:type="dxa" w:w="80"/>
              <w:right w:type="dxa" w:w="220"/>
            </w:tcMar>
          </w:tcPr>
          <w:p>
            <w:r>
              <w:rPr>
                <w:rFonts w:ascii="Arial" w:cs="Arial" w:eastAsia="Arial" w:hAnsi="Arial"/>
                <w:color w:val="0070C0"/>
                <w:sz w:val="20"/>
                <w:szCs w:val="20"/>
              </w:rPr>
              <w:t xml:space="preserve">▸ </w:t>
            </w:r>
            <w:r>
              <w:rPr>
                <w:rFonts w:ascii="Arial" w:cs="Arial" w:eastAsia="Arial" w:hAnsi="Arial"/>
                <w:b/>
                <w:bCs/>
                <w:color w:val="1A1A2E"/>
                <w:sz w:val="20"/>
                <w:szCs w:val="20"/>
              </w:rPr>
              <w:t xml:space="preserve">Detail Expansion Panel (inline, per row):  </w:t>
            </w:r>
            <w:r>
              <w:rPr>
                <w:rFonts w:ascii="Arial" w:cs="Arial" w:eastAsia="Arial" w:hAnsi="Arial"/>
                <w:color w:val="1A1A2E"/>
                <w:sz w:val="20"/>
                <w:szCs w:val="20"/>
              </w:rPr>
              <w:t xml:space="preserve">Function prediction card · PPI summary · Mutation flags · Essentiality score · DrugBank hits. 'View Full Report' link opens /reports/:id. 'Add to Shortlist' button for researcher-curated prioritization.</w:t>
            </w:r>
          </w:p>
        </w:tc>
      </w:tr>
      <w:tr>
        <w:tc>
          <w:tcPr>
            <w:tcBorders>
              <w:top w:val="none"/>
              <w:left w:val="single" w:color="1B4F8A" w:sz="8"/>
              <w:bottom w:val="single" w:color="2E75B6" w:sz="1"/>
              <w:right w:val="single" w:color="2E75B6" w:sz="1"/>
            </w:tcBorders>
            <w:shd w:fill="EBF3FB" w:val="clear"/>
            <w:tcMar>
              <w:top w:type="dxa" w:w="40"/>
              <w:left w:type="dxa" w:w="220"/>
              <w:bottom w:type="dxa" w:w="40"/>
              <w:right w:type="dxa" w:w="220"/>
            </w:tcMar>
          </w:tcPr>
          <w:p>
            <w:r>
              <w:rPr>
                <w:rFonts w:ascii="Arial" w:cs="Arial" w:eastAsia="Arial" w:hAnsi="Arial"/>
                <w:sz w:val="16"/>
                <w:szCs w:val="16"/>
              </w:rPr>
              <w:t xml:space="preserve"/>
            </w:r>
          </w:p>
        </w:tc>
      </w:tr>
    </w:tbl>
    <w:p>
      <w:pPr>
        <w:spacing w:before="80" w:after="80"/>
      </w:pPr>
      <w:r>
        <w:t xml:space="preserve"/>
      </w:r>
    </w:p>
    <w:p>
      <w:pPr>
        <w:pStyle w:val="Heading3"/>
        <w:spacing w:before="200" w:after="80"/>
      </w:pPr>
      <w:r>
        <w:rPr>
          <w:rFonts w:ascii="Arial" w:cs="Arial" w:eastAsia="Arial" w:hAnsi="Arial"/>
          <w:b/>
          <w:bCs/>
          <w:color w:val="0070C0"/>
          <w:sz w:val="24"/>
          <w:szCs w:val="24"/>
        </w:rPr>
        <w:t xml:space="preserve">5.5.8  Admin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1B4F8A" w:sz="8"/>
              <w:bottom w:val="single" w:color="2E75B6" w:sz="1"/>
              <w:right w:val="single" w:color="2E75B6" w:sz="1"/>
            </w:tcBorders>
            <w:shd w:fill="F0F5FC" w:val="clear"/>
            <w:tcMar>
              <w:top w:type="dxa" w:w="160"/>
              <w:left w:type="dxa" w:w="220"/>
              <w:bottom w:type="dxa" w:w="60"/>
              <w:right w:type="dxa" w:w="220"/>
            </w:tcMar>
          </w:tcPr>
          <w:p>
            <w:r>
              <w:rPr>
                <w:rFonts w:ascii="Arial" w:cs="Arial" w:eastAsia="Arial" w:hAnsi="Arial"/>
                <w:b/>
                <w:bCs/>
                <w:color w:val="1B4F8A"/>
                <w:sz w:val="23"/>
                <w:szCs w:val="23"/>
              </w:rPr>
              <w:t xml:space="preserve">⬜  Admin Dashboard  —  /admin</w:t>
            </w:r>
          </w:p>
          <w:p>
            <w:pPr>
              <w:spacing w:before="60" w:after="80"/>
            </w:pPr>
            <w:r>
              <w:rPr>
                <w:rFonts w:ascii="Arial" w:cs="Arial" w:eastAsia="Arial" w:hAnsi="Arial"/>
                <w:i/>
                <w:iCs/>
                <w:color w:val="666666"/>
                <w:sz w:val="20"/>
                <w:szCs w:val="20"/>
              </w:rPr>
              <w:t xml:space="preserve">Platform administration: pipeline control, user management, system health monitoring.</w:t>
            </w:r>
          </w:p>
        </w:tc>
      </w:tr>
      <w:tr>
        <w:tc>
          <w:tcPr>
            <w:tcBorders>
              <w:top w:val="none"/>
              <w:left w:val="single" w:color="1B4F8A" w:sz="8"/>
              <w:bottom w:val="none"/>
              <w:right w:val="single" w:color="2E75B6" w:sz="1"/>
            </w:tcBorders>
            <w:shd w:fill="FFFFFF" w:val="clear"/>
            <w:tcMar>
              <w:top w:type="dxa" w:w="80"/>
              <w:left w:type="dxa" w:w="300"/>
              <w:bottom w:type="dxa" w:w="80"/>
              <w:right w:type="dxa" w:w="220"/>
            </w:tcMar>
          </w:tcPr>
          <w:p>
            <w:r>
              <w:rPr>
                <w:rFonts w:ascii="Arial" w:cs="Arial" w:eastAsia="Arial" w:hAnsi="Arial"/>
                <w:color w:val="0070C0"/>
                <w:sz w:val="20"/>
                <w:szCs w:val="20"/>
              </w:rPr>
              <w:t xml:space="preserve">▸ </w:t>
            </w:r>
            <w:r>
              <w:rPr>
                <w:rFonts w:ascii="Arial" w:cs="Arial" w:eastAsia="Arial" w:hAnsi="Arial"/>
                <w:b/>
                <w:bCs/>
                <w:color w:val="1A1A2E"/>
                <w:sz w:val="20"/>
                <w:szCs w:val="20"/>
              </w:rPr>
              <w:t xml:space="preserve">Left Admin Nav (200px):  </w:t>
            </w:r>
            <w:r>
              <w:rPr>
                <w:rFonts w:ascii="Arial" w:cs="Arial" w:eastAsia="Arial" w:hAnsi="Arial"/>
                <w:color w:val="1A1A2E"/>
                <w:sz w:val="20"/>
                <w:szCs w:val="20"/>
              </w:rPr>
              <w:t xml:space="preserve">Links: Overview · Pipeline Management · User Management · Audit Logs · System Health. Active state: C.blue left border + light blue fill.</w:t>
            </w:r>
          </w:p>
        </w:tc>
      </w:tr>
      <w:tr>
        <w:tc>
          <w:tcPr>
            <w:tcBorders>
              <w:top w:val="none"/>
              <w:left w:val="single" w:color="1B4F8A" w:sz="8"/>
              <w:bottom w:val="none"/>
              <w:right w:val="single" w:color="2E75B6" w:sz="1"/>
            </w:tcBorders>
            <w:shd w:fill="F7FAFF" w:val="clear"/>
            <w:tcMar>
              <w:top w:type="dxa" w:w="80"/>
              <w:left w:type="dxa" w:w="300"/>
              <w:bottom w:type="dxa" w:w="80"/>
              <w:right w:type="dxa" w:w="220"/>
            </w:tcMar>
          </w:tcPr>
          <w:p>
            <w:r>
              <w:rPr>
                <w:rFonts w:ascii="Arial" w:cs="Arial" w:eastAsia="Arial" w:hAnsi="Arial"/>
                <w:color w:val="0070C0"/>
                <w:sz w:val="20"/>
                <w:szCs w:val="20"/>
              </w:rPr>
              <w:t xml:space="preserve">▸ </w:t>
            </w:r>
            <w:r>
              <w:rPr>
                <w:rFonts w:ascii="Arial" w:cs="Arial" w:eastAsia="Arial" w:hAnsi="Arial"/>
                <w:b/>
                <w:bCs/>
                <w:color w:val="1A1A2E"/>
                <w:sz w:val="20"/>
                <w:szCs w:val="20"/>
              </w:rPr>
              <w:t xml:space="preserve">Overview Panel:  </w:t>
            </w:r>
            <w:r>
              <w:rPr>
                <w:rFonts w:ascii="Arial" w:cs="Arial" w:eastAsia="Arial" w:hAnsi="Arial"/>
                <w:color w:val="1A1A2E"/>
                <w:sz w:val="20"/>
                <w:szCs w:val="20"/>
              </w:rPr>
              <w:t xml:space="preserve">4 metric cards: Total Proteins in DB · Pipeline Status (last run + next run) · Active Users (last 24h) · Model Versions deployed. Alert banner if any pipeline step failed.</w:t>
            </w:r>
          </w:p>
        </w:tc>
      </w:tr>
      <w:tr>
        <w:tc>
          <w:tcPr>
            <w:tcBorders>
              <w:top w:val="none"/>
              <w:left w:val="single" w:color="1B4F8A" w:sz="8"/>
              <w:bottom w:val="none"/>
              <w:right w:val="single" w:color="2E75B6" w:sz="1"/>
            </w:tcBorders>
            <w:shd w:fill="FFFFFF" w:val="clear"/>
            <w:tcMar>
              <w:top w:type="dxa" w:w="80"/>
              <w:left w:type="dxa" w:w="300"/>
              <w:bottom w:type="dxa" w:w="80"/>
              <w:right w:type="dxa" w:w="220"/>
            </w:tcMar>
          </w:tcPr>
          <w:p>
            <w:r>
              <w:rPr>
                <w:rFonts w:ascii="Arial" w:cs="Arial" w:eastAsia="Arial" w:hAnsi="Arial"/>
                <w:color w:val="0070C0"/>
                <w:sz w:val="20"/>
                <w:szCs w:val="20"/>
              </w:rPr>
              <w:t xml:space="preserve">▸ </w:t>
            </w:r>
            <w:r>
              <w:rPr>
                <w:rFonts w:ascii="Arial" w:cs="Arial" w:eastAsia="Arial" w:hAnsi="Arial"/>
                <w:b/>
                <w:bCs/>
                <w:color w:val="1A1A2E"/>
                <w:sz w:val="20"/>
                <w:szCs w:val="20"/>
              </w:rPr>
              <w:t xml:space="preserve">Pipeline Management Panel:  </w:t>
            </w:r>
            <w:r>
              <w:rPr>
                <w:rFonts w:ascii="Arial" w:cs="Arial" w:eastAsia="Arial" w:hAnsi="Arial"/>
                <w:color w:val="1A1A2E"/>
                <w:sz w:val="20"/>
                <w:szCs w:val="20"/>
              </w:rPr>
              <w:t xml:space="preserve">Pipeline run history table: Run ID · Start time · Status (badge) · Records processed · Errors. 'Trigger Manual Run' button (primary). Per-step status accordion: Data Ingestion · GO Annotation Filter · Split Computation · Data Card Generation.</w:t>
            </w:r>
          </w:p>
        </w:tc>
      </w:tr>
      <w:tr>
        <w:tc>
          <w:tcPr>
            <w:tcBorders>
              <w:top w:val="none"/>
              <w:left w:val="single" w:color="1B4F8A" w:sz="8"/>
              <w:bottom w:val="none"/>
              <w:right w:val="single" w:color="2E75B6" w:sz="1"/>
            </w:tcBorders>
            <w:shd w:fill="F7FAFF" w:val="clear"/>
            <w:tcMar>
              <w:top w:type="dxa" w:w="80"/>
              <w:left w:type="dxa" w:w="300"/>
              <w:bottom w:type="dxa" w:w="80"/>
              <w:right w:type="dxa" w:w="220"/>
            </w:tcMar>
          </w:tcPr>
          <w:p>
            <w:r>
              <w:rPr>
                <w:rFonts w:ascii="Arial" w:cs="Arial" w:eastAsia="Arial" w:hAnsi="Arial"/>
                <w:color w:val="0070C0"/>
                <w:sz w:val="20"/>
                <w:szCs w:val="20"/>
              </w:rPr>
              <w:t xml:space="preserve">▸ </w:t>
            </w:r>
            <w:r>
              <w:rPr>
                <w:rFonts w:ascii="Arial" w:cs="Arial" w:eastAsia="Arial" w:hAnsi="Arial"/>
                <w:b/>
                <w:bCs/>
                <w:color w:val="1A1A2E"/>
                <w:sz w:val="20"/>
                <w:szCs w:val="20"/>
              </w:rPr>
              <w:t xml:space="preserve">User Management Panel:  </w:t>
            </w:r>
            <w:r>
              <w:rPr>
                <w:rFonts w:ascii="Arial" w:cs="Arial" w:eastAsia="Arial" w:hAnsi="Arial"/>
                <w:color w:val="1A1A2E"/>
                <w:sz w:val="20"/>
                <w:szCs w:val="20"/>
              </w:rPr>
              <w:t xml:space="preserve">User table: Email · Role · Last active · Status (active/suspended). Role assignment dropdown. Deactivation toggle. Audit log link per user.</w:t>
            </w:r>
          </w:p>
        </w:tc>
      </w:tr>
      <w:tr>
        <w:tc>
          <w:tcPr>
            <w:tcBorders>
              <w:top w:val="none"/>
              <w:left w:val="single" w:color="1B4F8A" w:sz="8"/>
              <w:bottom w:val="none"/>
              <w:right w:val="single" w:color="2E75B6" w:sz="1"/>
            </w:tcBorders>
            <w:shd w:fill="FFFFFF" w:val="clear"/>
            <w:tcMar>
              <w:top w:type="dxa" w:w="80"/>
              <w:left w:type="dxa" w:w="300"/>
              <w:bottom w:type="dxa" w:w="80"/>
              <w:right w:type="dxa" w:w="220"/>
            </w:tcMar>
          </w:tcPr>
          <w:p>
            <w:r>
              <w:rPr>
                <w:rFonts w:ascii="Arial" w:cs="Arial" w:eastAsia="Arial" w:hAnsi="Arial"/>
                <w:color w:val="0070C0"/>
                <w:sz w:val="20"/>
                <w:szCs w:val="20"/>
              </w:rPr>
              <w:t xml:space="preserve">▸ </w:t>
            </w:r>
            <w:r>
              <w:rPr>
                <w:rFonts w:ascii="Arial" w:cs="Arial" w:eastAsia="Arial" w:hAnsi="Arial"/>
                <w:b/>
                <w:bCs/>
                <w:color w:val="1A1A2E"/>
                <w:sz w:val="20"/>
                <w:szCs w:val="20"/>
              </w:rPr>
              <w:t xml:space="preserve">System Health Panel:  </w:t>
            </w:r>
            <w:r>
              <w:rPr>
                <w:rFonts w:ascii="Arial" w:cs="Arial" w:eastAsia="Arial" w:hAnsi="Arial"/>
                <w:color w:val="1A1A2E"/>
                <w:sz w:val="20"/>
                <w:szCs w:val="20"/>
              </w:rPr>
              <w:t xml:space="preserve">Prometheus metrics embedded: API response time P95 · Error rate · PostgreSQL connection pool · Redis cache hit rate · Object storage usage. Alerting thresholds listed per metric.</w:t>
            </w:r>
          </w:p>
        </w:tc>
      </w:tr>
      <w:tr>
        <w:tc>
          <w:tcPr>
            <w:tcBorders>
              <w:top w:val="none"/>
              <w:left w:val="single" w:color="1B4F8A" w:sz="8"/>
              <w:bottom w:val="single" w:color="2E75B6" w:sz="1"/>
              <w:right w:val="single" w:color="2E75B6" w:sz="1"/>
            </w:tcBorders>
            <w:shd w:fill="EBF3FB" w:val="clear"/>
            <w:tcMar>
              <w:top w:type="dxa" w:w="40"/>
              <w:left w:type="dxa" w:w="220"/>
              <w:bottom w:type="dxa" w:w="40"/>
              <w:right w:type="dxa" w:w="220"/>
            </w:tcMar>
          </w:tcPr>
          <w:p>
            <w:r>
              <w:rPr>
                <w:rFonts w:ascii="Arial" w:cs="Arial" w:eastAsia="Arial" w:hAnsi="Arial"/>
                <w:sz w:val="16"/>
                <w:szCs w:val="16"/>
              </w:rPr>
              <w:t xml:space="preserve"/>
            </w:r>
          </w:p>
        </w:tc>
      </w:tr>
    </w:tbl>
    <w:p>
      <w:pPr>
        <w:spacing w:before="80" w:after="80"/>
      </w:pPr>
      <w:r>
        <w:t xml:space="preserve"/>
      </w:r>
    </w:p>
    <w:p>
      <w:pPr>
        <w:pStyle w:val="Heading2"/>
        <w:spacing w:before="280" w:after="120"/>
      </w:pPr>
      <w:r>
        <w:rPr>
          <w:rFonts w:ascii="Arial" w:cs="Arial" w:eastAsia="Arial" w:hAnsi="Arial"/>
          <w:b/>
          <w:bCs/>
          <w:color w:val="2E75B6"/>
          <w:sz w:val="28"/>
          <w:szCs w:val="28"/>
        </w:rPr>
        <w:t xml:space="preserve">5.6  User Flow Diagrams</w:t>
      </w:r>
    </w:p>
    <w:p>
      <w:pPr>
        <w:pStyle w:val="Heading3"/>
        <w:spacing w:before="200" w:after="80"/>
      </w:pPr>
      <w:r>
        <w:rPr>
          <w:rFonts w:ascii="Arial" w:cs="Arial" w:eastAsia="Arial" w:hAnsi="Arial"/>
          <w:b/>
          <w:bCs/>
          <w:color w:val="0070C0"/>
          <w:sz w:val="24"/>
          <w:szCs w:val="24"/>
        </w:rPr>
        <w:t xml:space="preserve">5.6.1  Primary Flow: First-Time Researcher — Protein Function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800"/>
        <w:gridCol w:w="3760"/>
      </w:tblGrid>
      <w:tr>
        <w:tc>
          <w:tcPr>
            <w:tcW w:type="dxa" w:w="6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22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Screen</w:t>
            </w:r>
          </w:p>
        </w:tc>
        <w:tc>
          <w:tcPr>
            <w:tcW w:type="dxa" w:w="28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User Action</w:t>
            </w:r>
          </w:p>
        </w:tc>
        <w:tc>
          <w:tcPr>
            <w:tcW w:type="dxa" w:w="37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System Response</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Landing Dashboard</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Types 'P01308' in search bar</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Autocomplete suggests 'P01308 — Insulin (INS_HUMAN)'</w:t>
            </w:r>
          </w:p>
        </w:tc>
      </w:tr>
      <w:tr>
        <w:tc>
          <w:tcPr>
            <w:tcW w:type="dxa" w:w="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2</w:t>
            </w:r>
          </w:p>
        </w:tc>
        <w:tc>
          <w:tcPr>
            <w:tcW w:type="dxa" w:w="2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Landing Dashboard</w:t>
            </w:r>
          </w:p>
        </w:tc>
        <w:tc>
          <w:tcPr>
            <w:tcW w:type="dxa" w:w="28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Selects suggestion, presses Enter</w:t>
            </w:r>
          </w:p>
        </w:tc>
        <w:tc>
          <w:tcPr>
            <w:tcW w:type="dxa" w:w="37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Routes to /protein/P01308 — protein overview loads</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Protein Overview</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Clicks 'Predict Function'</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Routes to /predict/function?id=P01308; job starts</w:t>
            </w:r>
          </w:p>
        </w:tc>
      </w:tr>
      <w:tr>
        <w:tc>
          <w:tcPr>
            <w:tcW w:type="dxa" w:w="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4</w:t>
            </w:r>
          </w:p>
        </w:tc>
        <w:tc>
          <w:tcPr>
            <w:tcW w:type="dxa" w:w="2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Function Prediction</w:t>
            </w:r>
          </w:p>
        </w:tc>
        <w:tc>
          <w:tcPr>
            <w:tcW w:type="dxa" w:w="28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Sees ProgressJob indicator: 'Retrieving embeddings...'</w:t>
            </w:r>
          </w:p>
        </w:tc>
        <w:tc>
          <w:tcPr>
            <w:tcW w:type="dxa" w:w="37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WebSocket pushes progress updates in real-time</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Function Prediction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Prediction completes — report renders</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Summary card shows: 'Hormone activity (GO:0005179) — 94% confidence'</w:t>
            </w:r>
          </w:p>
        </w:tc>
      </w:tr>
      <w:tr>
        <w:tc>
          <w:tcPr>
            <w:tcW w:type="dxa" w:w="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6</w:t>
            </w:r>
          </w:p>
        </w:tc>
        <w:tc>
          <w:tcPr>
            <w:tcW w:type="dxa" w:w="2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Function Prediction</w:t>
            </w:r>
          </w:p>
        </w:tc>
        <w:tc>
          <w:tcPr>
            <w:tcW w:type="dxa" w:w="28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Clicks 'Sequence View' tab</w:t>
            </w:r>
          </w:p>
        </w:tc>
        <w:tc>
          <w:tcPr>
            <w:tcW w:type="dxa" w:w="37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SequenceAnnotator loads with attention heatmap overlay</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Function Prediction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Hovers residue A14</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Tooltip: 'Ala-14 · Attention: 0.87 · Active site (UniProt annotation)'</w:t>
            </w:r>
          </w:p>
        </w:tc>
      </w:tr>
      <w:tr>
        <w:tc>
          <w:tcPr>
            <w:tcW w:type="dxa" w:w="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8</w:t>
            </w:r>
          </w:p>
        </w:tc>
        <w:tc>
          <w:tcPr>
            <w:tcW w:type="dxa" w:w="2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Function Prediction</w:t>
            </w:r>
          </w:p>
        </w:tc>
        <w:tc>
          <w:tcPr>
            <w:tcW w:type="dxa" w:w="28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Clicks 'Evidence' tab</w:t>
            </w:r>
          </w:p>
        </w:tc>
        <w:tc>
          <w:tcPr>
            <w:tcW w:type="dxa" w:w="37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EvidenceGraph renders: prediction → UniProt feature nodes → GO term → 3 literature references</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9</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Function Prediction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Clicks 'Export PDF'</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PDF report generated with all tabs' content, references, and model metadata</w:t>
            </w:r>
          </w:p>
        </w:tc>
      </w:tr>
    </w:tbl>
    <w:p>
      <w:pPr>
        <w:spacing w:before="80" w:after="80"/>
      </w:pPr>
      <w:r>
        <w:t xml:space="preserve"/>
      </w:r>
    </w:p>
    <w:p>
      <w:pPr>
        <w:pStyle w:val="Heading3"/>
        <w:spacing w:before="200" w:after="80"/>
      </w:pPr>
      <w:r>
        <w:rPr>
          <w:rFonts w:ascii="Arial" w:cs="Arial" w:eastAsia="Arial" w:hAnsi="Arial"/>
          <w:b/>
          <w:bCs/>
          <w:color w:val="0070C0"/>
          <w:sz w:val="24"/>
          <w:szCs w:val="24"/>
        </w:rPr>
        <w:t xml:space="preserve">5.6.2  Secondary Flow: Clinical Scientist — CCA Candidate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800"/>
        <w:gridCol w:w="3760"/>
      </w:tblGrid>
      <w:tr>
        <w:tc>
          <w:tcPr>
            <w:tcW w:type="dxa" w:w="6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22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Screen</w:t>
            </w:r>
          </w:p>
        </w:tc>
        <w:tc>
          <w:tcPr>
            <w:tcW w:type="dxa" w:w="28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User Action</w:t>
            </w:r>
          </w:p>
        </w:tc>
        <w:tc>
          <w:tcPr>
            <w:tcW w:type="dxa" w:w="37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System Response</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Landing Dashboard</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Clicks 'CCA Biomarker Dashboard' tile</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Routes to /cca; expression heatmap and candidate table load</w:t>
            </w:r>
          </w:p>
        </w:tc>
      </w:tr>
      <w:tr>
        <w:tc>
          <w:tcPr>
            <w:tcW w:type="dxa" w:w="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2</w:t>
            </w:r>
          </w:p>
        </w:tc>
        <w:tc>
          <w:tcPr>
            <w:tcW w:type="dxa" w:w="2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CCA Dashboard</w:t>
            </w:r>
          </w:p>
        </w:tc>
        <w:tc>
          <w:tcPr>
            <w:tcW w:type="dxa" w:w="28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Sets fold-change to 3.0×, p-value to 0.01, Direction: Up-regulated</w:t>
            </w:r>
          </w:p>
        </w:tc>
        <w:tc>
          <w:tcPr>
            <w:tcW w:type="dxa" w:w="37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Table filters to 23 candidates; heatmap updates</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CCA Dashboard</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Clicks candidate row: FGFR2 (P21802)</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Inline expansion shows: Function = Receptor tyrosine kinase activity · Essentiality: High · Drug hits: 3 (FGFR inhibitors in Phase 2/3)</w:t>
            </w:r>
          </w:p>
        </w:tc>
      </w:tr>
      <w:tr>
        <w:tc>
          <w:tcPr>
            <w:tcW w:type="dxa" w:w="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4</w:t>
            </w:r>
          </w:p>
        </w:tc>
        <w:tc>
          <w:tcPr>
            <w:tcW w:type="dxa" w:w="2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CCA Dashboard</w:t>
            </w:r>
          </w:p>
        </w:tc>
        <w:tc>
          <w:tcPr>
            <w:tcW w:type="dxa" w:w="28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Clicks 'View Full Report'</w:t>
            </w:r>
          </w:p>
        </w:tc>
        <w:tc>
          <w:tcPr>
            <w:tcW w:type="dxa" w:w="37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Opens /reports/FGFR2-CCA with complete pipeline report</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Report View</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Reviews structure, interactions, mutation flags</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Sees FGFR2 structural comparison with common activating mutation K650M</w:t>
            </w:r>
          </w:p>
        </w:tc>
      </w:tr>
      <w:tr>
        <w:tc>
          <w:tcPr>
            <w:tcW w:type="dxa" w:w="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6</w:t>
            </w:r>
          </w:p>
        </w:tc>
        <w:tc>
          <w:tcPr>
            <w:tcW w:type="dxa" w:w="2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Report View</w:t>
            </w:r>
          </w:p>
        </w:tc>
        <w:tc>
          <w:tcPr>
            <w:tcW w:type="dxa" w:w="28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Clicks 'Export PDF'</w:t>
            </w:r>
          </w:p>
        </w:tc>
        <w:tc>
          <w:tcPr>
            <w:tcW w:type="dxa" w:w="37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Structured PDF with executive summary, evidence graph, and references generated</w:t>
            </w:r>
          </w:p>
        </w:tc>
      </w:tr>
    </w:tbl>
    <w:p>
      <w:pPr>
        <w:spacing w:before="80" w:after="80"/>
      </w:pPr>
      <w:r>
        <w:t xml:space="preserve"/>
      </w:r>
    </w:p>
    <w:p>
      <w:pPr>
        <w:pStyle w:val="Heading3"/>
        <w:spacing w:before="200" w:after="80"/>
      </w:pPr>
      <w:r>
        <w:rPr>
          <w:rFonts w:ascii="Arial" w:cs="Arial" w:eastAsia="Arial" w:hAnsi="Arial"/>
          <w:b/>
          <w:bCs/>
          <w:color w:val="0070C0"/>
          <w:sz w:val="24"/>
          <w:szCs w:val="24"/>
        </w:rPr>
        <w:t xml:space="preserve">5.6.3  Tool-Access Flow: Researcher Using Structure Comparator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800"/>
        <w:gridCol w:w="3760"/>
      </w:tblGrid>
      <w:tr>
        <w:tc>
          <w:tcPr>
            <w:tcW w:type="dxa" w:w="6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22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Screen</w:t>
            </w:r>
          </w:p>
        </w:tc>
        <w:tc>
          <w:tcPr>
            <w:tcW w:type="dxa" w:w="28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User Action</w:t>
            </w:r>
          </w:p>
        </w:tc>
        <w:tc>
          <w:tcPr>
            <w:tcW w:type="dxa" w:w="37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System Response</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Landing Dashboard</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Clicks 'Structure Comparator' tile</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Routes to /tools/structure-comparator</w:t>
            </w:r>
          </w:p>
        </w:tc>
      </w:tr>
      <w:tr>
        <w:tc>
          <w:tcPr>
            <w:tcW w:type="dxa" w:w="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2</w:t>
            </w:r>
          </w:p>
        </w:tc>
        <w:tc>
          <w:tcPr>
            <w:tcW w:type="dxa" w:w="2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Comparator</w:t>
            </w:r>
          </w:p>
        </w:tc>
        <w:tc>
          <w:tcPr>
            <w:tcW w:type="dxa" w:w="28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Enters P01308 in Structure A, P01315 in Structure B</w:t>
            </w:r>
          </w:p>
        </w:tc>
        <w:tc>
          <w:tcPr>
            <w:tcW w:type="dxa" w:w="37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Both proteins resolved: Insulin Human · Insulin Mouse</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Comparator</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Clicks 'Compare'</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Both structures fetched from AlphaFold DB; superposition computed</w:t>
            </w:r>
          </w:p>
        </w:tc>
      </w:tr>
      <w:tr>
        <w:tc>
          <w:tcPr>
            <w:tcW w:type="dxa" w:w="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4</w:t>
            </w:r>
          </w:p>
        </w:tc>
        <w:tc>
          <w:tcPr>
            <w:tcW w:type="dxa" w:w="2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Comparator</w:t>
            </w:r>
          </w:p>
        </w:tc>
        <w:tc>
          <w:tcPr>
            <w:tcW w:type="dxa" w:w="28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Sees RMSD = 0.38Å — 'Nearly Identical' badge (green)</w:t>
            </w:r>
          </w:p>
        </w:tc>
        <w:tc>
          <w:tcPr>
            <w:tcW w:type="dxa" w:w="37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Overlaid view shows conserved regions (blue), minor differences (amber)</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Comparator</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Switches to 'Side-by-Side' toggle</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Two synchronized Mol* viewers render; rotating one rotates both</w:t>
            </w:r>
          </w:p>
        </w:tc>
      </w:tr>
      <w:tr>
        <w:tc>
          <w:tcPr>
            <w:tcW w:type="dxa" w:w="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6</w:t>
            </w:r>
          </w:p>
        </w:tc>
        <w:tc>
          <w:tcPr>
            <w:tcW w:type="dxa" w:w="2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Comparator</w:t>
            </w:r>
          </w:p>
        </w:tc>
        <w:tc>
          <w:tcPr>
            <w:tcW w:type="dxa" w:w="28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Clicks divergent region in sequence alignment strip</w:t>
            </w:r>
          </w:p>
        </w:tc>
        <w:tc>
          <w:tcPr>
            <w:tcW w:type="dxa" w:w="37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Corresponding residues highlighted in both 3D viewers simultaneously</w:t>
            </w:r>
          </w:p>
        </w:tc>
      </w:tr>
    </w:tbl>
    <w:p>
      <w:pPr>
        <w:spacing w:before="80" w:after="80"/>
      </w:pPr>
      <w:r>
        <w:t xml:space="preserve"/>
      </w:r>
    </w:p>
    <w:p>
      <w:pPr>
        <w:pStyle w:val="Heading2"/>
        <w:spacing w:before="280" w:after="120"/>
      </w:pPr>
      <w:r>
        <w:rPr>
          <w:rFonts w:ascii="Arial" w:cs="Arial" w:eastAsia="Arial" w:hAnsi="Arial"/>
          <w:b/>
          <w:bCs/>
          <w:color w:val="2E75B6"/>
          <w:sz w:val="28"/>
          <w:szCs w:val="28"/>
        </w:rPr>
        <w:t xml:space="preserve">5.7  Interaction Design</w:t>
      </w:r>
    </w:p>
    <w:p>
      <w:pPr>
        <w:pStyle w:val="Heading3"/>
        <w:spacing w:before="200" w:after="80"/>
      </w:pPr>
      <w:r>
        <w:rPr>
          <w:rFonts w:ascii="Arial" w:cs="Arial" w:eastAsia="Arial" w:hAnsi="Arial"/>
          <w:b/>
          <w:bCs/>
          <w:color w:val="0070C0"/>
          <w:sz w:val="24"/>
          <w:szCs w:val="24"/>
        </w:rPr>
        <w:t xml:space="preserve">5.7.1  Micro-Interactions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1400"/>
        <w:gridCol w:w="2960"/>
      </w:tblGrid>
      <w:tr>
        <w:tc>
          <w:tcPr>
            <w:tcW w:type="dxa" w:w="24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Trigger</w:t>
            </w:r>
          </w:p>
        </w:tc>
        <w:tc>
          <w:tcPr>
            <w:tcW w:type="dxa" w:w="26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Animation</w:t>
            </w:r>
          </w:p>
        </w:tc>
        <w:tc>
          <w:tcPr>
            <w:tcW w:type="dxa" w:w="14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Duration</w:t>
            </w:r>
          </w:p>
        </w:tc>
        <w:tc>
          <w:tcPr>
            <w:tcW w:type="dxa" w:w="29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Button click</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Scale 0.97 → 1.0 on mousedown release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80ms</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Tactile feedback without delay</w:t>
            </w:r>
          </w:p>
        </w:tc>
      </w:tr>
      <w:tr>
        <w:tc>
          <w:tcPr>
            <w:tcW w:type="dxa" w:w="24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Card hover</w:t>
            </w:r>
          </w:p>
        </w:tc>
        <w:tc>
          <w:tcPr>
            <w:tcW w:type="dxa" w:w="2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--shadow-sm → --shadow-md, border-top 2px C.mid</w:t>
            </w:r>
          </w:p>
        </w:tc>
        <w:tc>
          <w:tcPr>
            <w:tcW w:type="dxa" w:w="14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150ms ease-out</w:t>
            </w:r>
          </w:p>
        </w:tc>
        <w:tc>
          <w:tcPr>
            <w:tcW w:type="dxa" w:w="29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Affordance — indicates clickability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Panel expand/collapse</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Height animation 0 → auto using CSS Grid trick</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200ms ease-in-out</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Spatial continuity — where did content come from?</w:t>
            </w:r>
          </w:p>
        </w:tc>
      </w:tr>
      <w:tr>
        <w:tc>
          <w:tcPr>
            <w:tcW w:type="dxa" w:w="24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Score reveal</w:t>
            </w:r>
          </w:p>
        </w:tc>
        <w:tc>
          <w:tcPr>
            <w:tcW w:type="dxa" w:w="2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Number counter: 0% → actual%, with color fill animating</w:t>
            </w:r>
          </w:p>
        </w:tc>
        <w:tc>
          <w:tcPr>
            <w:tcW w:type="dxa" w:w="14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600ms ease-out</w:t>
            </w:r>
          </w:p>
        </w:tc>
        <w:tc>
          <w:tcPr>
            <w:tcW w:type="dxa" w:w="29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Directs attention; makes confidence legible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Tab switch</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Content fade-out 100ms → fade-in 150ms; underline slides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250ms total</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Orientation — prevents jarring content swap</w:t>
            </w:r>
          </w:p>
        </w:tc>
      </w:tr>
      <w:tr>
        <w:tc>
          <w:tcPr>
            <w:tcW w:type="dxa" w:w="24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Loading skeleton</w:t>
            </w:r>
          </w:p>
        </w:tc>
        <w:tc>
          <w:tcPr>
            <w:tcW w:type="dxa" w:w="2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Gradient shimmer left → right at 1.2s repeat</w:t>
            </w:r>
          </w:p>
        </w:tc>
        <w:tc>
          <w:tcPr>
            <w:tcW w:type="dxa" w:w="14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Continuous</w:t>
            </w:r>
          </w:p>
        </w:tc>
        <w:tc>
          <w:tcPr>
            <w:tcW w:type="dxa" w:w="29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Communicates 'something is coming' without anxiety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Progress step complete</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Checkmark stamp animation (scale 0 → 1.1 → 1)</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300ms</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Closure — confirms pipeline step completion</w:t>
            </w:r>
          </w:p>
        </w:tc>
      </w:tr>
      <w:tr>
        <w:tc>
          <w:tcPr>
            <w:tcW w:type="dxa" w:w="24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3D structure loaded</w:t>
            </w:r>
          </w:p>
        </w:tc>
        <w:tc>
          <w:tcPr>
            <w:tcW w:type="dxa" w:w="2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Fade in from transparent + subtle scale 0.98 → 1</w:t>
            </w:r>
          </w:p>
        </w:tc>
        <w:tc>
          <w:tcPr>
            <w:tcW w:type="dxa" w:w="14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400ms</w:t>
            </w:r>
          </w:p>
        </w:tc>
        <w:tc>
          <w:tcPr>
            <w:tcW w:type="dxa" w:w="29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Smooth reveal — avoids jarring pop-in</w:t>
            </w:r>
          </w:p>
        </w:tc>
      </w:tr>
    </w:tbl>
    <w:p>
      <w:pPr>
        <w:spacing w:before="80" w:after="80"/>
      </w:pPr>
      <w:r>
        <w:t xml:space="preserve"/>
      </w:r>
    </w:p>
    <w:p>
      <w:pPr>
        <w:pStyle w:val="Heading3"/>
        <w:spacing w:before="200" w:after="80"/>
      </w:pPr>
      <w:r>
        <w:rPr>
          <w:rFonts w:ascii="Arial" w:cs="Arial" w:eastAsia="Arial" w:hAnsi="Arial"/>
          <w:b/>
          <w:bCs/>
          <w:color w:val="0070C0"/>
          <w:sz w:val="24"/>
          <w:szCs w:val="24"/>
        </w:rPr>
        <w:t xml:space="preserve">5.7.2  Keyboard Navigation &amp; Shortcuts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Shortcut</w:t>
            </w:r>
          </w:p>
        </w:tc>
        <w:tc>
          <w:tcPr>
            <w:tcW w:type="dxa" w:w="71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Action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 (forward slash)</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Focus the global search bar from anywhere</w:t>
            </w:r>
          </w:p>
        </w:tc>
      </w:tr>
      <w:tr>
        <w:tc>
          <w:tcPr>
            <w:tcW w:type="dxa" w:w="2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Escape</w:t>
            </w:r>
          </w:p>
        </w:tc>
        <w:tc>
          <w:tcPr>
            <w:tcW w:type="dxa" w:w="71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Clear search, dismiss modal, collapse expanded panel</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Tab / Shift+Tab</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Full keyboard navigation through all interactive elements</w:t>
            </w:r>
          </w:p>
        </w:tc>
      </w:tr>
      <w:tr>
        <w:tc>
          <w:tcPr>
            <w:tcW w:type="dxa" w:w="2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Enter</w:t>
            </w:r>
          </w:p>
        </w:tc>
        <w:tc>
          <w:tcPr>
            <w:tcW w:type="dxa" w:w="71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Submit search, confirm action in focused button/link</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Arrow keys (in 3D viewer)</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Rotate structure by 5° per key press</w:t>
            </w:r>
          </w:p>
        </w:tc>
      </w:tr>
      <w:tr>
        <w:tc>
          <w:tcPr>
            <w:tcW w:type="dxa" w:w="2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Ctrl+E / Cmd+E</w:t>
            </w:r>
          </w:p>
        </w:tc>
        <w:tc>
          <w:tcPr>
            <w:tcW w:type="dxa" w:w="71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Export current view/report to PDF</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Ctrl+[ / Ctrl+]</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Switch between tabs in tabbed views</w:t>
            </w:r>
          </w:p>
        </w:tc>
      </w:tr>
      <w:tr>
        <w:tc>
          <w:tcPr>
            <w:tcW w:type="dxa" w:w="2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Ctrl+R / Cmd+R</w:t>
            </w:r>
          </w:p>
        </w:tc>
        <w:tc>
          <w:tcPr>
            <w:tcW w:type="dxa" w:w="71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Reset 3D viewer to default orientation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Number keys 1–6 (on landing)</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Quick-open tool tiles 1 through 6</w:t>
            </w:r>
          </w:p>
        </w:tc>
      </w:tr>
    </w:tbl>
    <w:p>
      <w:pPr>
        <w:spacing w:before="80" w:after="80"/>
      </w:pPr>
      <w:r>
        <w:t xml:space="preserve"/>
      </w:r>
    </w:p>
    <w:p>
      <w:pPr>
        <w:pStyle w:val="Heading3"/>
        <w:spacing w:before="200" w:after="80"/>
      </w:pPr>
      <w:r>
        <w:rPr>
          <w:rFonts w:ascii="Arial" w:cs="Arial" w:eastAsia="Arial" w:hAnsi="Arial"/>
          <w:b/>
          <w:bCs/>
          <w:color w:val="0070C0"/>
          <w:sz w:val="24"/>
          <w:szCs w:val="24"/>
        </w:rPr>
        <w:t xml:space="preserve">5.7.3  Error &amp; Empty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Scenario</w:t>
            </w:r>
          </w:p>
        </w:tc>
        <w:tc>
          <w:tcPr>
            <w:tcW w:type="dxa" w:w="26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Visual Treatment</w:t>
            </w:r>
          </w:p>
        </w:tc>
        <w:tc>
          <w:tcPr>
            <w:tcW w:type="dxa" w:w="41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Message Copy</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Invalid UniProt ID</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Red input border + inline error icon</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'This ID doesn't appear in UniProt Swiss-Prot. Please verify it at uniprot.org.'</w:t>
            </w:r>
          </w:p>
        </w:tc>
      </w:tr>
      <w:tr>
        <w:tc>
          <w:tcPr>
            <w:tcW w:type="dxa" w:w="2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AlphaFold structure not found</w:t>
            </w:r>
          </w:p>
        </w:tc>
        <w:tc>
          <w:tcPr>
            <w:tcW w:type="dxa" w:w="2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Amber callout</w:t>
            </w:r>
          </w:p>
        </w:tc>
        <w:tc>
          <w:tcPr>
            <w:tcW w:type="dxa" w:w="41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'No AlphaFold structure found. A homology model is being built via SWISS-MODEL — this may take 30–90 seconds.'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Model inference timeout</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Red callout + retry button</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'Prediction timed out. This may be due to high server load. Your result will be saved when complete.'</w:t>
            </w:r>
          </w:p>
        </w:tc>
      </w:tr>
      <w:tr>
        <w:tc>
          <w:tcPr>
            <w:tcW w:type="dxa" w:w="2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Empty PPI network</w:t>
            </w:r>
          </w:p>
        </w:tc>
        <w:tc>
          <w:tcPr>
            <w:tcW w:type="dxa" w:w="2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Neutral empty state illustration</w:t>
            </w:r>
          </w:p>
        </w:tc>
        <w:tc>
          <w:tcPr>
            <w:tcW w:type="dxa" w:w="41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'No interaction data found for this protein in BioGRID or STRING. This may be an understudied protein.'</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No CCA candidates at filter threshold</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Amber empty state + suggestion</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'No candidates meet your current thresholds. Try relaxing the fold-change cutoff or including down-regulated proteins.'</w:t>
            </w:r>
          </w:p>
        </w:tc>
      </w:tr>
      <w:tr>
        <w:tc>
          <w:tcPr>
            <w:tcW w:type="dxa" w:w="2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WebGL not supported</w:t>
            </w:r>
          </w:p>
        </w:tc>
        <w:tc>
          <w:tcPr>
            <w:tcW w:type="dxa" w:w="2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Full-page notice</w:t>
            </w:r>
          </w:p>
        </w:tc>
        <w:tc>
          <w:tcPr>
            <w:tcW w:type="dxa" w:w="41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'3D visualization requires WebGL, which isn't available in your current browser. Please use Chrome 90+, Firefox 85+, or Safari 14+.'</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API rate limit exceeded</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Amber banner (top of page)</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'External database rate limit reached. Your request has been queued and will complete automatically.'</w:t>
            </w:r>
          </w:p>
        </w:tc>
      </w:tr>
    </w:tbl>
    <w:p>
      <w:pPr>
        <w:spacing w:before="80" w:after="80"/>
      </w:pPr>
      <w:r>
        <w:t xml:space="preserve"/>
      </w:r>
    </w:p>
    <w:p>
      <w:pPr>
        <w:pStyle w:val="Heading2"/>
        <w:spacing w:before="280" w:after="120"/>
      </w:pPr>
      <w:r>
        <w:rPr>
          <w:rFonts w:ascii="Arial" w:cs="Arial" w:eastAsia="Arial" w:hAnsi="Arial"/>
          <w:b/>
          <w:bCs/>
          <w:color w:val="2E75B6"/>
          <w:sz w:val="28"/>
          <w:szCs w:val="28"/>
        </w:rPr>
        <w:t xml:space="preserve">5.8  Accessibility (A11y)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1B4F8A" w:sz="8"/>
              <w:bottom w:val="single" w:color="2E75B6" w:sz="1"/>
              <w:right w:val="single" w:color="2E75B6" w:sz="1"/>
            </w:tcBorders>
            <w:shd w:fill="EBF3FB" w:val="clear"/>
            <w:tcMar>
              <w:top w:type="dxa" w:w="160"/>
              <w:left w:type="dxa" w:w="220"/>
              <w:bottom w:type="dxa" w:w="160"/>
              <w:right w:type="dxa" w:w="220"/>
            </w:tcMar>
          </w:tcPr>
          <w:p>
            <w:pPr>
              <w:spacing w:before="40" w:after="60"/>
            </w:pPr>
            <w:r>
              <w:rPr>
                <w:rFonts w:ascii="Arial" w:cs="Arial" w:eastAsia="Arial" w:hAnsi="Arial"/>
                <w:b/>
                <w:bCs/>
                <w:color w:val="1B4F8A"/>
                <w:sz w:val="22"/>
                <w:szCs w:val="22"/>
              </w:rPr>
              <w:t xml:space="preserve">Accessibility Commitment</w:t>
            </w:r>
          </w:p>
          <w:p>
            <w:pPr>
              <w:spacing w:before="40" w:after="40"/>
            </w:pPr>
            <w:r>
              <w:rPr>
                <w:rFonts w:ascii="Arial" w:cs="Arial" w:eastAsia="Arial" w:hAnsi="Arial"/>
                <w:color w:val="1A1A2E"/>
                <w:sz w:val="22"/>
                <w:szCs w:val="22"/>
              </w:rPr>
              <w:t xml:space="preserve">ProtMind targets WCAG 2.1 Level AA compliance across all views. Scientific tools have historically had poor accessibility. ProtMind is designed to be usable by researchers with visual impairments, motor limitations, or assistive technology dependencies.</w:t>
            </w:r>
          </w:p>
        </w:tc>
      </w:tr>
    </w:tbl>
    <w:p>
      <w:pPr>
        <w:spacing w:before="80" w:after="80"/>
      </w:pPr>
      <w:r>
        <w:t xml:space="preserve"/>
      </w:r>
    </w:p>
    <w:p>
      <w:pPr>
        <w:pStyle w:val="Heading3"/>
        <w:spacing w:before="200" w:after="80"/>
      </w:pPr>
      <w:r>
        <w:rPr>
          <w:rFonts w:ascii="Arial" w:cs="Arial" w:eastAsia="Arial" w:hAnsi="Arial"/>
          <w:b/>
          <w:bCs/>
          <w:color w:val="0070C0"/>
          <w:sz w:val="24"/>
          <w:szCs w:val="24"/>
        </w:rPr>
        <w:t xml:space="preserve">5.8.1  Contrast &amp; Color</w:t>
      </w:r>
    </w:p>
    <w:p>
      <w:pPr>
        <w:pStyle w:val="ListParagraph"/>
        <w:numPr>
          <w:ilvl w:val="0"/>
          <w:numId w:val="3"/>
        </w:numPr>
        <w:spacing w:before="50" w:after="50"/>
      </w:pPr>
      <w:r>
        <w:rPr>
          <w:rFonts w:ascii="Arial" w:cs="Arial" w:eastAsia="Arial" w:hAnsi="Arial"/>
          <w:color w:val="1A1A2E"/>
          <w:sz w:val="22"/>
          <w:szCs w:val="22"/>
        </w:rPr>
        <w:t xml:space="preserve">All body text must meet a minimum 4.5:1 contrast ratio against its background (WCAG 2.1 AA).</w:t>
      </w:r>
    </w:p>
    <w:p>
      <w:pPr>
        <w:pStyle w:val="ListParagraph"/>
        <w:numPr>
          <w:ilvl w:val="0"/>
          <w:numId w:val="3"/>
        </w:numPr>
        <w:spacing w:before="50" w:after="50"/>
      </w:pPr>
      <w:r>
        <w:rPr>
          <w:rFonts w:ascii="Arial" w:cs="Arial" w:eastAsia="Arial" w:hAnsi="Arial"/>
          <w:color w:val="1A1A2E"/>
          <w:sz w:val="22"/>
          <w:szCs w:val="22"/>
        </w:rPr>
        <w:t xml:space="preserve">Large text (18px+ bold or 24px+ regular) must meet a minimum 3:1 contrast ratio.</w:t>
      </w:r>
    </w:p>
    <w:p>
      <w:pPr>
        <w:pStyle w:val="ListParagraph"/>
        <w:numPr>
          <w:ilvl w:val="0"/>
          <w:numId w:val="3"/>
        </w:numPr>
        <w:spacing w:before="50" w:after="50"/>
      </w:pPr>
      <w:r>
        <w:rPr>
          <w:rFonts w:ascii="Arial" w:cs="Arial" w:eastAsia="Arial" w:hAnsi="Arial"/>
          <w:color w:val="1A1A2E"/>
          <w:sz w:val="22"/>
          <w:szCs w:val="22"/>
        </w:rPr>
        <w:t xml:space="preserve">Color must never be the ONLY means of conveying information — confidence levels must also show numeric values and icons.</w:t>
      </w:r>
    </w:p>
    <w:p>
      <w:pPr>
        <w:pStyle w:val="ListParagraph"/>
        <w:numPr>
          <w:ilvl w:val="0"/>
          <w:numId w:val="3"/>
        </w:numPr>
        <w:spacing w:before="50" w:after="50"/>
      </w:pPr>
      <w:r>
        <w:rPr>
          <w:rFonts w:ascii="Arial" w:cs="Arial" w:eastAsia="Arial" w:hAnsi="Arial"/>
          <w:color w:val="1A1A2E"/>
          <w:sz w:val="22"/>
          <w:szCs w:val="22"/>
        </w:rPr>
        <w:t xml:space="preserve">The pLDDT color scale must include pattern fills (hatching) or numeric labels as an alternative for color-blind users. A deuteranopia-safe alternative palette is provided.</w:t>
      </w:r>
    </w:p>
    <w:p>
      <w:pPr>
        <w:spacing w:before="80" w:after="80"/>
      </w:pPr>
      <w:r>
        <w:t xml:space="preserve"/>
      </w:r>
    </w:p>
    <w:p>
      <w:pPr>
        <w:pStyle w:val="Heading3"/>
        <w:spacing w:before="200" w:after="80"/>
      </w:pPr>
      <w:r>
        <w:rPr>
          <w:rFonts w:ascii="Arial" w:cs="Arial" w:eastAsia="Arial" w:hAnsi="Arial"/>
          <w:b/>
          <w:bCs/>
          <w:color w:val="0070C0"/>
          <w:sz w:val="24"/>
          <w:szCs w:val="24"/>
        </w:rPr>
        <w:t xml:space="preserve">5.8.2  Keyboard &amp; Focus</w:t>
      </w:r>
    </w:p>
    <w:p>
      <w:pPr>
        <w:pStyle w:val="ListParagraph"/>
        <w:numPr>
          <w:ilvl w:val="0"/>
          <w:numId w:val="3"/>
        </w:numPr>
        <w:spacing w:before="50" w:after="50"/>
      </w:pPr>
      <w:r>
        <w:rPr>
          <w:rFonts w:ascii="Arial" w:cs="Arial" w:eastAsia="Arial" w:hAnsi="Arial"/>
          <w:color w:val="1A1A2E"/>
          <w:sz w:val="22"/>
          <w:szCs w:val="22"/>
        </w:rPr>
        <w:t xml:space="preserve">All interactive elements must be reachable via Tab key navigation.</w:t>
      </w:r>
    </w:p>
    <w:p>
      <w:pPr>
        <w:pStyle w:val="ListParagraph"/>
        <w:numPr>
          <w:ilvl w:val="0"/>
          <w:numId w:val="3"/>
        </w:numPr>
        <w:spacing w:before="50" w:after="50"/>
      </w:pPr>
      <w:r>
        <w:rPr>
          <w:rFonts w:ascii="Arial" w:cs="Arial" w:eastAsia="Arial" w:hAnsi="Arial"/>
          <w:color w:val="1A1A2E"/>
          <w:sz w:val="22"/>
          <w:szCs w:val="22"/>
        </w:rPr>
        <w:t xml:space="preserve">Focus ring must be visible on all interactive elements — never suppressed with outline: none without a custom visible alternative.</w:t>
      </w:r>
    </w:p>
    <w:p>
      <w:pPr>
        <w:pStyle w:val="ListParagraph"/>
        <w:numPr>
          <w:ilvl w:val="0"/>
          <w:numId w:val="3"/>
        </w:numPr>
        <w:spacing w:before="50" w:after="50"/>
      </w:pPr>
      <w:r>
        <w:rPr>
          <w:rFonts w:ascii="Arial" w:cs="Arial" w:eastAsia="Arial" w:hAnsi="Arial"/>
          <w:color w:val="1A1A2E"/>
          <w:sz w:val="22"/>
          <w:szCs w:val="22"/>
        </w:rPr>
        <w:t xml:space="preserve">The 3D structure viewer (Mol*) exposes keyboard rotation and selection controls per the Mol* accessibility guidelines.</w:t>
      </w:r>
    </w:p>
    <w:p>
      <w:pPr>
        <w:pStyle w:val="ListParagraph"/>
        <w:numPr>
          <w:ilvl w:val="0"/>
          <w:numId w:val="3"/>
        </w:numPr>
        <w:spacing w:before="50" w:after="50"/>
      </w:pPr>
      <w:r>
        <w:rPr>
          <w:rFonts w:ascii="Arial" w:cs="Arial" w:eastAsia="Arial" w:hAnsi="Arial"/>
          <w:color w:val="1A1A2E"/>
          <w:sz w:val="22"/>
          <w:szCs w:val="22"/>
        </w:rPr>
        <w:t xml:space="preserve">Skip-to-main-content link must be present and visible on focus at the top of every page.</w:t>
      </w:r>
    </w:p>
    <w:p>
      <w:pPr>
        <w:spacing w:before="80" w:after="80"/>
      </w:pPr>
      <w:r>
        <w:t xml:space="preserve"/>
      </w:r>
    </w:p>
    <w:p>
      <w:pPr>
        <w:pStyle w:val="Heading3"/>
        <w:spacing w:before="200" w:after="80"/>
      </w:pPr>
      <w:r>
        <w:rPr>
          <w:rFonts w:ascii="Arial" w:cs="Arial" w:eastAsia="Arial" w:hAnsi="Arial"/>
          <w:b/>
          <w:bCs/>
          <w:color w:val="0070C0"/>
          <w:sz w:val="24"/>
          <w:szCs w:val="24"/>
        </w:rPr>
        <w:t xml:space="preserve">5.8.3  Screen Reader Support</w:t>
      </w:r>
    </w:p>
    <w:p>
      <w:pPr>
        <w:pStyle w:val="ListParagraph"/>
        <w:numPr>
          <w:ilvl w:val="0"/>
          <w:numId w:val="3"/>
        </w:numPr>
        <w:spacing w:before="50" w:after="50"/>
      </w:pPr>
      <w:r>
        <w:rPr>
          <w:rFonts w:ascii="Arial" w:cs="Arial" w:eastAsia="Arial" w:hAnsi="Arial"/>
          <w:color w:val="1A1A2E"/>
          <w:sz w:val="22"/>
          <w:szCs w:val="22"/>
        </w:rPr>
        <w:t xml:space="preserve">All images and icons must have descriptive aria-label or alt attributes.</w:t>
      </w:r>
    </w:p>
    <w:p>
      <w:pPr>
        <w:pStyle w:val="ListParagraph"/>
        <w:numPr>
          <w:ilvl w:val="0"/>
          <w:numId w:val="3"/>
        </w:numPr>
        <w:spacing w:before="50" w:after="50"/>
      </w:pPr>
      <w:r>
        <w:rPr>
          <w:rFonts w:ascii="Arial" w:cs="Arial" w:eastAsia="Arial" w:hAnsi="Arial"/>
          <w:color w:val="1A1A2E"/>
          <w:sz w:val="22"/>
          <w:szCs w:val="22"/>
        </w:rPr>
        <w:t xml:space="preserve">Dynamic content updates (WebSocket progress, new prediction results) must use aria-live='polite' regions.</w:t>
      </w:r>
    </w:p>
    <w:p>
      <w:pPr>
        <w:pStyle w:val="ListParagraph"/>
        <w:numPr>
          <w:ilvl w:val="0"/>
          <w:numId w:val="3"/>
        </w:numPr>
        <w:spacing w:before="50" w:after="50"/>
      </w:pPr>
      <w:r>
        <w:rPr>
          <w:rFonts w:ascii="Arial" w:cs="Arial" w:eastAsia="Arial" w:hAnsi="Arial"/>
          <w:color w:val="1A1A2E"/>
          <w:sz w:val="22"/>
          <w:szCs w:val="22"/>
        </w:rPr>
        <w:t xml:space="preserve">All data tables must have proper scope attributes on headers and descriptive captions.</w:t>
      </w:r>
    </w:p>
    <w:p>
      <w:pPr>
        <w:pStyle w:val="ListParagraph"/>
        <w:numPr>
          <w:ilvl w:val="0"/>
          <w:numId w:val="3"/>
        </w:numPr>
        <w:spacing w:before="50" w:after="50"/>
      </w:pPr>
      <w:r>
        <w:rPr>
          <w:rFonts w:ascii="Arial" w:cs="Arial" w:eastAsia="Arial" w:hAnsi="Arial"/>
          <w:color w:val="1A1A2E"/>
          <w:sz w:val="22"/>
          <w:szCs w:val="22"/>
        </w:rPr>
        <w:t xml:space="preserve">Modal dialogs must trap focus and announce their title via aria-labelledby on open.</w:t>
      </w:r>
    </w:p>
    <w:p>
      <w:pPr>
        <w:pStyle w:val="ListParagraph"/>
        <w:numPr>
          <w:ilvl w:val="0"/>
          <w:numId w:val="3"/>
        </w:numPr>
        <w:spacing w:before="50" w:after="50"/>
      </w:pPr>
      <w:r>
        <w:rPr>
          <w:rFonts w:ascii="Arial" w:cs="Arial" w:eastAsia="Arial" w:hAnsi="Arial"/>
          <w:color w:val="1A1A2E"/>
          <w:sz w:val="22"/>
          <w:szCs w:val="22"/>
        </w:rPr>
        <w:t xml:space="preserve">The SequenceAnnotator must expose residue data to screen readers via a structured aria-describedby pattern.</w:t>
      </w:r>
    </w:p>
    <w:p>
      <w:pPr>
        <w:spacing w:before="80" w:after="80"/>
      </w:pPr>
      <w:r>
        <w:t xml:space="preserve"/>
      </w:r>
    </w:p>
    <w:p>
      <w:pPr>
        <w:pStyle w:val="Heading3"/>
        <w:spacing w:before="200" w:after="80"/>
      </w:pPr>
      <w:r>
        <w:rPr>
          <w:rFonts w:ascii="Arial" w:cs="Arial" w:eastAsia="Arial" w:hAnsi="Arial"/>
          <w:b/>
          <w:bCs/>
          <w:color w:val="0070C0"/>
          <w:sz w:val="24"/>
          <w:szCs w:val="24"/>
        </w:rPr>
        <w:t xml:space="preserve">5.8.4  Reduced Motion</w:t>
      </w:r>
    </w:p>
    <w:p>
      <w:pPr>
        <w:pStyle w:val="ListParagraph"/>
        <w:numPr>
          <w:ilvl w:val="0"/>
          <w:numId w:val="3"/>
        </w:numPr>
        <w:spacing w:before="50" w:after="50"/>
      </w:pPr>
      <w:r>
        <w:rPr>
          <w:rFonts w:ascii="Arial" w:cs="Arial" w:eastAsia="Arial" w:hAnsi="Arial"/>
          <w:color w:val="1A1A2E"/>
          <w:sz w:val="22"/>
          <w:szCs w:val="22"/>
        </w:rPr>
        <w:t xml:space="preserve">All animations must respect prefers-reduced-motion media query — replace transitions with instant state changes when enabled.</w:t>
      </w:r>
    </w:p>
    <w:p>
      <w:pPr>
        <w:pStyle w:val="ListParagraph"/>
        <w:numPr>
          <w:ilvl w:val="0"/>
          <w:numId w:val="3"/>
        </w:numPr>
        <w:spacing w:before="50" w:after="50"/>
      </w:pPr>
      <w:r>
        <w:rPr>
          <w:rFonts w:ascii="Arial" w:cs="Arial" w:eastAsia="Arial" w:hAnsi="Arial"/>
          <w:color w:val="1A1A2E"/>
          <w:sz w:val="22"/>
          <w:szCs w:val="22"/>
        </w:rPr>
        <w:t xml:space="preserve">The 3D structure viewer auto-rotation feature must be disabled by default and only enabled on explicit user action.</w:t>
      </w:r>
    </w:p>
    <w:p>
      <w:pPr>
        <w:spacing w:before="80" w:after="80"/>
      </w:pPr>
      <w:r>
        <w:t xml:space="preserve"/>
      </w:r>
    </w:p>
    <w:p>
      <w:pPr>
        <w:pStyle w:val="Heading2"/>
        <w:spacing w:before="280" w:after="120"/>
      </w:pPr>
      <w:r>
        <w:rPr>
          <w:rFonts w:ascii="Arial" w:cs="Arial" w:eastAsia="Arial" w:hAnsi="Arial"/>
          <w:b/>
          <w:bCs/>
          <w:color w:val="2E75B6"/>
          <w:sz w:val="28"/>
          <w:szCs w:val="28"/>
        </w:rPr>
        <w:t xml:space="preserve">5.9  Responsive Design Rules</w:t>
      </w:r>
    </w:p>
    <w:p>
      <w:pPr>
        <w:pStyle w:val="Heading3"/>
        <w:spacing w:before="200" w:after="80"/>
      </w:pPr>
      <w:r>
        <w:rPr>
          <w:rFonts w:ascii="Arial" w:cs="Arial" w:eastAsia="Arial" w:hAnsi="Arial"/>
          <w:b/>
          <w:bCs/>
          <w:color w:val="0070C0"/>
          <w:sz w:val="24"/>
          <w:szCs w:val="24"/>
        </w:rPr>
        <w:t xml:space="preserve">5.9.1  Desktop (1200px+) — Primary Target</w:t>
      </w:r>
    </w:p>
    <w:p>
      <w:pPr>
        <w:pStyle w:val="ListParagraph"/>
        <w:numPr>
          <w:ilvl w:val="0"/>
          <w:numId w:val="3"/>
        </w:numPr>
        <w:spacing w:before="50" w:after="50"/>
      </w:pPr>
      <w:r>
        <w:rPr>
          <w:rFonts w:ascii="Arial" w:cs="Arial" w:eastAsia="Arial" w:hAnsi="Arial"/>
          <w:color w:val="1A1A2E"/>
          <w:sz w:val="22"/>
          <w:szCs w:val="22"/>
        </w:rPr>
        <w:t xml:space="preserve">Full 12-column grid active. All panels visible simultaneously (sidebar + main + context panel).</w:t>
      </w:r>
    </w:p>
    <w:p>
      <w:pPr>
        <w:pStyle w:val="ListParagraph"/>
        <w:numPr>
          <w:ilvl w:val="0"/>
          <w:numId w:val="3"/>
        </w:numPr>
        <w:spacing w:before="50" w:after="50"/>
      </w:pPr>
      <w:r>
        <w:rPr>
          <w:rFonts w:ascii="Arial" w:cs="Arial" w:eastAsia="Arial" w:hAnsi="Arial"/>
          <w:color w:val="1A1A2E"/>
          <w:sz w:val="22"/>
          <w:szCs w:val="22"/>
        </w:rPr>
        <w:t xml:space="preserve">3D viewers render at full resolution with all toolbars visible.</w:t>
      </w:r>
    </w:p>
    <w:p>
      <w:pPr>
        <w:pStyle w:val="ListParagraph"/>
        <w:numPr>
          <w:ilvl w:val="0"/>
          <w:numId w:val="3"/>
        </w:numPr>
        <w:spacing w:before="50" w:after="50"/>
      </w:pPr>
      <w:r>
        <w:rPr>
          <w:rFonts w:ascii="Arial" w:cs="Arial" w:eastAsia="Arial" w:hAnsi="Arial"/>
          <w:color w:val="1A1A2E"/>
          <w:sz w:val="22"/>
          <w:szCs w:val="22"/>
        </w:rPr>
        <w:t xml:space="preserve">DataTable shows all columns. Charts render at full size.</w:t>
      </w:r>
    </w:p>
    <w:p>
      <w:pPr>
        <w:spacing w:before="80" w:after="80"/>
      </w:pPr>
      <w:r>
        <w:t xml:space="preserve"/>
      </w:r>
    </w:p>
    <w:p>
      <w:pPr>
        <w:pStyle w:val="Heading3"/>
        <w:spacing w:before="200" w:after="80"/>
      </w:pPr>
      <w:r>
        <w:rPr>
          <w:rFonts w:ascii="Arial" w:cs="Arial" w:eastAsia="Arial" w:hAnsi="Arial"/>
          <w:b/>
          <w:bCs/>
          <w:color w:val="0070C0"/>
          <w:sz w:val="24"/>
          <w:szCs w:val="24"/>
        </w:rPr>
        <w:t xml:space="preserve">5.9.2  Tablet (768–1199px)</w:t>
      </w:r>
    </w:p>
    <w:p>
      <w:pPr>
        <w:pStyle w:val="ListParagraph"/>
        <w:numPr>
          <w:ilvl w:val="0"/>
          <w:numId w:val="3"/>
        </w:numPr>
        <w:spacing w:before="50" w:after="50"/>
      </w:pPr>
      <w:r>
        <w:rPr>
          <w:rFonts w:ascii="Arial" w:cs="Arial" w:eastAsia="Arial" w:hAnsi="Arial"/>
          <w:color w:val="1A1A2E"/>
          <w:sz w:val="22"/>
          <w:szCs w:val="22"/>
        </w:rPr>
        <w:t xml:space="preserve">Right context panel collapses into a bottom drawer, accessible via a toggle button.</w:t>
      </w:r>
    </w:p>
    <w:p>
      <w:pPr>
        <w:pStyle w:val="ListParagraph"/>
        <w:numPr>
          <w:ilvl w:val="0"/>
          <w:numId w:val="3"/>
        </w:numPr>
        <w:spacing w:before="50" w:after="50"/>
      </w:pPr>
      <w:r>
        <w:rPr>
          <w:rFonts w:ascii="Arial" w:cs="Arial" w:eastAsia="Arial" w:hAnsi="Arial"/>
          <w:color w:val="1A1A2E"/>
          <w:sz w:val="22"/>
          <w:szCs w:val="22"/>
        </w:rPr>
        <w:t xml:space="preserve">Tool tiles grid switches to 2-column layout.</w:t>
      </w:r>
    </w:p>
    <w:p>
      <w:pPr>
        <w:pStyle w:val="ListParagraph"/>
        <w:numPr>
          <w:ilvl w:val="0"/>
          <w:numId w:val="3"/>
        </w:numPr>
        <w:spacing w:before="50" w:after="50"/>
      </w:pPr>
      <w:r>
        <w:rPr>
          <w:rFonts w:ascii="Arial" w:cs="Arial" w:eastAsia="Arial" w:hAnsi="Arial"/>
          <w:color w:val="1A1A2E"/>
          <w:sz w:val="22"/>
          <w:szCs w:val="22"/>
        </w:rPr>
        <w:t xml:space="preserve">SplitPanel components default to stacked (top/bottom) instead of side-by-side.</w:t>
      </w:r>
    </w:p>
    <w:p>
      <w:pPr>
        <w:pStyle w:val="ListParagraph"/>
        <w:numPr>
          <w:ilvl w:val="0"/>
          <w:numId w:val="3"/>
        </w:numPr>
        <w:spacing w:before="50" w:after="50"/>
      </w:pPr>
      <w:r>
        <w:rPr>
          <w:rFonts w:ascii="Arial" w:cs="Arial" w:eastAsia="Arial" w:hAnsi="Arial"/>
          <w:color w:val="1A1A2E"/>
          <w:sz w:val="22"/>
          <w:szCs w:val="22"/>
        </w:rPr>
        <w:t xml:space="preserve">PAE plot in structure viewer moves below the 3D canvas.</w:t>
      </w:r>
    </w:p>
    <w:p>
      <w:pPr>
        <w:spacing w:before="80" w:after="80"/>
      </w:pPr>
      <w:r>
        <w:t xml:space="preserve"/>
      </w:r>
    </w:p>
    <w:p>
      <w:pPr>
        <w:pStyle w:val="Heading3"/>
        <w:spacing w:before="200" w:after="80"/>
      </w:pPr>
      <w:r>
        <w:rPr>
          <w:rFonts w:ascii="Arial" w:cs="Arial" w:eastAsia="Arial" w:hAnsi="Arial"/>
          <w:b/>
          <w:bCs/>
          <w:color w:val="0070C0"/>
          <w:sz w:val="24"/>
          <w:szCs w:val="24"/>
        </w:rPr>
        <w:t xml:space="preserve">5.9.3  Mobile (&lt;768px)</w:t>
      </w:r>
    </w:p>
    <w:p>
      <w:pPr>
        <w:pStyle w:val="ListParagraph"/>
        <w:numPr>
          <w:ilvl w:val="0"/>
          <w:numId w:val="3"/>
        </w:numPr>
        <w:spacing w:before="50" w:after="50"/>
      </w:pPr>
      <w:r>
        <w:rPr>
          <w:rFonts w:ascii="Arial" w:cs="Arial" w:eastAsia="Arial" w:hAnsi="Arial"/>
          <w:color w:val="1A1A2E"/>
          <w:sz w:val="22"/>
          <w:szCs w:val="22"/>
        </w:rPr>
        <w:t xml:space="preserve">Left sidebar collapses to hamburger menu.</w:t>
      </w:r>
    </w:p>
    <w:p>
      <w:pPr>
        <w:pStyle w:val="ListParagraph"/>
        <w:numPr>
          <w:ilvl w:val="0"/>
          <w:numId w:val="3"/>
        </w:numPr>
        <w:spacing w:before="50" w:after="50"/>
      </w:pPr>
      <w:r>
        <w:rPr>
          <w:rFonts w:ascii="Arial" w:cs="Arial" w:eastAsia="Arial" w:hAnsi="Arial"/>
          <w:color w:val="1A1A2E"/>
          <w:sz w:val="22"/>
          <w:szCs w:val="22"/>
        </w:rPr>
        <w:t xml:space="preserve">3D structure viewer renders in simplified mode — controls moved to a bottom action sheet.</w:t>
      </w:r>
    </w:p>
    <w:p>
      <w:pPr>
        <w:pStyle w:val="ListParagraph"/>
        <w:numPr>
          <w:ilvl w:val="0"/>
          <w:numId w:val="3"/>
        </w:numPr>
        <w:spacing w:before="50" w:after="50"/>
      </w:pPr>
      <w:r>
        <w:rPr>
          <w:rFonts w:ascii="Arial" w:cs="Arial" w:eastAsia="Arial" w:hAnsi="Arial"/>
          <w:color w:val="1A1A2E"/>
          <w:sz w:val="22"/>
          <w:szCs w:val="22"/>
        </w:rPr>
        <w:t xml:space="preserve">DataTables use horizontal scroll — no column hiding (all data must remain accessible).</w:t>
      </w:r>
    </w:p>
    <w:p>
      <w:pPr>
        <w:pStyle w:val="ListParagraph"/>
        <w:numPr>
          <w:ilvl w:val="0"/>
          <w:numId w:val="3"/>
        </w:numPr>
        <w:spacing w:before="50" w:after="50"/>
      </w:pPr>
      <w:r>
        <w:rPr>
          <w:rFonts w:ascii="Arial" w:cs="Arial" w:eastAsia="Arial" w:hAnsi="Arial"/>
          <w:color w:val="1A1A2E"/>
          <w:sz w:val="22"/>
          <w:szCs w:val="22"/>
        </w:rPr>
        <w:t xml:space="preserve">CCA Dashboard heatmap replaces full matrix with a simplified top-20 ranked list view.</w:t>
      </w:r>
    </w:p>
    <w:p>
      <w:pPr>
        <w:pStyle w:val="ListParagraph"/>
        <w:numPr>
          <w:ilvl w:val="0"/>
          <w:numId w:val="3"/>
        </w:numPr>
        <w:spacing w:before="50" w:after="50"/>
      </w:pPr>
      <w:r>
        <w:rPr>
          <w:rFonts w:ascii="Arial" w:cs="Arial" w:eastAsia="Arial" w:hAnsi="Arial"/>
          <w:color w:val="1A1A2E"/>
          <w:sz w:val="22"/>
          <w:szCs w:val="22"/>
        </w:rPr>
        <w:t xml:space="preserve">Network graph viewer falls back to a searchable adjacency table on mobile.</w:t>
      </w:r>
    </w:p>
    <w:p>
      <w:pPr>
        <w:spacing w:before="80" w:after="80"/>
      </w:pPr>
      <w:r>
        <w:t xml:space="preserve"/>
      </w:r>
    </w:p>
    <w:p>
      <w:pPr>
        <w:pStyle w:val="Heading2"/>
        <w:spacing w:before="280" w:after="120"/>
      </w:pPr>
      <w:r>
        <w:rPr>
          <w:rFonts w:ascii="Arial" w:cs="Arial" w:eastAsia="Arial" w:hAnsi="Arial"/>
          <w:b/>
          <w:bCs/>
          <w:color w:val="2E75B6"/>
          <w:sz w:val="28"/>
          <w:szCs w:val="28"/>
        </w:rPr>
        <w:t xml:space="preserve">5.10  Design Tokens Reference</w:t>
      </w:r>
    </w:p>
    <w:p>
      <w:pPr>
        <w:spacing w:before="60" w:after="100"/>
      </w:pPr>
      <w:r>
        <w:rPr>
          <w:rFonts w:ascii="Arial" w:cs="Arial" w:eastAsia="Arial" w:hAnsi="Arial"/>
          <w:color w:val="1A1A2E"/>
          <w:sz w:val="22"/>
          <w:szCs w:val="22"/>
        </w:rPr>
        <w:t xml:space="preserve">All design values are stored as CSS custom properties (variables) in a single design token file, enabling consistent theming and future dark mode support.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Token</w:t>
            </w:r>
          </w:p>
        </w:tc>
        <w:tc>
          <w:tcPr>
            <w:tcW w:type="dxa" w:w="28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Value</w:t>
            </w:r>
          </w:p>
        </w:tc>
        <w:tc>
          <w:tcPr>
            <w:tcW w:type="dxa" w:w="37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Category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--color-primary</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#1B4F8A</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Color — Brand</w:t>
            </w:r>
          </w:p>
        </w:tc>
      </w:tr>
      <w:tr>
        <w:tc>
          <w:tcPr>
            <w:tcW w:type="dxa" w:w="28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--color-secondary</w:t>
            </w:r>
          </w:p>
        </w:tc>
        <w:tc>
          <w:tcPr>
            <w:tcW w:type="dxa" w:w="28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#2E75B6</w:t>
            </w:r>
          </w:p>
        </w:tc>
        <w:tc>
          <w:tcPr>
            <w:tcW w:type="dxa" w:w="37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Color — Brand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--color-accent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#0070C0</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Color — Brand</w:t>
            </w:r>
          </w:p>
        </w:tc>
      </w:tr>
      <w:tr>
        <w:tc>
          <w:tcPr>
            <w:tcW w:type="dxa" w:w="28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--color-bg-light</w:t>
            </w:r>
          </w:p>
        </w:tc>
        <w:tc>
          <w:tcPr>
            <w:tcW w:type="dxa" w:w="28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#EBF3FB</w:t>
            </w:r>
          </w:p>
        </w:tc>
        <w:tc>
          <w:tcPr>
            <w:tcW w:type="dxa" w:w="37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Color — Surface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--color-text-body</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#1A1A2E</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Color — Text</w:t>
            </w:r>
          </w:p>
        </w:tc>
      </w:tr>
      <w:tr>
        <w:tc>
          <w:tcPr>
            <w:tcW w:type="dxa" w:w="28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--color-text-meta</w:t>
            </w:r>
          </w:p>
        </w:tc>
        <w:tc>
          <w:tcPr>
            <w:tcW w:type="dxa" w:w="28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#666666</w:t>
            </w:r>
          </w:p>
        </w:tc>
        <w:tc>
          <w:tcPr>
            <w:tcW w:type="dxa" w:w="37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Color — Text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--color-success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#00B050</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Color — Semantic</w:t>
            </w:r>
          </w:p>
        </w:tc>
      </w:tr>
      <w:tr>
        <w:tc>
          <w:tcPr>
            <w:tcW w:type="dxa" w:w="28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--color-warning</w:t>
            </w:r>
          </w:p>
        </w:tc>
        <w:tc>
          <w:tcPr>
            <w:tcW w:type="dxa" w:w="28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#FF9900</w:t>
            </w:r>
          </w:p>
        </w:tc>
        <w:tc>
          <w:tcPr>
            <w:tcW w:type="dxa" w:w="37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Color — Semantic</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--color-danger</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#C00000</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Color — Semantic</w:t>
            </w:r>
          </w:p>
        </w:tc>
      </w:tr>
      <w:tr>
        <w:tc>
          <w:tcPr>
            <w:tcW w:type="dxa" w:w="28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--color-pharma</w:t>
            </w:r>
          </w:p>
        </w:tc>
        <w:tc>
          <w:tcPr>
            <w:tcW w:type="dxa" w:w="28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#7030A0</w:t>
            </w:r>
          </w:p>
        </w:tc>
        <w:tc>
          <w:tcPr>
            <w:tcW w:type="dxa" w:w="37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Color — Domain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--font-primary</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'Inter', sans-serif</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Typography</w:t>
            </w:r>
          </w:p>
        </w:tc>
      </w:tr>
      <w:tr>
        <w:tc>
          <w:tcPr>
            <w:tcW w:type="dxa" w:w="28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--font-mono</w:t>
            </w:r>
          </w:p>
        </w:tc>
        <w:tc>
          <w:tcPr>
            <w:tcW w:type="dxa" w:w="28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'JetBrains Mono', monospace</w:t>
            </w:r>
          </w:p>
        </w:tc>
        <w:tc>
          <w:tcPr>
            <w:tcW w:type="dxa" w:w="37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Typography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--font-size-base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15px</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Typography</w:t>
            </w:r>
          </w:p>
        </w:tc>
      </w:tr>
      <w:tr>
        <w:tc>
          <w:tcPr>
            <w:tcW w:type="dxa" w:w="28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--font-size-sm</w:t>
            </w:r>
          </w:p>
        </w:tc>
        <w:tc>
          <w:tcPr>
            <w:tcW w:type="dxa" w:w="28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13px</w:t>
            </w:r>
          </w:p>
        </w:tc>
        <w:tc>
          <w:tcPr>
            <w:tcW w:type="dxa" w:w="37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Typography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--font-size-lg</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18px</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Typography</w:t>
            </w:r>
          </w:p>
        </w:tc>
      </w:tr>
      <w:tr>
        <w:tc>
          <w:tcPr>
            <w:tcW w:type="dxa" w:w="28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--space-unit</w:t>
            </w:r>
          </w:p>
        </w:tc>
        <w:tc>
          <w:tcPr>
            <w:tcW w:type="dxa" w:w="28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4px</w:t>
            </w:r>
          </w:p>
        </w:tc>
        <w:tc>
          <w:tcPr>
            <w:tcW w:type="dxa" w:w="37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Spacing</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--radius-default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8px</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Shape</w:t>
            </w:r>
          </w:p>
        </w:tc>
      </w:tr>
      <w:tr>
        <w:tc>
          <w:tcPr>
            <w:tcW w:type="dxa" w:w="28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--shadow-default</w:t>
            </w:r>
          </w:p>
        </w:tc>
        <w:tc>
          <w:tcPr>
            <w:tcW w:type="dxa" w:w="28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0 1px 3px rgba(0,0,0,0.08)</w:t>
            </w:r>
          </w:p>
        </w:tc>
        <w:tc>
          <w:tcPr>
            <w:tcW w:type="dxa" w:w="37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Elevation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--transition-fast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150ms ease-out</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Motion</w:t>
            </w:r>
          </w:p>
        </w:tc>
      </w:tr>
      <w:tr>
        <w:tc>
          <w:tcPr>
            <w:tcW w:type="dxa" w:w="28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--transition-base</w:t>
            </w:r>
          </w:p>
        </w:tc>
        <w:tc>
          <w:tcPr>
            <w:tcW w:type="dxa" w:w="28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250ms ease-in-out</w:t>
            </w:r>
          </w:p>
        </w:tc>
        <w:tc>
          <w:tcPr>
            <w:tcW w:type="dxa" w:w="37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Motion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--max-content-width</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1440px</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Layout</w:t>
            </w:r>
          </w:p>
        </w:tc>
      </w:tr>
      <w:tr>
        <w:tc>
          <w:tcPr>
            <w:tcW w:type="dxa" w:w="28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--sidebar-width</w:t>
            </w:r>
          </w:p>
        </w:tc>
        <w:tc>
          <w:tcPr>
            <w:tcW w:type="dxa" w:w="28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260px</w:t>
            </w:r>
          </w:p>
        </w:tc>
        <w:tc>
          <w:tcPr>
            <w:tcW w:type="dxa" w:w="37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Layout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--context-panel-width</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300px</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Layout</w:t>
            </w:r>
          </w:p>
        </w:tc>
      </w:tr>
    </w:tbl>
    <w:p>
      <w:pPr>
        <w:spacing w:before="80" w:after="80"/>
      </w:pPr>
      <w:r>
        <w:t xml:space="preserve"/>
      </w:r>
    </w:p>
    <w:p>
      <w:pPr>
        <w:pStyle w:val="Heading2"/>
        <w:spacing w:before="280" w:after="120"/>
      </w:pPr>
      <w:r>
        <w:rPr>
          <w:rFonts w:ascii="Arial" w:cs="Arial" w:eastAsia="Arial" w:hAnsi="Arial"/>
          <w:b/>
          <w:bCs/>
          <w:color w:val="2E75B6"/>
          <w:sz w:val="28"/>
          <w:szCs w:val="28"/>
        </w:rPr>
        <w:t xml:space="preserve">5.11  Design Handoff Checklist</w:t>
      </w:r>
    </w:p>
    <w:p>
      <w:pPr>
        <w:spacing w:before="60" w:after="100"/>
      </w:pPr>
      <w:r>
        <w:rPr>
          <w:rFonts w:ascii="Arial" w:cs="Arial" w:eastAsia="Arial" w:hAnsi="Arial"/>
          <w:color w:val="1A1A2E"/>
          <w:sz w:val="22"/>
          <w:szCs w:val="22"/>
        </w:rPr>
        <w:t xml:space="preserve">The following checklist must be completed before any design is handed off to the development team.</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000"/>
        <w:gridCol w:w="3160"/>
      </w:tblGrid>
      <w:tr>
        <w:tc>
          <w:tcPr>
            <w:tcW w:type="dxa" w:w="42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Item</w:t>
            </w:r>
          </w:p>
        </w:tc>
        <w:tc>
          <w:tcPr>
            <w:tcW w:type="dxa" w:w="20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Owner</w:t>
            </w:r>
          </w:p>
        </w:tc>
        <w:tc>
          <w:tcPr>
            <w:tcW w:type="dxa" w:w="31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All 8 major views have Figma frames at 1440px desktop breakpoint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UI Designer</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Required before Phase 2 dev start</w:t>
            </w:r>
          </w:p>
        </w:tc>
      </w:tr>
      <w:tr>
        <w:tc>
          <w:tcPr>
            <w:tcW w:type="dxa" w:w="4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All 8 views have mobile (375px) frames</w:t>
            </w:r>
          </w:p>
        </w:tc>
        <w:tc>
          <w:tcPr>
            <w:tcW w:type="dxa" w:w="20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UI Designer</w:t>
            </w:r>
          </w:p>
        </w:tc>
        <w:tc>
          <w:tcPr>
            <w:tcW w:type="dxa" w:w="31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Required before Phase 2 dev start</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Color styles defined in Figma matching design token file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UI Designer</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Required before Phase 2 dev start</w:t>
            </w:r>
          </w:p>
        </w:tc>
      </w:tr>
      <w:tr>
        <w:tc>
          <w:tcPr>
            <w:tcW w:type="dxa" w:w="4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Typography styles defined in Figma matching spec</w:t>
            </w:r>
          </w:p>
        </w:tc>
        <w:tc>
          <w:tcPr>
            <w:tcW w:type="dxa" w:w="20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UI Designer</w:t>
            </w:r>
          </w:p>
        </w:tc>
        <w:tc>
          <w:tcPr>
            <w:tcW w:type="dxa" w:w="31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Required before Phase 2 dev start</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All components have all states designed (default/hover/active/loading/error/empty)</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UI Designer</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Required per component</w:t>
            </w:r>
          </w:p>
        </w:tc>
      </w:tr>
      <w:tr>
        <w:tc>
          <w:tcPr>
            <w:tcW w:type="dxa" w:w="4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All icons are exported as SVG from Figma and added to the component library</w:t>
            </w:r>
          </w:p>
        </w:tc>
        <w:tc>
          <w:tcPr>
            <w:tcW w:type="dxa" w:w="20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UI Designer</w:t>
            </w:r>
          </w:p>
        </w:tc>
        <w:tc>
          <w:tcPr>
            <w:tcW w:type="dxa" w:w="31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Required per icon</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Prototype flows built in Figma for the 3 primary user flows (section 5.6)</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UI Designer</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Required for stakeholder review</w:t>
            </w:r>
          </w:p>
        </w:tc>
      </w:tr>
      <w:tr>
        <w:tc>
          <w:tcPr>
            <w:tcW w:type="dxa" w:w="4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Contrast ratios verified for all text/background combinations (A11y section 5.8.1)</w:t>
            </w:r>
          </w:p>
        </w:tc>
        <w:tc>
          <w:tcPr>
            <w:tcW w:type="dxa" w:w="20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UI Designer + QA</w:t>
            </w:r>
          </w:p>
        </w:tc>
        <w:tc>
          <w:tcPr>
            <w:tcW w:type="dxa" w:w="31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Required before development</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Component library stories added in Storybook for every component in section 5.3</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Frontend Engineer</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Required before integration</w:t>
            </w:r>
          </w:p>
        </w:tc>
      </w:tr>
      <w:tr>
        <w:tc>
          <w:tcPr>
            <w:tcW w:type="dxa" w:w="4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Design tokens exported to design-tokens.css and committed to the repository</w:t>
            </w:r>
          </w:p>
        </w:tc>
        <w:tc>
          <w:tcPr>
            <w:tcW w:type="dxa" w:w="20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Frontend Engineer</w:t>
            </w:r>
          </w:p>
        </w:tc>
        <w:tc>
          <w:tcPr>
            <w:tcW w:type="dxa" w:w="31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Required before any CSS is written</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3D viewer color scheme (pLDDT) verified to match AlphaFold DB exactly</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Frontend Engineer</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Required for Phase 2 completion</w:t>
            </w:r>
          </w:p>
        </w:tc>
      </w:tr>
    </w:tbl>
    <w:p>
      <w:pPr>
        <w:pBdr>
          <w:bottom w:val="single" w:color="D0E4F5" w:sz="3" w:space="1"/>
        </w:pBdr>
        <w:spacing w:before="180" w:after="18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1B4F8A" w:sz="8"/>
              <w:bottom w:val="single" w:color="2E75B6" w:sz="1"/>
              <w:right w:val="single" w:color="2E75B6" w:sz="1"/>
            </w:tcBorders>
            <w:shd w:fill="EBF3FB" w:val="clear"/>
            <w:tcMar>
              <w:top w:type="dxa" w:w="160"/>
              <w:left w:type="dxa" w:w="220"/>
              <w:bottom w:type="dxa" w:w="160"/>
              <w:right w:type="dxa" w:w="220"/>
            </w:tcMar>
          </w:tcPr>
          <w:p>
            <w:pPr>
              <w:spacing w:before="40" w:after="60"/>
            </w:pPr>
            <w:r>
              <w:rPr>
                <w:rFonts w:ascii="Arial" w:cs="Arial" w:eastAsia="Arial" w:hAnsi="Arial"/>
                <w:b/>
                <w:bCs/>
                <w:color w:val="1B4F8A"/>
                <w:sz w:val="22"/>
                <w:szCs w:val="22"/>
              </w:rPr>
              <w:t xml:space="preserve">Chapter 5 End</w:t>
            </w:r>
          </w:p>
          <w:p>
            <w:pPr>
              <w:spacing w:before="40" w:after="40"/>
            </w:pPr>
            <w:r>
              <w:rPr>
                <w:rFonts w:ascii="Arial" w:cs="Arial" w:eastAsia="Arial" w:hAnsi="Arial"/>
                <w:color w:val="1A1A2E"/>
                <w:sz w:val="22"/>
                <w:szCs w:val="22"/>
              </w:rPr>
              <w:t xml:space="preserve">This UI/UX Design chapter constitutes the complete design specification for all ProtMind views, components, and interaction patterns. All wireframe specifications, design tokens, component properties, and accessibility requirements documented here are the authoritative source of truth for frontend development across all phases.</w:t>
            </w:r>
          </w:p>
        </w:tc>
      </w:tr>
    </w:tbl>
    <w:p>
      <w:r>
        <w:rPr>
          <w:b/>
        </w:rPr>
        <w:t>User Updates &amp; Additions (Integrated from Request)</w:t>
      </w:r>
    </w:p>
    <w:p>
      <w:r>
        <w:t>1. Data Preprocessing &amp; Search: Implement data preprocessing using BLAST. Integrate a RAG (Retrieval-Augmented Generation) system for BLAST search directly within the platform, eliminating the need to open the external BLAST website.</w:t>
      </w:r>
    </w:p>
    <w:p>
      <w:r>
        <w:t>2. Core Model &amp; Storage: Utilize the ESM2 model for protein representation and ensure the model weights/checkpoints are saved in Azure Blob Storage.</w:t>
      </w:r>
    </w:p>
    <w:p>
      <w:r>
        <w:t>3. Visualizations: Integrate UCSF Chimera and PyMOL directly into the software for visual rendering, instead of just replacing them.</w:t>
      </w:r>
    </w:p>
    <w:p>
      <w:r>
        <w:t>4. LLM Workflow &amp; MCP: The LLM input will support UniProt ID, gene name, direct 3D structure uploads, or protein sequences. The LLM will use a tool workflow (Model Context Protocol - MCP) and function calling to decide which model to use, whether to only retrieve data, predict function, use PPI (Protein-Protein Interaction) models, or run cross-species models.</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666666"/>
        <w:sz w:val="16"/>
        <w:szCs w:val="16"/>
      </w:rPr>
      <w:t xml:space="preserve">Confidential — ProtMind SRS</w:t>
    </w:r>
    <w:r>
      <w:rPr>
        <w:rFonts w:ascii="Arial" w:cs="Arial" w:eastAsia="Arial" w:hAnsi="Arial"/>
        <w:color w:val="666666"/>
        <w:sz w:val="16"/>
        <w:szCs w:val="16"/>
      </w:rPr>
      <w:t xml:space="preserve">	Page </w:t>
    </w:r>
    <w:r>
      <w:rPr>
        <w:rFonts w:ascii="Arial" w:cs="Arial" w:eastAsia="Arial" w:hAnsi="Arial"/>
        <w:color w:val="666666"/>
        <w:sz w:val="16"/>
        <w:szCs w:val="16"/>
      </w:rPr>
      <w:t xml:space="preserve">Page </w:t>
      <type>current</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pPr>
    <w:r>
      <w:rPr>
        <w:rFonts w:ascii="Arial" w:cs="Arial" w:eastAsia="Arial" w:hAnsi="Arial"/>
        <w:b/>
        <w:bCs/>
        <w:color w:val="1B4F8A"/>
        <w:sz w:val="18"/>
        <w:szCs w:val="18"/>
      </w:rPr>
      <w:t xml:space="preserve">ProtMind</w:t>
    </w:r>
    <w:r>
      <w:rPr>
        <w:rFonts w:ascii="Arial" w:cs="Arial" w:eastAsia="Arial" w:hAnsi="Arial"/>
        <w:color w:val="666666"/>
        <w:sz w:val="18"/>
        <w:szCs w:val="18"/>
      </w:rPr>
      <w:t xml:space="preserve">  ·  Software Requirements Specification</w:t>
    </w:r>
    <w:r>
      <w:rPr>
        <w:rFonts w:ascii="Arial" w:cs="Arial" w:eastAsia="Arial" w:hAnsi="Arial"/>
        <w:color w:val="666666"/>
        <w:sz w:val="16"/>
        <w:szCs w:val="16"/>
      </w:rPr>
      <w:t xml:space="preserve">	Version 1.0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4F8A"/>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0070C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2026-03-06T13:00:32.584Z</dcterms:created>
  <dcterms:modified xsi:type="dcterms:W3CDTF">2026-03-06T13:00:32.591Z</dcterms:modified>
</cp:coreProperties>
</file>

<file path=docProps/custom.xml><?xml version="1.0" encoding="utf-8"?>
<Properties xmlns="http://schemas.openxmlformats.org/officeDocument/2006/custom-properties" xmlns:vt="http://schemas.openxmlformats.org/officeDocument/2006/docPropsVTypes"/>
</file>