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9D15" w14:textId="77777777" w:rsidR="000445DF" w:rsidRDefault="000445DF" w:rsidP="000445DF">
      <w:r w:rsidRPr="006F2629">
        <w:t>The following references were used to construct the PLDK-TR dataset, including disease descriptions, symptom information, and treatment recommendations.</w:t>
      </w:r>
    </w:p>
    <w:p w14:paraId="4BD9DDF3" w14:textId="77777777" w:rsidR="000445DF" w:rsidRDefault="000445DF" w:rsidP="004D611D">
      <w:pPr>
        <w:widowControl w:val="0"/>
        <w:autoSpaceDE w:val="0"/>
        <w:autoSpaceDN w:val="0"/>
        <w:adjustRightInd w:val="0"/>
        <w:spacing w:line="240" w:lineRule="auto"/>
        <w:ind w:left="640" w:hanging="640"/>
        <w:rPr>
          <w:rtl/>
          <w:lang w:bidi="ar-IQ"/>
        </w:rPr>
      </w:pPr>
    </w:p>
    <w:p w14:paraId="4626B7D9" w14:textId="1C1E2764" w:rsidR="004D611D" w:rsidRPr="004D611D" w:rsidRDefault="00796442" w:rsidP="004D611D">
      <w:pPr>
        <w:widowControl w:val="0"/>
        <w:autoSpaceDE w:val="0"/>
        <w:autoSpaceDN w:val="0"/>
        <w:adjustRightInd w:val="0"/>
        <w:spacing w:line="240" w:lineRule="auto"/>
        <w:ind w:left="640" w:hanging="640"/>
        <w:rPr>
          <w:rFonts w:ascii="Aptos" w:hAnsi="Aptos" w:cs="Times New Roman"/>
          <w:noProof/>
          <w:kern w:val="0"/>
        </w:rPr>
      </w:pPr>
      <w:r>
        <w:rPr>
          <w:lang w:bidi="ar-IQ"/>
        </w:rPr>
        <w:fldChar w:fldCharType="begin" w:fldLock="1"/>
      </w:r>
      <w:r>
        <w:rPr>
          <w:lang w:bidi="ar-IQ"/>
        </w:rPr>
        <w:instrText xml:space="preserve">ADDIN Mendeley Bibliography CSL_BIBLIOGRAPHY </w:instrText>
      </w:r>
      <w:r>
        <w:rPr>
          <w:lang w:bidi="ar-IQ"/>
        </w:rPr>
        <w:fldChar w:fldCharType="separate"/>
      </w:r>
      <w:r w:rsidR="004D611D" w:rsidRPr="004D611D">
        <w:rPr>
          <w:rFonts w:ascii="Aptos" w:hAnsi="Aptos" w:cs="Times New Roman"/>
          <w:noProof/>
          <w:kern w:val="0"/>
        </w:rPr>
        <w:t>[1]</w:t>
      </w:r>
      <w:r w:rsidR="004D611D" w:rsidRPr="004D611D">
        <w:rPr>
          <w:rFonts w:ascii="Aptos" w:hAnsi="Aptos" w:cs="Times New Roman"/>
          <w:noProof/>
          <w:kern w:val="0"/>
        </w:rPr>
        <w:tab/>
        <w:t xml:space="preserve">D. E. P. Telenko and S. Shim, “Applied Research in Field Crop Pathology for Indiana, 2022,” </w:t>
      </w:r>
      <w:r w:rsidR="004D611D" w:rsidRPr="004D611D">
        <w:rPr>
          <w:rFonts w:ascii="Aptos" w:hAnsi="Aptos" w:cs="Times New Roman"/>
          <w:i/>
          <w:iCs/>
          <w:noProof/>
          <w:kern w:val="0"/>
        </w:rPr>
        <w:t>Appl. Res. F. Crop Pathol. Indiana, 2022</w:t>
      </w:r>
      <w:r w:rsidR="004D611D" w:rsidRPr="004D611D">
        <w:rPr>
          <w:rFonts w:ascii="Aptos" w:hAnsi="Aptos" w:cs="Times New Roman"/>
          <w:noProof/>
          <w:kern w:val="0"/>
        </w:rPr>
        <w:t>, pp. 1–110, 2025, doi: 10.2307/jj.35370893.</w:t>
      </w:r>
    </w:p>
    <w:p w14:paraId="5667E8E1"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w:t>
      </w:r>
      <w:r w:rsidRPr="004D611D">
        <w:rPr>
          <w:rFonts w:ascii="Aptos" w:hAnsi="Aptos" w:cs="Times New Roman"/>
          <w:noProof/>
          <w:kern w:val="0"/>
        </w:rPr>
        <w:tab/>
        <w:t xml:space="preserve">S. Kumar, C. S. Azad, and S. Sen, “Ecofriendly Management of Turcicum Leaf Blight of Maize,” </w:t>
      </w:r>
      <w:r w:rsidRPr="004D611D">
        <w:rPr>
          <w:rFonts w:ascii="Aptos" w:hAnsi="Aptos" w:cs="Times New Roman"/>
          <w:i/>
          <w:iCs/>
          <w:noProof/>
          <w:kern w:val="0"/>
        </w:rPr>
        <w:t>Environ. Ecol.</w:t>
      </w:r>
      <w:r w:rsidRPr="004D611D">
        <w:rPr>
          <w:rFonts w:ascii="Aptos" w:hAnsi="Aptos" w:cs="Times New Roman"/>
          <w:noProof/>
          <w:kern w:val="0"/>
        </w:rPr>
        <w:t>, vol. 42, no. 3A, pp. 1263–1267, 2024, doi: 10.60151/envec/rrmp9342.</w:t>
      </w:r>
    </w:p>
    <w:p w14:paraId="6B5DF2E7"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w:t>
      </w:r>
      <w:r w:rsidRPr="004D611D">
        <w:rPr>
          <w:rFonts w:ascii="Aptos" w:hAnsi="Aptos" w:cs="Times New Roman"/>
          <w:noProof/>
          <w:kern w:val="0"/>
        </w:rPr>
        <w:tab/>
        <w:t>O. Çaltili and Ş. E. Arici, “BS Publishers THE DETERMINATION OF THE EFFICACY OF SOME MICROBIAL PREPARATIONS AGAINST APPLE SCAB DISEASE ( VENTURIA INAEQUALIS,” vol. 1, no. 1, pp. 6–10, 2018.</w:t>
      </w:r>
    </w:p>
    <w:p w14:paraId="0E3C68BB"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w:t>
      </w:r>
      <w:r w:rsidRPr="004D611D">
        <w:rPr>
          <w:rFonts w:ascii="Aptos" w:hAnsi="Aptos" w:cs="Times New Roman"/>
          <w:noProof/>
          <w:kern w:val="0"/>
        </w:rPr>
        <w:tab/>
        <w:t xml:space="preserve">M. Trapman, “Practical experience with the use of Baking Powder (potassium bicarbonate)for the control of Apple Scab (Venturia ineaqualis),” </w:t>
      </w:r>
      <w:r w:rsidRPr="004D611D">
        <w:rPr>
          <w:rFonts w:ascii="Aptos" w:hAnsi="Aptos" w:cs="Times New Roman"/>
          <w:i/>
          <w:iCs/>
          <w:noProof/>
          <w:kern w:val="0"/>
        </w:rPr>
        <w:t>13th Int. Conf. Cultiv. Tech. Phytopathol. Probl. Org. fruit-growing</w:t>
      </w:r>
      <w:r w:rsidRPr="004D611D">
        <w:rPr>
          <w:rFonts w:ascii="Aptos" w:hAnsi="Aptos" w:cs="Times New Roman"/>
          <w:noProof/>
          <w:kern w:val="0"/>
        </w:rPr>
        <w:t>, pp. 68–75, 2008.</w:t>
      </w:r>
    </w:p>
    <w:p w14:paraId="3E8A751F"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w:t>
      </w:r>
      <w:r w:rsidRPr="004D611D">
        <w:rPr>
          <w:rFonts w:ascii="Aptos" w:hAnsi="Aptos" w:cs="Times New Roman"/>
          <w:noProof/>
          <w:kern w:val="0"/>
        </w:rPr>
        <w:tab/>
        <w:t xml:space="preserve">Y. Li </w:t>
      </w:r>
      <w:r w:rsidRPr="004D611D">
        <w:rPr>
          <w:rFonts w:ascii="Aptos" w:hAnsi="Aptos" w:cs="Times New Roman"/>
          <w:i/>
          <w:iCs/>
          <w:noProof/>
          <w:kern w:val="0"/>
        </w:rPr>
        <w:t>et al.</w:t>
      </w:r>
      <w:r w:rsidRPr="004D611D">
        <w:rPr>
          <w:rFonts w:ascii="Aptos" w:hAnsi="Aptos" w:cs="Times New Roman"/>
          <w:noProof/>
          <w:kern w:val="0"/>
        </w:rPr>
        <w:t xml:space="preserve">, “Biological control of apple ring rot on fruit by Bacillus amyloliquefaciens 9001,” </w:t>
      </w:r>
      <w:r w:rsidRPr="004D611D">
        <w:rPr>
          <w:rFonts w:ascii="Aptos" w:hAnsi="Aptos" w:cs="Times New Roman"/>
          <w:i/>
          <w:iCs/>
          <w:noProof/>
          <w:kern w:val="0"/>
        </w:rPr>
        <w:t>Plant Pathol. J.</w:t>
      </w:r>
      <w:r w:rsidRPr="004D611D">
        <w:rPr>
          <w:rFonts w:ascii="Aptos" w:hAnsi="Aptos" w:cs="Times New Roman"/>
          <w:noProof/>
          <w:kern w:val="0"/>
        </w:rPr>
        <w:t>, vol. 29, no. 2, pp. 168–173, 2013, doi: 10.5423/PPJ.SI.08.2012.0125.</w:t>
      </w:r>
    </w:p>
    <w:p w14:paraId="60BC0006"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[6]</w:t>
      </w:r>
      <w:r w:rsidRPr="004D611D">
        <w:rPr>
          <w:rFonts w:ascii="Aptos" w:hAnsi="Aptos" w:cs="Times New Roman"/>
          <w:noProof/>
          <w:kern w:val="0"/>
        </w:rPr>
        <w:tab/>
        <w:t xml:space="preserve">S. Moparthi and M. Bradshaw, “Fungicide efficacy trials for the control of powdery mildew (Podosphaera cerasi) on sweet cherry trees (Prunus avium),” </w:t>
      </w:r>
      <w:r w:rsidRPr="004D611D">
        <w:rPr>
          <w:rFonts w:ascii="Aptos" w:hAnsi="Aptos" w:cs="Times New Roman"/>
          <w:i/>
          <w:iCs/>
          <w:noProof/>
          <w:kern w:val="0"/>
        </w:rPr>
        <w:t>Biocontrol Sci. Technol.</w:t>
      </w:r>
      <w:r w:rsidRPr="004D611D">
        <w:rPr>
          <w:rFonts w:ascii="Aptos" w:hAnsi="Aptos" w:cs="Times New Roman"/>
          <w:noProof/>
          <w:kern w:val="0"/>
        </w:rPr>
        <w:t>, vol. 30, no. 7, pp. 659–670, 2020, doi: 10.1080/09583157.2020.1755616.</w:t>
      </w:r>
    </w:p>
    <w:p w14:paraId="2759D740"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[7]</w:t>
      </w:r>
      <w:r w:rsidRPr="004D611D">
        <w:rPr>
          <w:rFonts w:ascii="Aptos" w:hAnsi="Aptos" w:cs="Times New Roman"/>
          <w:noProof/>
          <w:kern w:val="0"/>
        </w:rPr>
        <w:tab/>
        <w:t xml:space="preserve">G. G. Grove, R. J. Boal, and L. H. Bennett, “Managing Powdery Mildew of Cherry in Washington Orchards and Nurseries with Spray Oils,” </w:t>
      </w:r>
      <w:r w:rsidRPr="004D611D">
        <w:rPr>
          <w:rFonts w:ascii="Aptos" w:hAnsi="Aptos" w:cs="Times New Roman"/>
          <w:i/>
          <w:iCs/>
          <w:noProof/>
          <w:kern w:val="0"/>
        </w:rPr>
        <w:t>Plant Heal. Prog.</w:t>
      </w:r>
      <w:r w:rsidRPr="004D611D">
        <w:rPr>
          <w:rFonts w:ascii="Aptos" w:hAnsi="Aptos" w:cs="Times New Roman"/>
          <w:noProof/>
          <w:kern w:val="0"/>
        </w:rPr>
        <w:t>, vol. 1, no. 1, 2000, doi: 10.1094/php-2000-0728-01-rs.</w:t>
      </w:r>
    </w:p>
    <w:p w14:paraId="3CA36966"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[8]</w:t>
      </w:r>
      <w:r w:rsidRPr="004D611D">
        <w:rPr>
          <w:rFonts w:ascii="Aptos" w:hAnsi="Aptos" w:cs="Times New Roman"/>
          <w:noProof/>
          <w:kern w:val="0"/>
        </w:rPr>
        <w:tab/>
        <w:t xml:space="preserve">U. Dey </w:t>
      </w:r>
      <w:r w:rsidRPr="004D611D">
        <w:rPr>
          <w:rFonts w:ascii="Aptos" w:hAnsi="Aptos" w:cs="Times New Roman"/>
          <w:i/>
          <w:iCs/>
          <w:noProof/>
          <w:kern w:val="0"/>
        </w:rPr>
        <w:t>et al.</w:t>
      </w:r>
      <w:r w:rsidRPr="004D611D">
        <w:rPr>
          <w:rFonts w:ascii="Aptos" w:hAnsi="Aptos" w:cs="Times New Roman"/>
          <w:noProof/>
          <w:kern w:val="0"/>
        </w:rPr>
        <w:t xml:space="preserve">, “Effect of fungicides, botanicals, bioagents and Indigenous Technology Knowledge (ITKs) on germination of urediniospores of Puccinia sorghi in vitro,” </w:t>
      </w:r>
      <w:r w:rsidRPr="004D611D">
        <w:rPr>
          <w:rFonts w:ascii="Aptos" w:hAnsi="Aptos" w:cs="Times New Roman"/>
          <w:i/>
          <w:iCs/>
          <w:noProof/>
          <w:kern w:val="0"/>
        </w:rPr>
        <w:t>African J. Agric. Res.</w:t>
      </w:r>
      <w:r w:rsidRPr="004D611D">
        <w:rPr>
          <w:rFonts w:ascii="Aptos" w:hAnsi="Aptos" w:cs="Times New Roman"/>
          <w:noProof/>
          <w:kern w:val="0"/>
        </w:rPr>
        <w:t>, vol. 8, no. 39, pp. 4960–4971, 2013, doi: 10.5897/AJAR2013.7770.</w:t>
      </w:r>
    </w:p>
    <w:p w14:paraId="640F3BE7"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[9]</w:t>
      </w:r>
      <w:r w:rsidRPr="004D611D">
        <w:rPr>
          <w:rFonts w:ascii="Aptos" w:hAnsi="Aptos" w:cs="Times New Roman"/>
          <w:noProof/>
          <w:kern w:val="0"/>
        </w:rPr>
        <w:tab/>
        <w:t xml:space="preserve">A. Fessia, M. Sartori, J. Orlando, G. Barros, and A. Nesci, “Draft genome sequences of two biocontrol agents isolated from the maize phyllosphere: Bacillus subtilis strain EM-A7 and Bacillus velezensis strain EM-A8,” </w:t>
      </w:r>
      <w:r w:rsidRPr="004D611D">
        <w:rPr>
          <w:rFonts w:ascii="Aptos" w:hAnsi="Aptos" w:cs="Times New Roman"/>
          <w:i/>
          <w:iCs/>
          <w:noProof/>
          <w:kern w:val="0"/>
        </w:rPr>
        <w:t>Heliyon</w:t>
      </w:r>
      <w:r w:rsidRPr="004D611D">
        <w:rPr>
          <w:rFonts w:ascii="Aptos" w:hAnsi="Aptos" w:cs="Times New Roman"/>
          <w:noProof/>
          <w:kern w:val="0"/>
        </w:rPr>
        <w:t>, vol. 10, no. 12, 2024, doi: 10.1016/j.heliyon.2024.e32607.</w:t>
      </w:r>
    </w:p>
    <w:p w14:paraId="377A028E"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[10]</w:t>
      </w:r>
      <w:r w:rsidRPr="004D611D">
        <w:rPr>
          <w:rFonts w:ascii="Aptos" w:hAnsi="Aptos" w:cs="Times New Roman"/>
          <w:noProof/>
          <w:kern w:val="0"/>
        </w:rPr>
        <w:tab/>
        <w:t xml:space="preserve">Y. Ma, Y. Li, S. Yang, Y. Li, and Z. Zhu, “Biocontrol Potential of Trichoderma asperellum Strain 576 against Exserohilum turcicum in Zea mays,” </w:t>
      </w:r>
      <w:r w:rsidRPr="004D611D">
        <w:rPr>
          <w:rFonts w:ascii="Aptos" w:hAnsi="Aptos" w:cs="Times New Roman"/>
          <w:i/>
          <w:iCs/>
          <w:noProof/>
          <w:kern w:val="0"/>
        </w:rPr>
        <w:t>J. Fungi</w:t>
      </w:r>
      <w:r w:rsidRPr="004D611D">
        <w:rPr>
          <w:rFonts w:ascii="Aptos" w:hAnsi="Aptos" w:cs="Times New Roman"/>
          <w:noProof/>
          <w:kern w:val="0"/>
        </w:rPr>
        <w:t>, vol. 9, no. 9, 2023, doi: 10.3390/jof9090936.</w:t>
      </w:r>
    </w:p>
    <w:p w14:paraId="5EC0E22B"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[11]</w:t>
      </w:r>
      <w:r w:rsidRPr="004D611D">
        <w:rPr>
          <w:rFonts w:ascii="Aptos" w:hAnsi="Aptos" w:cs="Times New Roman"/>
          <w:noProof/>
          <w:kern w:val="0"/>
        </w:rPr>
        <w:tab/>
        <w:t xml:space="preserve">R. Raveau </w:t>
      </w:r>
      <w:r w:rsidRPr="004D611D">
        <w:rPr>
          <w:rFonts w:ascii="Aptos" w:hAnsi="Aptos" w:cs="Times New Roman"/>
          <w:i/>
          <w:iCs/>
          <w:noProof/>
          <w:kern w:val="0"/>
        </w:rPr>
        <w:t>et al.</w:t>
      </w:r>
      <w:r w:rsidRPr="004D611D">
        <w:rPr>
          <w:rFonts w:ascii="Aptos" w:hAnsi="Aptos" w:cs="Times New Roman"/>
          <w:noProof/>
          <w:kern w:val="0"/>
        </w:rPr>
        <w:t xml:space="preserve">, “Broad-Spectrum Efficacy and Modes of Action of Two Bacillus Strains against Grapevine Black Rot and Downy Mildew,” </w:t>
      </w:r>
      <w:r w:rsidRPr="004D611D">
        <w:rPr>
          <w:rFonts w:ascii="Aptos" w:hAnsi="Aptos" w:cs="Times New Roman"/>
          <w:i/>
          <w:iCs/>
          <w:noProof/>
          <w:kern w:val="0"/>
        </w:rPr>
        <w:t>J. Fungi</w:t>
      </w:r>
      <w:r w:rsidRPr="004D611D">
        <w:rPr>
          <w:rFonts w:ascii="Aptos" w:hAnsi="Aptos" w:cs="Times New Roman"/>
          <w:noProof/>
          <w:kern w:val="0"/>
        </w:rPr>
        <w:t xml:space="preserve">, vol. 10, no. 7, </w:t>
      </w:r>
      <w:r w:rsidRPr="004D611D">
        <w:rPr>
          <w:rFonts w:ascii="Aptos" w:hAnsi="Aptos" w:cs="Times New Roman"/>
          <w:noProof/>
          <w:kern w:val="0"/>
        </w:rPr>
        <w:lastRenderedPageBreak/>
        <w:t>2024, doi: 10.3390/jof10070471.</w:t>
      </w:r>
    </w:p>
    <w:p w14:paraId="28B16AA2"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[12]</w:t>
      </w:r>
      <w:r w:rsidRPr="004D611D">
        <w:rPr>
          <w:rFonts w:ascii="Aptos" w:hAnsi="Aptos" w:cs="Times New Roman"/>
          <w:noProof/>
          <w:kern w:val="0"/>
        </w:rPr>
        <w:tab/>
        <w:t xml:space="preserve">F. Mannerucci, G. D’Ambrosio, N. Regina, D. Schiavone, and G. L. Bruno, “New Potential Biological Limiters of the Main Esca-Associated Fungi in Grapevine,” </w:t>
      </w:r>
      <w:r w:rsidRPr="004D611D">
        <w:rPr>
          <w:rFonts w:ascii="Aptos" w:hAnsi="Aptos" w:cs="Times New Roman"/>
          <w:i/>
          <w:iCs/>
          <w:noProof/>
          <w:kern w:val="0"/>
        </w:rPr>
        <w:t>Microorganisms</w:t>
      </w:r>
      <w:r w:rsidRPr="004D611D">
        <w:rPr>
          <w:rFonts w:ascii="Aptos" w:hAnsi="Aptos" w:cs="Times New Roman"/>
          <w:noProof/>
          <w:kern w:val="0"/>
        </w:rPr>
        <w:t>, vol. 11, no. 8, 2023, doi: 10.3390/microorganisms11082099.</w:t>
      </w:r>
    </w:p>
    <w:p w14:paraId="3954889E"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[13]</w:t>
      </w:r>
      <w:r w:rsidRPr="004D611D">
        <w:rPr>
          <w:rFonts w:ascii="Aptos" w:hAnsi="Aptos" w:cs="Times New Roman"/>
          <w:noProof/>
          <w:kern w:val="0"/>
        </w:rPr>
        <w:tab/>
        <w:t xml:space="preserve">A. J. Maia </w:t>
      </w:r>
      <w:r w:rsidRPr="004D611D">
        <w:rPr>
          <w:rFonts w:ascii="Aptos" w:hAnsi="Aptos" w:cs="Times New Roman"/>
          <w:i/>
          <w:iCs/>
          <w:noProof/>
          <w:kern w:val="0"/>
        </w:rPr>
        <w:t>et al.</w:t>
      </w:r>
      <w:r w:rsidRPr="004D611D">
        <w:rPr>
          <w:rFonts w:ascii="Aptos" w:hAnsi="Aptos" w:cs="Times New Roman"/>
          <w:noProof/>
          <w:kern w:val="0"/>
        </w:rPr>
        <w:t xml:space="preserve">, “The control of isariopsis leaf spot and downy mildew in grapevine cv. Isabel with the essential oil of lemon grass and the activity of defensive enzymes in response to the essential oil,” </w:t>
      </w:r>
      <w:r w:rsidRPr="004D611D">
        <w:rPr>
          <w:rFonts w:ascii="Aptos" w:hAnsi="Aptos" w:cs="Times New Roman"/>
          <w:i/>
          <w:iCs/>
          <w:noProof/>
          <w:kern w:val="0"/>
        </w:rPr>
        <w:t>Crop Prot.</w:t>
      </w:r>
      <w:r w:rsidRPr="004D611D">
        <w:rPr>
          <w:rFonts w:ascii="Aptos" w:hAnsi="Aptos" w:cs="Times New Roman"/>
          <w:noProof/>
          <w:kern w:val="0"/>
        </w:rPr>
        <w:t>, vol. 63, no. September 2014, pp. 57–67, 2014, doi: 10.1016/j.cropro.2014.05.005.</w:t>
      </w:r>
    </w:p>
    <w:p w14:paraId="7B09DEFA"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[14]</w:t>
      </w:r>
      <w:r w:rsidRPr="004D611D">
        <w:rPr>
          <w:rFonts w:ascii="Aptos" w:hAnsi="Aptos" w:cs="Times New Roman"/>
          <w:noProof/>
          <w:kern w:val="0"/>
        </w:rPr>
        <w:tab/>
        <w:t xml:space="preserve">S. H. Park, S. H. Kim, J. H. Woo, S. Y. Choi, and S. D. Park, “Controlul pătării frunzelor de vie cauzate de Pseudocercospora vitis cu utilizarea de bicarbonate,” </w:t>
      </w:r>
      <w:r w:rsidRPr="004D611D">
        <w:rPr>
          <w:rFonts w:ascii="Aptos" w:hAnsi="Aptos" w:cs="Times New Roman"/>
          <w:i/>
          <w:iCs/>
          <w:noProof/>
          <w:kern w:val="0"/>
        </w:rPr>
        <w:t>Fruit Grow. Res.</w:t>
      </w:r>
      <w:r w:rsidRPr="004D611D">
        <w:rPr>
          <w:rFonts w:ascii="Aptos" w:hAnsi="Aptos" w:cs="Times New Roman"/>
          <w:noProof/>
          <w:kern w:val="0"/>
        </w:rPr>
        <w:t>, vol. 30, no. 1, pp. 53–57, 2014.</w:t>
      </w:r>
    </w:p>
    <w:p w14:paraId="44BC04E5"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[15]</w:t>
      </w:r>
      <w:r w:rsidRPr="004D611D">
        <w:rPr>
          <w:rFonts w:ascii="Aptos" w:hAnsi="Aptos" w:cs="Times New Roman"/>
          <w:noProof/>
          <w:kern w:val="0"/>
        </w:rPr>
        <w:tab/>
        <w:t xml:space="preserve">S. Munir </w:t>
      </w:r>
      <w:r w:rsidRPr="004D611D">
        <w:rPr>
          <w:rFonts w:ascii="Aptos" w:hAnsi="Aptos" w:cs="Times New Roman"/>
          <w:i/>
          <w:iCs/>
          <w:noProof/>
          <w:kern w:val="0"/>
        </w:rPr>
        <w:t>et al.</w:t>
      </w:r>
      <w:r w:rsidRPr="004D611D">
        <w:rPr>
          <w:rFonts w:ascii="Aptos" w:hAnsi="Aptos" w:cs="Times New Roman"/>
          <w:noProof/>
          <w:kern w:val="0"/>
        </w:rPr>
        <w:t xml:space="preserve">, “Defeating Huanglongbing Pathogen Candidatus Liberibacter asiaticus With Indigenous Citrus Endophyte Bacillus subtilis L1-21,” </w:t>
      </w:r>
      <w:r w:rsidRPr="004D611D">
        <w:rPr>
          <w:rFonts w:ascii="Aptos" w:hAnsi="Aptos" w:cs="Times New Roman"/>
          <w:i/>
          <w:iCs/>
          <w:noProof/>
          <w:kern w:val="0"/>
        </w:rPr>
        <w:t>Front. Plant Sci.</w:t>
      </w:r>
      <w:r w:rsidRPr="004D611D">
        <w:rPr>
          <w:rFonts w:ascii="Aptos" w:hAnsi="Aptos" w:cs="Times New Roman"/>
          <w:noProof/>
          <w:kern w:val="0"/>
        </w:rPr>
        <w:t>, vol. 12, no. January, pp. 1–14, 2022, doi: 10.3389/fpls.2021.789065.</w:t>
      </w:r>
    </w:p>
    <w:p w14:paraId="7C14AA91"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[16]</w:t>
      </w:r>
      <w:r w:rsidRPr="004D611D">
        <w:rPr>
          <w:rFonts w:ascii="Aptos" w:hAnsi="Aptos" w:cs="Times New Roman"/>
          <w:noProof/>
          <w:kern w:val="0"/>
        </w:rPr>
        <w:tab/>
        <w:t xml:space="preserve">A. A. Khan </w:t>
      </w:r>
      <w:r w:rsidRPr="004D611D">
        <w:rPr>
          <w:rFonts w:ascii="Aptos" w:hAnsi="Aptos" w:cs="Times New Roman"/>
          <w:i/>
          <w:iCs/>
          <w:noProof/>
          <w:kern w:val="0"/>
        </w:rPr>
        <w:t>et al.</w:t>
      </w:r>
      <w:r w:rsidRPr="004D611D">
        <w:rPr>
          <w:rFonts w:ascii="Aptos" w:hAnsi="Aptos" w:cs="Times New Roman"/>
          <w:noProof/>
          <w:kern w:val="0"/>
        </w:rPr>
        <w:t xml:space="preserve">, “Toxicity of botanicals and selective insecticides to Asian citrus psylla, Diaphorina citri K. (Homoptera: Psyllidae) in laboratory conditions,” </w:t>
      </w:r>
      <w:r w:rsidRPr="004D611D">
        <w:rPr>
          <w:rFonts w:ascii="Aptos" w:hAnsi="Aptos" w:cs="Times New Roman"/>
          <w:i/>
          <w:iCs/>
          <w:noProof/>
          <w:kern w:val="0"/>
        </w:rPr>
        <w:t>Jokull J.</w:t>
      </w:r>
      <w:r w:rsidRPr="004D611D">
        <w:rPr>
          <w:rFonts w:ascii="Aptos" w:hAnsi="Aptos" w:cs="Times New Roman"/>
          <w:noProof/>
          <w:kern w:val="0"/>
        </w:rPr>
        <w:t>, vol. 63, no. 8, pp. 52–72, 2013.</w:t>
      </w:r>
    </w:p>
    <w:p w14:paraId="3FE073AA"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[17]</w:t>
      </w:r>
      <w:r w:rsidRPr="004D611D">
        <w:rPr>
          <w:rFonts w:ascii="Aptos" w:hAnsi="Aptos" w:cs="Times New Roman"/>
          <w:noProof/>
          <w:kern w:val="0"/>
        </w:rPr>
        <w:tab/>
        <w:t xml:space="preserve">A. Kawaguchi, K. Inoue, and Y. Inoue, “Biological control of bacterial spot on peach by nonpathogenic Xanthomonas campestris strains AZ98101 and AZ98106,” </w:t>
      </w:r>
      <w:r w:rsidRPr="004D611D">
        <w:rPr>
          <w:rFonts w:ascii="Aptos" w:hAnsi="Aptos" w:cs="Times New Roman"/>
          <w:i/>
          <w:iCs/>
          <w:noProof/>
          <w:kern w:val="0"/>
        </w:rPr>
        <w:t>J. Gen. Plant Pathol.</w:t>
      </w:r>
      <w:r w:rsidRPr="004D611D">
        <w:rPr>
          <w:rFonts w:ascii="Aptos" w:hAnsi="Aptos" w:cs="Times New Roman"/>
          <w:noProof/>
          <w:kern w:val="0"/>
        </w:rPr>
        <w:t>, vol. 80, no. 2, pp. 158–163, 2014, doi: 10.1007/s10327-014-0506-6.</w:t>
      </w:r>
    </w:p>
    <w:p w14:paraId="20C20552"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[18]</w:t>
      </w:r>
      <w:r w:rsidRPr="004D611D">
        <w:rPr>
          <w:rFonts w:ascii="Aptos" w:hAnsi="Aptos" w:cs="Times New Roman"/>
          <w:noProof/>
          <w:kern w:val="0"/>
        </w:rPr>
        <w:tab/>
        <w:t xml:space="preserve">I. Pajčin </w:t>
      </w:r>
      <w:r w:rsidRPr="004D611D">
        <w:rPr>
          <w:rFonts w:ascii="Aptos" w:hAnsi="Aptos" w:cs="Times New Roman"/>
          <w:i/>
          <w:iCs/>
          <w:noProof/>
          <w:kern w:val="0"/>
        </w:rPr>
        <w:t>et al.</w:t>
      </w:r>
      <w:r w:rsidRPr="004D611D">
        <w:rPr>
          <w:rFonts w:ascii="Aptos" w:hAnsi="Aptos" w:cs="Times New Roman"/>
          <w:noProof/>
          <w:kern w:val="0"/>
        </w:rPr>
        <w:t xml:space="preserve">, “Pepper bacterial spot control by bacillus velezensis: Bioprocess solution,” </w:t>
      </w:r>
      <w:r w:rsidRPr="004D611D">
        <w:rPr>
          <w:rFonts w:ascii="Aptos" w:hAnsi="Aptos" w:cs="Times New Roman"/>
          <w:i/>
          <w:iCs/>
          <w:noProof/>
          <w:kern w:val="0"/>
        </w:rPr>
        <w:t>Microorganisms</w:t>
      </w:r>
      <w:r w:rsidRPr="004D611D">
        <w:rPr>
          <w:rFonts w:ascii="Aptos" w:hAnsi="Aptos" w:cs="Times New Roman"/>
          <w:noProof/>
          <w:kern w:val="0"/>
        </w:rPr>
        <w:t>, vol. 8, no. 10, pp. 1–22, 2020, doi: 10.3390/microorganisms8101463.</w:t>
      </w:r>
    </w:p>
    <w:p w14:paraId="4E52D5FB"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[19]</w:t>
      </w:r>
      <w:r w:rsidRPr="004D611D">
        <w:rPr>
          <w:rFonts w:ascii="Aptos" w:hAnsi="Aptos" w:cs="Times New Roman"/>
          <w:noProof/>
          <w:kern w:val="0"/>
        </w:rPr>
        <w:tab/>
        <w:t xml:space="preserve">P. A. Abbasi, D. A. Cuppels, and G. Lazarovits, “Effect of foliar applications of neem oil and fish emulsion on bacterial spot and yield of tomatoes and peppers,” </w:t>
      </w:r>
      <w:r w:rsidRPr="004D611D">
        <w:rPr>
          <w:rFonts w:ascii="Aptos" w:hAnsi="Aptos" w:cs="Times New Roman"/>
          <w:i/>
          <w:iCs/>
          <w:noProof/>
          <w:kern w:val="0"/>
        </w:rPr>
        <w:t>Can. J. Plant Pathol.</w:t>
      </w:r>
      <w:r w:rsidRPr="004D611D">
        <w:rPr>
          <w:rFonts w:ascii="Aptos" w:hAnsi="Aptos" w:cs="Times New Roman"/>
          <w:noProof/>
          <w:kern w:val="0"/>
        </w:rPr>
        <w:t>, vol. 25, no. 1, pp. 41–48, 2003, doi: 10.1080/07060660309507048.</w:t>
      </w:r>
    </w:p>
    <w:p w14:paraId="5AE7EB0E"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[20]</w:t>
      </w:r>
      <w:r w:rsidRPr="004D611D">
        <w:rPr>
          <w:rFonts w:ascii="Aptos" w:hAnsi="Aptos" w:cs="Times New Roman"/>
          <w:noProof/>
          <w:kern w:val="0"/>
        </w:rPr>
        <w:tab/>
        <w:t xml:space="preserve">D. Zhang </w:t>
      </w:r>
      <w:r w:rsidRPr="004D611D">
        <w:rPr>
          <w:rFonts w:ascii="Aptos" w:hAnsi="Aptos" w:cs="Times New Roman"/>
          <w:i/>
          <w:iCs/>
          <w:noProof/>
          <w:kern w:val="0"/>
        </w:rPr>
        <w:t>et al.</w:t>
      </w:r>
      <w:r w:rsidRPr="004D611D">
        <w:rPr>
          <w:rFonts w:ascii="Aptos" w:hAnsi="Aptos" w:cs="Times New Roman"/>
          <w:noProof/>
          <w:kern w:val="0"/>
        </w:rPr>
        <w:t xml:space="preserve">, “Biocontrol and Action Mechanism of Bacillus subtilis Lipopeptides’ Fengycins Against Alternaria solani in Potato as Assessed by a Transcriptome Analysis,” </w:t>
      </w:r>
      <w:r w:rsidRPr="004D611D">
        <w:rPr>
          <w:rFonts w:ascii="Aptos" w:hAnsi="Aptos" w:cs="Times New Roman"/>
          <w:i/>
          <w:iCs/>
          <w:noProof/>
          <w:kern w:val="0"/>
        </w:rPr>
        <w:t>Front. Microbiol.</w:t>
      </w:r>
      <w:r w:rsidRPr="004D611D">
        <w:rPr>
          <w:rFonts w:ascii="Aptos" w:hAnsi="Aptos" w:cs="Times New Roman"/>
          <w:noProof/>
          <w:kern w:val="0"/>
        </w:rPr>
        <w:t>, vol. 13, no. May, 2022, doi: 10.3389/fmicb.2022.861113.</w:t>
      </w:r>
    </w:p>
    <w:p w14:paraId="0E314F02"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[21]</w:t>
      </w:r>
      <w:r w:rsidRPr="004D611D">
        <w:rPr>
          <w:rFonts w:ascii="Aptos" w:hAnsi="Aptos" w:cs="Times New Roman"/>
          <w:noProof/>
          <w:kern w:val="0"/>
        </w:rPr>
        <w:tab/>
        <w:t>D. Sadana and N. Didwania, “Bioefficacy of Fungicides and Plant Extracts against Alternaria solani Causing Early Blight of Tomato,” vol. 2, no. 3, pp. 181–186, 2015, doi: 10.15242/iicbe.c0115072.</w:t>
      </w:r>
    </w:p>
    <w:p w14:paraId="14B0A7D1"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[22]</w:t>
      </w:r>
      <w:r w:rsidRPr="004D611D">
        <w:rPr>
          <w:rFonts w:ascii="Aptos" w:hAnsi="Aptos" w:cs="Times New Roman"/>
          <w:noProof/>
          <w:kern w:val="0"/>
        </w:rPr>
        <w:tab/>
        <w:t>B. Diwakar and M. Jha, “Effect of rhizobium , alone and in combination with Neem product against early blight Alternaria solani ( Ell &amp; Mart ) disease of potato,” vol. 8, no. 5, pp. 1645–1647, 2019.</w:t>
      </w:r>
    </w:p>
    <w:p w14:paraId="5822B738"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[23]</w:t>
      </w:r>
      <w:r w:rsidRPr="004D611D">
        <w:rPr>
          <w:rFonts w:ascii="Aptos" w:hAnsi="Aptos" w:cs="Times New Roman"/>
          <w:noProof/>
          <w:kern w:val="0"/>
        </w:rPr>
        <w:tab/>
        <w:t xml:space="preserve">A. Leconte </w:t>
      </w:r>
      <w:r w:rsidRPr="004D611D">
        <w:rPr>
          <w:rFonts w:ascii="Aptos" w:hAnsi="Aptos" w:cs="Times New Roman"/>
          <w:i/>
          <w:iCs/>
          <w:noProof/>
          <w:kern w:val="0"/>
        </w:rPr>
        <w:t>et al.</w:t>
      </w:r>
      <w:r w:rsidRPr="004D611D">
        <w:rPr>
          <w:rFonts w:ascii="Aptos" w:hAnsi="Aptos" w:cs="Times New Roman"/>
          <w:noProof/>
          <w:kern w:val="0"/>
        </w:rPr>
        <w:t xml:space="preserve">, “Assessment of Lipopeptide Mixtures Produced by Bacillus subtilis as Biocontrol Products against Apple Scab (Venturia inaequalis),” </w:t>
      </w:r>
      <w:r w:rsidRPr="004D611D">
        <w:rPr>
          <w:rFonts w:ascii="Aptos" w:hAnsi="Aptos" w:cs="Times New Roman"/>
          <w:i/>
          <w:iCs/>
          <w:noProof/>
          <w:kern w:val="0"/>
        </w:rPr>
        <w:t>Microorganisms</w:t>
      </w:r>
      <w:r w:rsidRPr="004D611D">
        <w:rPr>
          <w:rFonts w:ascii="Aptos" w:hAnsi="Aptos" w:cs="Times New Roman"/>
          <w:noProof/>
          <w:kern w:val="0"/>
        </w:rPr>
        <w:t xml:space="preserve">, </w:t>
      </w:r>
      <w:r w:rsidRPr="004D611D">
        <w:rPr>
          <w:rFonts w:ascii="Aptos" w:hAnsi="Aptos" w:cs="Times New Roman"/>
          <w:noProof/>
          <w:kern w:val="0"/>
        </w:rPr>
        <w:lastRenderedPageBreak/>
        <w:t>vol. 10, no. 9, 2022, doi: 10.3390/microorganisms10091810.</w:t>
      </w:r>
    </w:p>
    <w:p w14:paraId="46DBC552"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[24]</w:t>
      </w:r>
      <w:r w:rsidRPr="004D611D">
        <w:rPr>
          <w:rFonts w:ascii="Aptos" w:hAnsi="Aptos" w:cs="Times New Roman"/>
          <w:noProof/>
          <w:kern w:val="0"/>
        </w:rPr>
        <w:tab/>
        <w:t xml:space="preserve">M. J. Kim, C. K. Shim, and J. H. Park, “Control efficacy of bacillus velezensis afb2-2 against potato late blight caused by phytophthora infestans in organic potato cultivation,” </w:t>
      </w:r>
      <w:r w:rsidRPr="004D611D">
        <w:rPr>
          <w:rFonts w:ascii="Aptos" w:hAnsi="Aptos" w:cs="Times New Roman"/>
          <w:i/>
          <w:iCs/>
          <w:noProof/>
          <w:kern w:val="0"/>
        </w:rPr>
        <w:t>Plant Pathol. J.</w:t>
      </w:r>
      <w:r w:rsidRPr="004D611D">
        <w:rPr>
          <w:rFonts w:ascii="Aptos" w:hAnsi="Aptos" w:cs="Times New Roman"/>
          <w:noProof/>
          <w:kern w:val="0"/>
        </w:rPr>
        <w:t>, vol. 37, no. 6, pp. 580–595, 2021, doi: 10.5423/PPJ.FT.09.2021.0138.</w:t>
      </w:r>
    </w:p>
    <w:p w14:paraId="782DBCCB"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[25]</w:t>
      </w:r>
      <w:r w:rsidRPr="004D611D">
        <w:rPr>
          <w:rFonts w:ascii="Aptos" w:hAnsi="Aptos" w:cs="Times New Roman"/>
          <w:noProof/>
          <w:kern w:val="0"/>
        </w:rPr>
        <w:tab/>
        <w:t>N. Özdemİr, “The Search For Nature-Friendly Solution To Late Blight ( Phytophtora Infestans ) Disease,” vol. 35, no. 1, pp. 169–177, 2022.</w:t>
      </w:r>
    </w:p>
    <w:p w14:paraId="0DB0A811"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[26]</w:t>
      </w:r>
      <w:r w:rsidRPr="004D611D">
        <w:rPr>
          <w:rFonts w:ascii="Aptos" w:hAnsi="Aptos" w:cs="Times New Roman"/>
          <w:noProof/>
          <w:kern w:val="0"/>
        </w:rPr>
        <w:tab/>
        <w:t xml:space="preserve">Amienyo, C. A., G. M. &amp; Manager, and D. U. Affiah, “In vivo evaluation of Allium sativum (Garlic)extract in the Control of Late blight disease of Potato caused by Phytophthora infestans (Mont.) De Bary,” </w:t>
      </w:r>
      <w:r w:rsidRPr="004D611D">
        <w:rPr>
          <w:rFonts w:ascii="Aptos" w:hAnsi="Aptos" w:cs="Times New Roman"/>
          <w:i/>
          <w:iCs/>
          <w:noProof/>
          <w:kern w:val="0"/>
        </w:rPr>
        <w:t>J. Phytopathol. Pest Manag.</w:t>
      </w:r>
      <w:r w:rsidRPr="004D611D">
        <w:rPr>
          <w:rFonts w:ascii="Aptos" w:hAnsi="Aptos" w:cs="Times New Roman"/>
          <w:noProof/>
          <w:kern w:val="0"/>
        </w:rPr>
        <w:t>, vol. 4, no. 3, pp. 41–49, 2017.</w:t>
      </w:r>
    </w:p>
    <w:p w14:paraId="4D2C5271"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[27]</w:t>
      </w:r>
      <w:r w:rsidRPr="004D611D">
        <w:rPr>
          <w:rFonts w:ascii="Aptos" w:hAnsi="Aptos" w:cs="Times New Roman"/>
          <w:noProof/>
          <w:kern w:val="0"/>
        </w:rPr>
        <w:tab/>
        <w:t xml:space="preserve">W. Bettiol, A. Garibaldi, and Q. Migheli, “Bacillus subtilis for the control of powdery mildew on cucumber and zucchini squash,” </w:t>
      </w:r>
      <w:r w:rsidRPr="004D611D">
        <w:rPr>
          <w:rFonts w:ascii="Aptos" w:hAnsi="Aptos" w:cs="Times New Roman"/>
          <w:i/>
          <w:iCs/>
          <w:noProof/>
          <w:kern w:val="0"/>
        </w:rPr>
        <w:t>Bragantia</w:t>
      </w:r>
      <w:r w:rsidRPr="004D611D">
        <w:rPr>
          <w:rFonts w:ascii="Aptos" w:hAnsi="Aptos" w:cs="Times New Roman"/>
          <w:noProof/>
          <w:kern w:val="0"/>
        </w:rPr>
        <w:t>, vol. 56, no. 2, pp. 281–287, 1998, doi: 10.1590/s0006-87051997000200007.</w:t>
      </w:r>
    </w:p>
    <w:p w14:paraId="386390B8"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[28]</w:t>
      </w:r>
      <w:r w:rsidRPr="004D611D">
        <w:rPr>
          <w:rFonts w:ascii="Aptos" w:hAnsi="Aptos" w:cs="Times New Roman"/>
          <w:noProof/>
          <w:kern w:val="0"/>
        </w:rPr>
        <w:tab/>
        <w:t xml:space="preserve">A. A. Elsisi, “Evaluation of biological control agents for managing squash powdery mildew under greenhouse conditions,” </w:t>
      </w:r>
      <w:r w:rsidRPr="004D611D">
        <w:rPr>
          <w:rFonts w:ascii="Aptos" w:hAnsi="Aptos" w:cs="Times New Roman"/>
          <w:i/>
          <w:iCs/>
          <w:noProof/>
          <w:kern w:val="0"/>
        </w:rPr>
        <w:t>Egypt. J. Biol. Pest Control</w:t>
      </w:r>
      <w:r w:rsidRPr="004D611D">
        <w:rPr>
          <w:rFonts w:ascii="Aptos" w:hAnsi="Aptos" w:cs="Times New Roman"/>
          <w:noProof/>
          <w:kern w:val="0"/>
        </w:rPr>
        <w:t>, vol. 29, no. 1, 2019, doi: 10.1186/s41938-019-0194-9.</w:t>
      </w:r>
    </w:p>
    <w:p w14:paraId="5EB3AA40"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[29]</w:t>
      </w:r>
      <w:r w:rsidRPr="004D611D">
        <w:rPr>
          <w:rFonts w:ascii="Aptos" w:hAnsi="Aptos" w:cs="Times New Roman"/>
          <w:noProof/>
          <w:kern w:val="0"/>
        </w:rPr>
        <w:tab/>
        <w:t xml:space="preserve">S. Antioxidant, P. Compounds, H. A. Rudayni, F. A. Jaber, and M. R. A. Tohamy, “and Pigment Content,” </w:t>
      </w:r>
      <w:r w:rsidRPr="004D611D">
        <w:rPr>
          <w:rFonts w:ascii="Aptos" w:hAnsi="Aptos" w:cs="Times New Roman"/>
          <w:i/>
          <w:iCs/>
          <w:noProof/>
          <w:kern w:val="0"/>
        </w:rPr>
        <w:t>Biology (Basel).</w:t>
      </w:r>
      <w:r w:rsidRPr="004D611D">
        <w:rPr>
          <w:rFonts w:ascii="Aptos" w:hAnsi="Aptos" w:cs="Times New Roman"/>
          <w:noProof/>
          <w:kern w:val="0"/>
        </w:rPr>
        <w:t>, vol. 13, p. 369, 2024.</w:t>
      </w:r>
    </w:p>
    <w:p w14:paraId="2D973710"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[30]</w:t>
      </w:r>
      <w:r w:rsidRPr="004D611D">
        <w:rPr>
          <w:rFonts w:ascii="Aptos" w:hAnsi="Aptos" w:cs="Times New Roman"/>
          <w:noProof/>
          <w:kern w:val="0"/>
        </w:rPr>
        <w:tab/>
        <w:t xml:space="preserve">Y. Jia </w:t>
      </w:r>
      <w:r w:rsidRPr="004D611D">
        <w:rPr>
          <w:rFonts w:ascii="Aptos" w:hAnsi="Aptos" w:cs="Times New Roman"/>
          <w:i/>
          <w:iCs/>
          <w:noProof/>
          <w:kern w:val="0"/>
        </w:rPr>
        <w:t>et al.</w:t>
      </w:r>
      <w:r w:rsidRPr="004D611D">
        <w:rPr>
          <w:rFonts w:ascii="Aptos" w:hAnsi="Aptos" w:cs="Times New Roman"/>
          <w:noProof/>
          <w:kern w:val="0"/>
        </w:rPr>
        <w:t xml:space="preserve">, “Synergistic biocontrol of Bacillus subtilis and Pseudomonas fluorescens against early blight disease in tomato,” </w:t>
      </w:r>
      <w:r w:rsidRPr="004D611D">
        <w:rPr>
          <w:rFonts w:ascii="Aptos" w:hAnsi="Aptos" w:cs="Times New Roman"/>
          <w:i/>
          <w:iCs/>
          <w:noProof/>
          <w:kern w:val="0"/>
        </w:rPr>
        <w:t>Appl. Microbiol. Biotechnol.</w:t>
      </w:r>
      <w:r w:rsidRPr="004D611D">
        <w:rPr>
          <w:rFonts w:ascii="Aptos" w:hAnsi="Aptos" w:cs="Times New Roman"/>
          <w:noProof/>
          <w:kern w:val="0"/>
        </w:rPr>
        <w:t>, vol. 107, no. 19, pp. 6071–6083, 2023, doi: 10.1007/s00253-023-12642-w.</w:t>
      </w:r>
    </w:p>
    <w:p w14:paraId="1D28242D"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[31]</w:t>
      </w:r>
      <w:r w:rsidRPr="004D611D">
        <w:rPr>
          <w:rFonts w:ascii="Aptos" w:hAnsi="Aptos" w:cs="Times New Roman"/>
          <w:noProof/>
          <w:kern w:val="0"/>
        </w:rPr>
        <w:tab/>
        <w:t xml:space="preserve">H. Elhjouji </w:t>
      </w:r>
      <w:r w:rsidRPr="004D611D">
        <w:rPr>
          <w:rFonts w:ascii="Aptos" w:hAnsi="Aptos" w:cs="Times New Roman"/>
          <w:i/>
          <w:iCs/>
          <w:noProof/>
          <w:kern w:val="0"/>
        </w:rPr>
        <w:t>et al.</w:t>
      </w:r>
      <w:r w:rsidRPr="004D611D">
        <w:rPr>
          <w:rFonts w:ascii="Aptos" w:hAnsi="Aptos" w:cs="Times New Roman"/>
          <w:noProof/>
          <w:kern w:val="0"/>
        </w:rPr>
        <w:t xml:space="preserve">, “Biocontrol Potential of Bacillus velezensis RS65 Against Phytophthora infestans: A Sustainable Strategy for Managing Tomato Late Blight,” </w:t>
      </w:r>
      <w:r w:rsidRPr="004D611D">
        <w:rPr>
          <w:rFonts w:ascii="Aptos" w:hAnsi="Aptos" w:cs="Times New Roman"/>
          <w:i/>
          <w:iCs/>
          <w:noProof/>
          <w:kern w:val="0"/>
        </w:rPr>
        <w:t>Microorganisms</w:t>
      </w:r>
      <w:r w:rsidRPr="004D611D">
        <w:rPr>
          <w:rFonts w:ascii="Aptos" w:hAnsi="Aptos" w:cs="Times New Roman"/>
          <w:noProof/>
          <w:kern w:val="0"/>
        </w:rPr>
        <w:t>, vol. 13, no. 3, 2025, doi: 10.3390/microorganisms13030656.</w:t>
      </w:r>
    </w:p>
    <w:p w14:paraId="28009124"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[32]</w:t>
      </w:r>
      <w:r w:rsidRPr="004D611D">
        <w:rPr>
          <w:rFonts w:ascii="Aptos" w:hAnsi="Aptos" w:cs="Times New Roman"/>
          <w:noProof/>
          <w:kern w:val="0"/>
        </w:rPr>
        <w:tab/>
        <w:t xml:space="preserve">A. A. G. Gadji </w:t>
      </w:r>
      <w:r w:rsidRPr="004D611D">
        <w:rPr>
          <w:rFonts w:ascii="Aptos" w:hAnsi="Aptos" w:cs="Times New Roman"/>
          <w:i/>
          <w:iCs/>
          <w:noProof/>
          <w:kern w:val="0"/>
        </w:rPr>
        <w:t>et al.</w:t>
      </w:r>
      <w:r w:rsidRPr="004D611D">
        <w:rPr>
          <w:rFonts w:ascii="Aptos" w:hAnsi="Aptos" w:cs="Times New Roman"/>
          <w:noProof/>
          <w:kern w:val="0"/>
        </w:rPr>
        <w:t xml:space="preserve">, “Antifungal activity of aqueous extract of garlic and oils of carapa and neem on the causal agent of tomato late blight disease,” </w:t>
      </w:r>
      <w:r w:rsidRPr="004D611D">
        <w:rPr>
          <w:rFonts w:ascii="Aptos" w:hAnsi="Aptos" w:cs="Times New Roman"/>
          <w:i/>
          <w:iCs/>
          <w:noProof/>
          <w:kern w:val="0"/>
        </w:rPr>
        <w:t>Int. J. Biol. Chem. Sci.</w:t>
      </w:r>
      <w:r w:rsidRPr="004D611D">
        <w:rPr>
          <w:rFonts w:ascii="Aptos" w:hAnsi="Aptos" w:cs="Times New Roman"/>
          <w:noProof/>
          <w:kern w:val="0"/>
        </w:rPr>
        <w:t>, vol. 18, no. 6, pp. 2388–2398, 2024, doi: 10.4314/ijbcs.v18i6.24.</w:t>
      </w:r>
    </w:p>
    <w:p w14:paraId="38CCCDCC"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[33]</w:t>
      </w:r>
      <w:r w:rsidRPr="004D611D">
        <w:rPr>
          <w:rFonts w:ascii="Aptos" w:hAnsi="Aptos" w:cs="Times New Roman"/>
          <w:noProof/>
          <w:kern w:val="0"/>
        </w:rPr>
        <w:tab/>
        <w:t>A. T. Kugedera, B. Ngaufe, and A. T. Kugedera, “Assessing Effects of Using Different Concentrations of Garlic and Chilli Extracts to Control Blights in Tomatoes International Journal of Food &amp; Nutrition Assessing Effects of Using Different Concentrations of Garlic and Chilli Extracts to Control Blights in Tomatoes,” no. July, 2019, [Online]. Available: https://www.researchgate.net/publication/334416566</w:t>
      </w:r>
    </w:p>
    <w:p w14:paraId="23FFDC09"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[34]</w:t>
      </w:r>
      <w:r w:rsidRPr="004D611D">
        <w:rPr>
          <w:rFonts w:ascii="Aptos" w:hAnsi="Aptos" w:cs="Times New Roman"/>
          <w:noProof/>
          <w:kern w:val="0"/>
        </w:rPr>
        <w:tab/>
        <w:t xml:space="preserve">J. F. Djeugap </w:t>
      </w:r>
      <w:r w:rsidRPr="004D611D">
        <w:rPr>
          <w:rFonts w:ascii="Aptos" w:hAnsi="Aptos" w:cs="Times New Roman"/>
          <w:i/>
          <w:iCs/>
          <w:noProof/>
          <w:kern w:val="0"/>
        </w:rPr>
        <w:t>et al.</w:t>
      </w:r>
      <w:r w:rsidRPr="004D611D">
        <w:rPr>
          <w:rFonts w:ascii="Aptos" w:hAnsi="Aptos" w:cs="Times New Roman"/>
          <w:noProof/>
          <w:kern w:val="0"/>
        </w:rPr>
        <w:t xml:space="preserve">, “ Field efficacy of Gliding Arc Plasma Activated Water and natural products on tomato ( Solanum lycopersicum L.) late blight [ Phytophthora infestans (Mont.) de Bary] severity ,” </w:t>
      </w:r>
      <w:r w:rsidRPr="004D611D">
        <w:rPr>
          <w:rFonts w:ascii="Aptos" w:hAnsi="Aptos" w:cs="Times New Roman"/>
          <w:i/>
          <w:iCs/>
          <w:noProof/>
          <w:kern w:val="0"/>
        </w:rPr>
        <w:t>Agric. Trop. Subtrop.</w:t>
      </w:r>
      <w:r w:rsidRPr="004D611D">
        <w:rPr>
          <w:rFonts w:ascii="Aptos" w:hAnsi="Aptos" w:cs="Times New Roman"/>
          <w:noProof/>
          <w:kern w:val="0"/>
        </w:rPr>
        <w:t>, vol. 57, no. 1, pp. 60–71, 2024, doi: 10.2478/ats-2024-0006.</w:t>
      </w:r>
    </w:p>
    <w:p w14:paraId="29A8FF57"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lastRenderedPageBreak/>
        <w:t>[35]</w:t>
      </w:r>
      <w:r w:rsidRPr="004D611D">
        <w:rPr>
          <w:rFonts w:ascii="Aptos" w:hAnsi="Aptos" w:cs="Times New Roman"/>
          <w:noProof/>
          <w:kern w:val="0"/>
        </w:rPr>
        <w:tab/>
        <w:t xml:space="preserve">C. Chen </w:t>
      </w:r>
      <w:r w:rsidRPr="004D611D">
        <w:rPr>
          <w:rFonts w:ascii="Aptos" w:hAnsi="Aptos" w:cs="Times New Roman"/>
          <w:i/>
          <w:iCs/>
          <w:noProof/>
          <w:kern w:val="0"/>
        </w:rPr>
        <w:t>et al.</w:t>
      </w:r>
      <w:r w:rsidRPr="004D611D">
        <w:rPr>
          <w:rFonts w:ascii="Aptos" w:hAnsi="Aptos" w:cs="Times New Roman"/>
          <w:noProof/>
          <w:kern w:val="0"/>
        </w:rPr>
        <w:t xml:space="preserve">, “Antifungal activity of Streptomyces albidoflavus L131 against the leaf mold pathogen Passalora fulva involves membrane leakage and oxidative damage,” </w:t>
      </w:r>
      <w:r w:rsidRPr="004D611D">
        <w:rPr>
          <w:rFonts w:ascii="Aptos" w:hAnsi="Aptos" w:cs="Times New Roman"/>
          <w:i/>
          <w:iCs/>
          <w:noProof/>
          <w:kern w:val="0"/>
        </w:rPr>
        <w:t>J. Korean Soc. Appl. Biol. Chem.</w:t>
      </w:r>
      <w:r w:rsidRPr="004D611D">
        <w:rPr>
          <w:rFonts w:ascii="Aptos" w:hAnsi="Aptos" w:cs="Times New Roman"/>
          <w:noProof/>
          <w:kern w:val="0"/>
        </w:rPr>
        <w:t>, vol. 58, no. 1, pp. 111–119, 2015, doi: 10.1007/s13765-015-0012-3.</w:t>
      </w:r>
    </w:p>
    <w:p w14:paraId="53587DAD"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[36]</w:t>
      </w:r>
      <w:r w:rsidRPr="004D611D">
        <w:rPr>
          <w:rFonts w:ascii="Aptos" w:hAnsi="Aptos" w:cs="Times New Roman"/>
          <w:noProof/>
          <w:kern w:val="0"/>
        </w:rPr>
        <w:tab/>
        <w:t xml:space="preserve">Monteiro F. P., Ogoshi C., Mallmann G., Valmorbida J., and Wamser A. F., “Exploring Alternative Products for Tomato Septoria lycopersici Control,” </w:t>
      </w:r>
      <w:r w:rsidRPr="004D611D">
        <w:rPr>
          <w:rFonts w:ascii="Aptos" w:hAnsi="Aptos" w:cs="Times New Roman"/>
          <w:i/>
          <w:iCs/>
          <w:noProof/>
          <w:kern w:val="0"/>
        </w:rPr>
        <w:t>Asian J. Agric. Hortic. Res.</w:t>
      </w:r>
      <w:r w:rsidRPr="004D611D">
        <w:rPr>
          <w:rFonts w:ascii="Aptos" w:hAnsi="Aptos" w:cs="Times New Roman"/>
          <w:noProof/>
          <w:kern w:val="0"/>
        </w:rPr>
        <w:t>, vol. 10, no. 4, pp. 496–506, 2023, doi: 10.9734/ajahr/2023/v10i4289.</w:t>
      </w:r>
    </w:p>
    <w:p w14:paraId="04DA4439"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[37]</w:t>
      </w:r>
      <w:r w:rsidRPr="004D611D">
        <w:rPr>
          <w:rFonts w:ascii="Aptos" w:hAnsi="Aptos" w:cs="Times New Roman"/>
          <w:noProof/>
          <w:kern w:val="0"/>
        </w:rPr>
        <w:tab/>
        <w:t xml:space="preserve">S. K. Sain and A. K. Pandey, “Biological spectrum of Trichoderma harzianum Rifai isolates to control fungal diseases of tomato (Solanum lycopersicon L.),” </w:t>
      </w:r>
      <w:r w:rsidRPr="004D611D">
        <w:rPr>
          <w:rFonts w:ascii="Aptos" w:hAnsi="Aptos" w:cs="Times New Roman"/>
          <w:i/>
          <w:iCs/>
          <w:noProof/>
          <w:kern w:val="0"/>
        </w:rPr>
        <w:t>Arch. Phytopathol. Plant Prot.</w:t>
      </w:r>
      <w:r w:rsidRPr="004D611D">
        <w:rPr>
          <w:rFonts w:ascii="Aptos" w:hAnsi="Aptos" w:cs="Times New Roman"/>
          <w:noProof/>
          <w:kern w:val="0"/>
        </w:rPr>
        <w:t>, vol. 49, no. 19–20, pp. 507–521, 2016, doi: 10.1080/03235408.2016.1242393.</w:t>
      </w:r>
    </w:p>
    <w:p w14:paraId="4477E12D"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[38]</w:t>
      </w:r>
      <w:r w:rsidRPr="004D611D">
        <w:rPr>
          <w:rFonts w:ascii="Aptos" w:hAnsi="Aptos" w:cs="Times New Roman"/>
          <w:noProof/>
          <w:kern w:val="0"/>
        </w:rPr>
        <w:tab/>
        <w:t xml:space="preserve">M. L. Pappas </w:t>
      </w:r>
      <w:r w:rsidRPr="004D611D">
        <w:rPr>
          <w:rFonts w:ascii="Aptos" w:hAnsi="Aptos" w:cs="Times New Roman"/>
          <w:i/>
          <w:iCs/>
          <w:noProof/>
          <w:kern w:val="0"/>
        </w:rPr>
        <w:t>et al.</w:t>
      </w:r>
      <w:r w:rsidRPr="004D611D">
        <w:rPr>
          <w:rFonts w:ascii="Aptos" w:hAnsi="Aptos" w:cs="Times New Roman"/>
          <w:noProof/>
          <w:kern w:val="0"/>
        </w:rPr>
        <w:t xml:space="preserve">, “The beneficial endophytic fungus fusarium solani strain K alters tomato responses against spider mites to the benefit of the plant,” </w:t>
      </w:r>
      <w:r w:rsidRPr="004D611D">
        <w:rPr>
          <w:rFonts w:ascii="Aptos" w:hAnsi="Aptos" w:cs="Times New Roman"/>
          <w:i/>
          <w:iCs/>
          <w:noProof/>
          <w:kern w:val="0"/>
        </w:rPr>
        <w:t>Front. Plant Sci.</w:t>
      </w:r>
      <w:r w:rsidRPr="004D611D">
        <w:rPr>
          <w:rFonts w:ascii="Aptos" w:hAnsi="Aptos" w:cs="Times New Roman"/>
          <w:noProof/>
          <w:kern w:val="0"/>
        </w:rPr>
        <w:t>, vol. 9, no. November, pp. 1–17, 2018, doi: 10.3389/fpls.2018.01603.</w:t>
      </w:r>
    </w:p>
    <w:p w14:paraId="4606441A"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[39]</w:t>
      </w:r>
      <w:r w:rsidRPr="004D611D">
        <w:rPr>
          <w:rFonts w:ascii="Aptos" w:hAnsi="Aptos" w:cs="Times New Roman"/>
          <w:noProof/>
          <w:kern w:val="0"/>
        </w:rPr>
        <w:tab/>
        <w:t xml:space="preserve">V. Basso, A. J. Pinheiro Dillon, M. Toldi, C. Gonçalves Kramer, and C. Vicenço Bonato, “Beauveria bassiana submerged spores for control of two-spotted spider mite (Tetranychus urticae Koch (Acari: Tetranychidae)): production, stability, and virulence,” </w:t>
      </w:r>
      <w:r w:rsidRPr="004D611D">
        <w:rPr>
          <w:rFonts w:ascii="Aptos" w:hAnsi="Aptos" w:cs="Times New Roman"/>
          <w:i/>
          <w:iCs/>
          <w:noProof/>
          <w:kern w:val="0"/>
        </w:rPr>
        <w:t>Arch. Microbiol.</w:t>
      </w:r>
      <w:r w:rsidRPr="004D611D">
        <w:rPr>
          <w:rFonts w:ascii="Aptos" w:hAnsi="Aptos" w:cs="Times New Roman"/>
          <w:noProof/>
          <w:kern w:val="0"/>
        </w:rPr>
        <w:t>, vol. 206, no. 1, 2024, doi: 10.1007/s00203-023-03759-7.</w:t>
      </w:r>
    </w:p>
    <w:p w14:paraId="796F8198"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[40]</w:t>
      </w:r>
      <w:r w:rsidRPr="004D611D">
        <w:rPr>
          <w:rFonts w:ascii="Aptos" w:hAnsi="Aptos" w:cs="Times New Roman"/>
          <w:noProof/>
          <w:kern w:val="0"/>
        </w:rPr>
        <w:tab/>
        <w:t xml:space="preserve">D. M. Bugeme, M. Knapp, S. Ekesi, A. Chabi-Olaye, H. I. Boga, and N. K. Maniania, “Efficacy of Metarhizium anisopliae in controlling the two-spotted spider mite Tetranychus urticae on common bean in screenhouse and field experiments,” </w:t>
      </w:r>
      <w:r w:rsidRPr="004D611D">
        <w:rPr>
          <w:rFonts w:ascii="Aptos" w:hAnsi="Aptos" w:cs="Times New Roman"/>
          <w:i/>
          <w:iCs/>
          <w:noProof/>
          <w:kern w:val="0"/>
        </w:rPr>
        <w:t>Insect Sci.</w:t>
      </w:r>
      <w:r w:rsidRPr="004D611D">
        <w:rPr>
          <w:rFonts w:ascii="Aptos" w:hAnsi="Aptos" w:cs="Times New Roman"/>
          <w:noProof/>
          <w:kern w:val="0"/>
        </w:rPr>
        <w:t>, vol. 22, no. 1, pp. 121–128, 2015, doi: 10.1111/1744-7917.12111.</w:t>
      </w:r>
    </w:p>
    <w:p w14:paraId="45CB907D"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[41]</w:t>
      </w:r>
      <w:r w:rsidRPr="004D611D">
        <w:rPr>
          <w:rFonts w:ascii="Aptos" w:hAnsi="Aptos" w:cs="Times New Roman"/>
          <w:noProof/>
          <w:kern w:val="0"/>
        </w:rPr>
        <w:tab/>
        <w:t xml:space="preserve">H. Tsolakis, E. Ragusa, and S. Ragusa, “Effects of Neem oil (Azadirachta indica A. Juss) on Tetranychus urticae Koch (Acariformes, Tetranychidae) in laboratory tests,” </w:t>
      </w:r>
      <w:r w:rsidRPr="004D611D">
        <w:rPr>
          <w:rFonts w:ascii="Aptos" w:hAnsi="Aptos" w:cs="Times New Roman"/>
          <w:i/>
          <w:iCs/>
          <w:noProof/>
          <w:kern w:val="0"/>
        </w:rPr>
        <w:t>Acarid Phylogeny Evol. Adapt. Mites Ticks</w:t>
      </w:r>
      <w:r w:rsidRPr="004D611D">
        <w:rPr>
          <w:rFonts w:ascii="Aptos" w:hAnsi="Aptos" w:cs="Times New Roman"/>
          <w:noProof/>
          <w:kern w:val="0"/>
        </w:rPr>
        <w:t>, pp. 351–362, 2002, doi: 10.1007/978-94-017-0611-7_36.</w:t>
      </w:r>
    </w:p>
    <w:p w14:paraId="2D72F762"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[42]</w:t>
      </w:r>
      <w:r w:rsidRPr="004D611D">
        <w:rPr>
          <w:rFonts w:ascii="Aptos" w:hAnsi="Aptos" w:cs="Times New Roman"/>
          <w:noProof/>
          <w:kern w:val="0"/>
        </w:rPr>
        <w:tab/>
        <w:t xml:space="preserve">K. Pernezny, P. Stoffella, J. Collins, A. Carroll, and A. Beaney, “Control of target spot of tomato with fungicides, systemic acquired resistance activators, and a biocontrol agent,” </w:t>
      </w:r>
      <w:r w:rsidRPr="004D611D">
        <w:rPr>
          <w:rFonts w:ascii="Aptos" w:hAnsi="Aptos" w:cs="Times New Roman"/>
          <w:i/>
          <w:iCs/>
          <w:noProof/>
          <w:kern w:val="0"/>
        </w:rPr>
        <w:t>Plant Prot. Sci.</w:t>
      </w:r>
      <w:r w:rsidRPr="004D611D">
        <w:rPr>
          <w:rFonts w:ascii="Aptos" w:hAnsi="Aptos" w:cs="Times New Roman"/>
          <w:noProof/>
          <w:kern w:val="0"/>
        </w:rPr>
        <w:t>, vol. 38, no. 3, pp. 81–88, 2002, doi: 10.17221/4855-pps.</w:t>
      </w:r>
    </w:p>
    <w:p w14:paraId="2E893AA0"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[43]</w:t>
      </w:r>
      <w:r w:rsidRPr="004D611D">
        <w:rPr>
          <w:rFonts w:ascii="Aptos" w:hAnsi="Aptos" w:cs="Times New Roman"/>
          <w:noProof/>
          <w:kern w:val="0"/>
        </w:rPr>
        <w:tab/>
        <w:t xml:space="preserve">E. Monjezi, M. Aeini, S. Tabein, and M. H. G. Parizipour, “Biocontrol of Tomato Mosaic Disease by Multiple Applications of Brown Alga (Sargassum angustifolium) Extract, Pseudomonas fluorescens, and Bacillus subtilis,” </w:t>
      </w:r>
      <w:r w:rsidRPr="004D611D">
        <w:rPr>
          <w:rFonts w:ascii="Aptos" w:hAnsi="Aptos" w:cs="Times New Roman"/>
          <w:i/>
          <w:iCs/>
          <w:noProof/>
          <w:kern w:val="0"/>
        </w:rPr>
        <w:t>Brazilian Arch. Biol. Technol.</w:t>
      </w:r>
      <w:r w:rsidRPr="004D611D">
        <w:rPr>
          <w:rFonts w:ascii="Aptos" w:hAnsi="Aptos" w:cs="Times New Roman"/>
          <w:noProof/>
          <w:kern w:val="0"/>
        </w:rPr>
        <w:t>, vol. 66, 2023, doi: 10.1590/1678-4324-2023220103.</w:t>
      </w:r>
    </w:p>
    <w:p w14:paraId="619AE5AA"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[44]</w:t>
      </w:r>
      <w:r w:rsidRPr="004D611D">
        <w:rPr>
          <w:rFonts w:ascii="Aptos" w:hAnsi="Aptos" w:cs="Times New Roman"/>
          <w:noProof/>
          <w:kern w:val="0"/>
        </w:rPr>
        <w:tab/>
        <w:t xml:space="preserve">A. Abdelkhalek, A. A. Al-Askar, A. A. Arishi, and S. I. Behiry, “Trichoderma hamatum Strain Th23 Promotes Tomato Growth and Induces Systemic Resistance against Tobacco Mosaic Virus,” </w:t>
      </w:r>
      <w:r w:rsidRPr="004D611D">
        <w:rPr>
          <w:rFonts w:ascii="Aptos" w:hAnsi="Aptos" w:cs="Times New Roman"/>
          <w:i/>
          <w:iCs/>
          <w:noProof/>
          <w:kern w:val="0"/>
        </w:rPr>
        <w:t>J. Fungi</w:t>
      </w:r>
      <w:r w:rsidRPr="004D611D">
        <w:rPr>
          <w:rFonts w:ascii="Aptos" w:hAnsi="Aptos" w:cs="Times New Roman"/>
          <w:noProof/>
          <w:kern w:val="0"/>
        </w:rPr>
        <w:t>, vol. 8, no. 3, 2022, doi: 10.3390/jof8030228.</w:t>
      </w:r>
    </w:p>
    <w:p w14:paraId="0E6986EC"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[45]</w:t>
      </w:r>
      <w:r w:rsidRPr="004D611D">
        <w:rPr>
          <w:rFonts w:ascii="Aptos" w:hAnsi="Aptos" w:cs="Times New Roman"/>
          <w:noProof/>
          <w:kern w:val="0"/>
        </w:rPr>
        <w:tab/>
        <w:t xml:space="preserve">M. M. Elsharkawy </w:t>
      </w:r>
      <w:r w:rsidRPr="004D611D">
        <w:rPr>
          <w:rFonts w:ascii="Aptos" w:hAnsi="Aptos" w:cs="Times New Roman"/>
          <w:i/>
          <w:iCs/>
          <w:noProof/>
          <w:kern w:val="0"/>
        </w:rPr>
        <w:t>et al.</w:t>
      </w:r>
      <w:r w:rsidRPr="004D611D">
        <w:rPr>
          <w:rFonts w:ascii="Aptos" w:hAnsi="Aptos" w:cs="Times New Roman"/>
          <w:noProof/>
          <w:kern w:val="0"/>
        </w:rPr>
        <w:t xml:space="preserve">, “Systemic resistance induction of tomato plants against tomato mosaic virus by microalgae,” </w:t>
      </w:r>
      <w:r w:rsidRPr="004D611D">
        <w:rPr>
          <w:rFonts w:ascii="Aptos" w:hAnsi="Aptos" w:cs="Times New Roman"/>
          <w:i/>
          <w:iCs/>
          <w:noProof/>
          <w:kern w:val="0"/>
        </w:rPr>
        <w:t>Egypt. J. Biol. Pest Control</w:t>
      </w:r>
      <w:r w:rsidRPr="004D611D">
        <w:rPr>
          <w:rFonts w:ascii="Aptos" w:hAnsi="Aptos" w:cs="Times New Roman"/>
          <w:noProof/>
          <w:kern w:val="0"/>
        </w:rPr>
        <w:t xml:space="preserve">, vol. 32, no. 1, 2022, </w:t>
      </w:r>
      <w:r w:rsidRPr="004D611D">
        <w:rPr>
          <w:rFonts w:ascii="Aptos" w:hAnsi="Aptos" w:cs="Times New Roman"/>
          <w:noProof/>
          <w:kern w:val="0"/>
        </w:rPr>
        <w:lastRenderedPageBreak/>
        <w:t>doi: 10.1186/s41938-022-00538-2.</w:t>
      </w:r>
    </w:p>
    <w:p w14:paraId="0169CF40"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[46]</w:t>
      </w:r>
      <w:r w:rsidRPr="004D611D">
        <w:rPr>
          <w:rFonts w:ascii="Aptos" w:hAnsi="Aptos" w:cs="Times New Roman"/>
          <w:noProof/>
          <w:kern w:val="0"/>
        </w:rPr>
        <w:tab/>
        <w:t xml:space="preserve">Q. Guo </w:t>
      </w:r>
      <w:r w:rsidRPr="004D611D">
        <w:rPr>
          <w:rFonts w:ascii="Aptos" w:hAnsi="Aptos" w:cs="Times New Roman"/>
          <w:i/>
          <w:iCs/>
          <w:noProof/>
          <w:kern w:val="0"/>
        </w:rPr>
        <w:t>et al.</w:t>
      </w:r>
      <w:r w:rsidRPr="004D611D">
        <w:rPr>
          <w:rFonts w:ascii="Aptos" w:hAnsi="Aptos" w:cs="Times New Roman"/>
          <w:noProof/>
          <w:kern w:val="0"/>
        </w:rPr>
        <w:t xml:space="preserve">, “Plant resistance to tomato yellow leaf curl virus is enhanced by Bacillus amyloliquefaciens Ba13 through modulation of RNA interference,” </w:t>
      </w:r>
      <w:r w:rsidRPr="004D611D">
        <w:rPr>
          <w:rFonts w:ascii="Aptos" w:hAnsi="Aptos" w:cs="Times New Roman"/>
          <w:i/>
          <w:iCs/>
          <w:noProof/>
          <w:kern w:val="0"/>
        </w:rPr>
        <w:t>Front. Microbiol.</w:t>
      </w:r>
      <w:r w:rsidRPr="004D611D">
        <w:rPr>
          <w:rFonts w:ascii="Aptos" w:hAnsi="Aptos" w:cs="Times New Roman"/>
          <w:noProof/>
          <w:kern w:val="0"/>
        </w:rPr>
        <w:t>, vol. 14, no. October, 2023, doi: 10.3389/fmicb.2023.1251698.</w:t>
      </w:r>
    </w:p>
    <w:p w14:paraId="5340709D"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[47]</w:t>
      </w:r>
      <w:r w:rsidRPr="004D611D">
        <w:rPr>
          <w:rFonts w:ascii="Aptos" w:hAnsi="Aptos" w:cs="Times New Roman"/>
          <w:noProof/>
          <w:kern w:val="0"/>
        </w:rPr>
        <w:tab/>
        <w:t xml:space="preserve">S. Mehmood </w:t>
      </w:r>
      <w:r w:rsidRPr="004D611D">
        <w:rPr>
          <w:rFonts w:ascii="Aptos" w:hAnsi="Aptos" w:cs="Times New Roman"/>
          <w:i/>
          <w:iCs/>
          <w:noProof/>
          <w:kern w:val="0"/>
        </w:rPr>
        <w:t>et al.</w:t>
      </w:r>
      <w:r w:rsidRPr="004D611D">
        <w:rPr>
          <w:rFonts w:ascii="Aptos" w:hAnsi="Aptos" w:cs="Times New Roman"/>
          <w:noProof/>
          <w:kern w:val="0"/>
        </w:rPr>
        <w:t xml:space="preserve">, “Disease resistance to tomato yellow leaf curl virus (TYLCV) enhanced by natural plant growth regulators and biopesticide,” </w:t>
      </w:r>
      <w:r w:rsidRPr="004D611D">
        <w:rPr>
          <w:rFonts w:ascii="Aptos" w:hAnsi="Aptos" w:cs="Times New Roman"/>
          <w:i/>
          <w:iCs/>
          <w:noProof/>
          <w:kern w:val="0"/>
        </w:rPr>
        <w:t>J. Plant Dis. Prot.</w:t>
      </w:r>
      <w:r w:rsidRPr="004D611D">
        <w:rPr>
          <w:rFonts w:ascii="Aptos" w:hAnsi="Aptos" w:cs="Times New Roman"/>
          <w:noProof/>
          <w:kern w:val="0"/>
        </w:rPr>
        <w:t>, vol. 132, no. 1, 2025, doi: 10.1007/s41348-024-01054-1.</w:t>
      </w:r>
    </w:p>
    <w:p w14:paraId="6A2D10E0"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[48]</w:t>
      </w:r>
      <w:r w:rsidRPr="004D611D">
        <w:rPr>
          <w:rFonts w:ascii="Aptos" w:hAnsi="Aptos" w:cs="Times New Roman"/>
          <w:noProof/>
          <w:kern w:val="0"/>
        </w:rPr>
        <w:tab/>
        <w:t xml:space="preserve">P. Trotel-Aziz </w:t>
      </w:r>
      <w:r w:rsidRPr="004D611D">
        <w:rPr>
          <w:rFonts w:ascii="Aptos" w:hAnsi="Aptos" w:cs="Times New Roman"/>
          <w:i/>
          <w:iCs/>
          <w:noProof/>
          <w:kern w:val="0"/>
        </w:rPr>
        <w:t>et al.</w:t>
      </w:r>
      <w:r w:rsidRPr="004D611D">
        <w:rPr>
          <w:rFonts w:ascii="Aptos" w:hAnsi="Aptos" w:cs="Times New Roman"/>
          <w:noProof/>
          <w:kern w:val="0"/>
        </w:rPr>
        <w:t xml:space="preserve">, “Bacillus subtilis PTA-271 counteracts botryosphaeria dieback in grapevine, triggering immune responses and detoxification of fungal phytotoxins,” </w:t>
      </w:r>
      <w:r w:rsidRPr="004D611D">
        <w:rPr>
          <w:rFonts w:ascii="Aptos" w:hAnsi="Aptos" w:cs="Times New Roman"/>
          <w:i/>
          <w:iCs/>
          <w:noProof/>
          <w:kern w:val="0"/>
        </w:rPr>
        <w:t>Front. Plant Sci.</w:t>
      </w:r>
      <w:r w:rsidRPr="004D611D">
        <w:rPr>
          <w:rFonts w:ascii="Aptos" w:hAnsi="Aptos" w:cs="Times New Roman"/>
          <w:noProof/>
          <w:kern w:val="0"/>
        </w:rPr>
        <w:t>, vol. 24, no. January, pp. 1–14, 2019, doi: 10.3389/fpls.2019.00025.</w:t>
      </w:r>
    </w:p>
    <w:p w14:paraId="5DED3E82"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[49]</w:t>
      </w:r>
      <w:r w:rsidRPr="004D611D">
        <w:rPr>
          <w:rFonts w:ascii="Aptos" w:hAnsi="Aptos" w:cs="Times New Roman"/>
          <w:noProof/>
          <w:kern w:val="0"/>
        </w:rPr>
        <w:tab/>
        <w:t xml:space="preserve">D. E. Brown-Rytlewski and P. S. McManus, “Virulence of Botryosphaeria dothidea and Botryosphaeria obtusa on apple and management of stem cankers with fungicides,” </w:t>
      </w:r>
      <w:r w:rsidRPr="004D611D">
        <w:rPr>
          <w:rFonts w:ascii="Aptos" w:hAnsi="Aptos" w:cs="Times New Roman"/>
          <w:i/>
          <w:iCs/>
          <w:noProof/>
          <w:kern w:val="0"/>
        </w:rPr>
        <w:t>Plant Dis.</w:t>
      </w:r>
      <w:r w:rsidRPr="004D611D">
        <w:rPr>
          <w:rFonts w:ascii="Aptos" w:hAnsi="Aptos" w:cs="Times New Roman"/>
          <w:noProof/>
          <w:kern w:val="0"/>
        </w:rPr>
        <w:t>, vol. 84, no. 9, pp. 1031–1037, 2000, doi: 10.1094/PDIS.2000.84.9.1031.</w:t>
      </w:r>
    </w:p>
    <w:p w14:paraId="7183F8F6"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[50]</w:t>
      </w:r>
      <w:r w:rsidRPr="004D611D">
        <w:rPr>
          <w:rFonts w:ascii="Aptos" w:hAnsi="Aptos" w:cs="Times New Roman"/>
          <w:noProof/>
          <w:kern w:val="0"/>
        </w:rPr>
        <w:tab/>
        <w:t xml:space="preserve">J. M. J. Ward, M. D. Laing, and F. H. J. Rijkenberg, “Frequency and timing of fungicide applications for the control of gray leaf spot in maize,” </w:t>
      </w:r>
      <w:r w:rsidRPr="004D611D">
        <w:rPr>
          <w:rFonts w:ascii="Aptos" w:hAnsi="Aptos" w:cs="Times New Roman"/>
          <w:i/>
          <w:iCs/>
          <w:noProof/>
          <w:kern w:val="0"/>
        </w:rPr>
        <w:t>Plant Dis.</w:t>
      </w:r>
      <w:r w:rsidRPr="004D611D">
        <w:rPr>
          <w:rFonts w:ascii="Aptos" w:hAnsi="Aptos" w:cs="Times New Roman"/>
          <w:noProof/>
          <w:kern w:val="0"/>
        </w:rPr>
        <w:t>, vol. 81, no. 1, pp. 41–48, 1997, doi: 10.1094/PDIS.1997.81.1.41.</w:t>
      </w:r>
    </w:p>
    <w:p w14:paraId="6EF2D93E"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[51]</w:t>
      </w:r>
      <w:r w:rsidRPr="004D611D">
        <w:rPr>
          <w:rFonts w:ascii="Aptos" w:hAnsi="Aptos" w:cs="Times New Roman"/>
          <w:noProof/>
          <w:kern w:val="0"/>
        </w:rPr>
        <w:tab/>
        <w:t xml:space="preserve">S. N. Wegulo, J. M. Rivera-C, C. A. Martinson, and F. W. Nutter, “Efficacy of fungicide treatments for control of common rust and northern leaf spot in hybrid corn seed production,” </w:t>
      </w:r>
      <w:r w:rsidRPr="004D611D">
        <w:rPr>
          <w:rFonts w:ascii="Aptos" w:hAnsi="Aptos" w:cs="Times New Roman"/>
          <w:i/>
          <w:iCs/>
          <w:noProof/>
          <w:kern w:val="0"/>
        </w:rPr>
        <w:t>Plant Dis.</w:t>
      </w:r>
      <w:r w:rsidRPr="004D611D">
        <w:rPr>
          <w:rFonts w:ascii="Aptos" w:hAnsi="Aptos" w:cs="Times New Roman"/>
          <w:noProof/>
          <w:kern w:val="0"/>
        </w:rPr>
        <w:t>, vol. 82, no. 5, pp. 547–554, 1998, doi: 10.1094/PDIS.1998.82.5.547.</w:t>
      </w:r>
    </w:p>
    <w:p w14:paraId="758524AB"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[52]</w:t>
      </w:r>
      <w:r w:rsidRPr="004D611D">
        <w:rPr>
          <w:rFonts w:ascii="Aptos" w:hAnsi="Aptos" w:cs="Times New Roman"/>
          <w:noProof/>
          <w:kern w:val="0"/>
        </w:rPr>
        <w:tab/>
        <w:t xml:space="preserve">T. R. Reddy, P. N. Reddy, R. R. Reddy, and S. S. Reddy, “Management of Turcicum Leaf Blight of Maize Caused by Exserohilum Turcicum in Maize,” </w:t>
      </w:r>
      <w:r w:rsidRPr="004D611D">
        <w:rPr>
          <w:rFonts w:ascii="Aptos" w:hAnsi="Aptos" w:cs="Times New Roman"/>
          <w:i/>
          <w:iCs/>
          <w:noProof/>
          <w:kern w:val="0"/>
        </w:rPr>
        <w:t>Int. J. Sci. Res. Publ.</w:t>
      </w:r>
      <w:r w:rsidRPr="004D611D">
        <w:rPr>
          <w:rFonts w:ascii="Aptos" w:hAnsi="Aptos" w:cs="Times New Roman"/>
          <w:noProof/>
          <w:kern w:val="0"/>
        </w:rPr>
        <w:t>, vol. 3, no. 10, pp. 1–4, 2013.</w:t>
      </w:r>
    </w:p>
    <w:p w14:paraId="0FDCABC9"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[53]</w:t>
      </w:r>
      <w:r w:rsidRPr="004D611D">
        <w:rPr>
          <w:rFonts w:ascii="Aptos" w:hAnsi="Aptos" w:cs="Times New Roman"/>
          <w:noProof/>
          <w:kern w:val="0"/>
        </w:rPr>
        <w:tab/>
        <w:t xml:space="preserve">S. Di Marco, A. Mazzullo, F. Calzarano, and A. Cesari, “The control of esca: Status and perspectives,” </w:t>
      </w:r>
      <w:r w:rsidRPr="004D611D">
        <w:rPr>
          <w:rFonts w:ascii="Aptos" w:hAnsi="Aptos" w:cs="Times New Roman"/>
          <w:i/>
          <w:iCs/>
          <w:noProof/>
          <w:kern w:val="0"/>
        </w:rPr>
        <w:t>Phytopathol. Mediterr.</w:t>
      </w:r>
      <w:r w:rsidRPr="004D611D">
        <w:rPr>
          <w:rFonts w:ascii="Aptos" w:hAnsi="Aptos" w:cs="Times New Roman"/>
          <w:noProof/>
          <w:kern w:val="0"/>
        </w:rPr>
        <w:t>, vol. 39, no. 1, pp. 232–240, 2000, doi: 10.36253/phyto-4805.</w:t>
      </w:r>
    </w:p>
    <w:p w14:paraId="1FB6F4A5"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[54]</w:t>
      </w:r>
      <w:r w:rsidRPr="004D611D">
        <w:rPr>
          <w:rFonts w:ascii="Aptos" w:hAnsi="Aptos" w:cs="Times New Roman"/>
          <w:noProof/>
          <w:kern w:val="0"/>
        </w:rPr>
        <w:tab/>
        <w:t xml:space="preserve">M. Zhang </w:t>
      </w:r>
      <w:r w:rsidRPr="004D611D">
        <w:rPr>
          <w:rFonts w:ascii="Aptos" w:hAnsi="Aptos" w:cs="Times New Roman"/>
          <w:i/>
          <w:iCs/>
          <w:noProof/>
          <w:kern w:val="0"/>
        </w:rPr>
        <w:t>et al.</w:t>
      </w:r>
      <w:r w:rsidRPr="004D611D">
        <w:rPr>
          <w:rFonts w:ascii="Aptos" w:hAnsi="Aptos" w:cs="Times New Roman"/>
          <w:noProof/>
          <w:kern w:val="0"/>
        </w:rPr>
        <w:t xml:space="preserve">, “Field Evaluation of Chemotherapy on HLB-Affected Citrus Trees With Emphasis on Fruit Yield and Quality,” </w:t>
      </w:r>
      <w:r w:rsidRPr="004D611D">
        <w:rPr>
          <w:rFonts w:ascii="Aptos" w:hAnsi="Aptos" w:cs="Times New Roman"/>
          <w:i/>
          <w:iCs/>
          <w:noProof/>
          <w:kern w:val="0"/>
        </w:rPr>
        <w:t>Front. Plant Sci.</w:t>
      </w:r>
      <w:r w:rsidRPr="004D611D">
        <w:rPr>
          <w:rFonts w:ascii="Aptos" w:hAnsi="Aptos" w:cs="Times New Roman"/>
          <w:noProof/>
          <w:kern w:val="0"/>
        </w:rPr>
        <w:t>, vol. 12, no. February, pp. 1–10, 2021, doi: 10.3389/fpls.2021.611287.</w:t>
      </w:r>
    </w:p>
    <w:p w14:paraId="48D42160"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[55]</w:t>
      </w:r>
      <w:r w:rsidRPr="004D611D">
        <w:rPr>
          <w:rFonts w:ascii="Aptos" w:hAnsi="Aptos" w:cs="Times New Roman"/>
          <w:noProof/>
          <w:kern w:val="0"/>
        </w:rPr>
        <w:tab/>
        <w:t xml:space="preserve">B. M. Cox, H. Wang, and G. Schnabel, “Copper Tolerance in Xanthomonas arboricola pv. pruni in South Carolina Peach Orchards,” </w:t>
      </w:r>
      <w:r w:rsidRPr="004D611D">
        <w:rPr>
          <w:rFonts w:ascii="Aptos" w:hAnsi="Aptos" w:cs="Times New Roman"/>
          <w:i/>
          <w:iCs/>
          <w:noProof/>
          <w:kern w:val="0"/>
        </w:rPr>
        <w:t>Plant Dis.</w:t>
      </w:r>
      <w:r w:rsidRPr="004D611D">
        <w:rPr>
          <w:rFonts w:ascii="Aptos" w:hAnsi="Aptos" w:cs="Times New Roman"/>
          <w:noProof/>
          <w:kern w:val="0"/>
        </w:rPr>
        <w:t>, vol. 106, no. 6, pp. 1626–1631, 2022, doi: 10.1094/PDIS-05-21-1114-RE.</w:t>
      </w:r>
    </w:p>
    <w:p w14:paraId="0D114C00"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[56]</w:t>
      </w:r>
      <w:r w:rsidRPr="004D611D">
        <w:rPr>
          <w:rFonts w:ascii="Aptos" w:hAnsi="Aptos" w:cs="Times New Roman"/>
          <w:noProof/>
          <w:kern w:val="0"/>
        </w:rPr>
        <w:tab/>
        <w:t xml:space="preserve">A. Herbert </w:t>
      </w:r>
      <w:r w:rsidRPr="004D611D">
        <w:rPr>
          <w:rFonts w:ascii="Aptos" w:hAnsi="Aptos" w:cs="Times New Roman"/>
          <w:i/>
          <w:iCs/>
          <w:noProof/>
          <w:kern w:val="0"/>
        </w:rPr>
        <w:t>et al.</w:t>
      </w:r>
      <w:r w:rsidRPr="004D611D">
        <w:rPr>
          <w:rFonts w:ascii="Aptos" w:hAnsi="Aptos" w:cs="Times New Roman"/>
          <w:noProof/>
          <w:kern w:val="0"/>
        </w:rPr>
        <w:t xml:space="preserve">, “Oxytetracycline and Streptomycin Resistance Genes in Xanthomonas arboricola pv. pruni, the Causal Agent of Bacterial Spot in Peach,” </w:t>
      </w:r>
      <w:r w:rsidRPr="004D611D">
        <w:rPr>
          <w:rFonts w:ascii="Aptos" w:hAnsi="Aptos" w:cs="Times New Roman"/>
          <w:i/>
          <w:iCs/>
          <w:noProof/>
          <w:kern w:val="0"/>
        </w:rPr>
        <w:t>Front. Microbiol.</w:t>
      </w:r>
      <w:r w:rsidRPr="004D611D">
        <w:rPr>
          <w:rFonts w:ascii="Aptos" w:hAnsi="Aptos" w:cs="Times New Roman"/>
          <w:noProof/>
          <w:kern w:val="0"/>
        </w:rPr>
        <w:t>, vol. 13, no. February, pp. 1–13, 2022, doi: 10.3389/fmicb.2022.821808.</w:t>
      </w:r>
    </w:p>
    <w:p w14:paraId="6B9D5398"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lastRenderedPageBreak/>
        <w:t>[57]</w:t>
      </w:r>
      <w:r w:rsidRPr="004D611D">
        <w:rPr>
          <w:rFonts w:ascii="Aptos" w:hAnsi="Aptos" w:cs="Times New Roman"/>
          <w:noProof/>
          <w:kern w:val="0"/>
        </w:rPr>
        <w:tab/>
        <w:t xml:space="preserve">A. M. Romero, C. S. Kousik, and D. F. Ritchie, “Resistance to bacterial spot in bell pepper induced by acibenzolar-S-methyl,” </w:t>
      </w:r>
      <w:r w:rsidRPr="004D611D">
        <w:rPr>
          <w:rFonts w:ascii="Aptos" w:hAnsi="Aptos" w:cs="Times New Roman"/>
          <w:i/>
          <w:iCs/>
          <w:noProof/>
          <w:kern w:val="0"/>
        </w:rPr>
        <w:t>Plant Dis.</w:t>
      </w:r>
      <w:r w:rsidRPr="004D611D">
        <w:rPr>
          <w:rFonts w:ascii="Aptos" w:hAnsi="Aptos" w:cs="Times New Roman"/>
          <w:noProof/>
          <w:kern w:val="0"/>
        </w:rPr>
        <w:t>, vol. 85, no. 2, pp. 189–194, 2001, doi: 10.1094/PDIS.2001.85.2.189.</w:t>
      </w:r>
    </w:p>
    <w:p w14:paraId="0D9CE5E2"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[58]</w:t>
      </w:r>
      <w:r w:rsidRPr="004D611D">
        <w:rPr>
          <w:rFonts w:ascii="Aptos" w:hAnsi="Aptos" w:cs="Times New Roman"/>
          <w:noProof/>
          <w:kern w:val="0"/>
        </w:rPr>
        <w:tab/>
        <w:t xml:space="preserve">S. K. R. Yellareddygari, R. J. Taylor, J. S. Pasche, and N. C. Gudmestad, “Quantifying control efficacy of fungicides commonly applied for potato early blight management,” </w:t>
      </w:r>
      <w:r w:rsidRPr="004D611D">
        <w:rPr>
          <w:rFonts w:ascii="Aptos" w:hAnsi="Aptos" w:cs="Times New Roman"/>
          <w:i/>
          <w:iCs/>
          <w:noProof/>
          <w:kern w:val="0"/>
        </w:rPr>
        <w:t>Plant Dis.</w:t>
      </w:r>
      <w:r w:rsidRPr="004D611D">
        <w:rPr>
          <w:rFonts w:ascii="Aptos" w:hAnsi="Aptos" w:cs="Times New Roman"/>
          <w:noProof/>
          <w:kern w:val="0"/>
        </w:rPr>
        <w:t>, vol. 103, no. 11, pp. 2821–2824, 2019, doi: 10.1094/PDIS-03-19-0670-RE.</w:t>
      </w:r>
    </w:p>
    <w:p w14:paraId="572BC5B9"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[59]</w:t>
      </w:r>
      <w:r w:rsidRPr="004D611D">
        <w:rPr>
          <w:rFonts w:ascii="Aptos" w:hAnsi="Aptos" w:cs="Times New Roman"/>
          <w:noProof/>
          <w:kern w:val="0"/>
        </w:rPr>
        <w:tab/>
        <w:t>R. C. Hochmuth, L. L. Leon, and G. J. Hochmuth, “Control in Squash and Muskmelon During the 1998 Season 98-12,” pp. 1–5, 1998.</w:t>
      </w:r>
    </w:p>
    <w:p w14:paraId="454D3401" w14:textId="77777777" w:rsidR="004D611D" w:rsidRPr="004D611D" w:rsidRDefault="004D611D" w:rsidP="004D611D">
      <w:pPr>
        <w:widowControl w:val="0"/>
        <w:autoSpaceDE w:val="0"/>
        <w:autoSpaceDN w:val="0"/>
        <w:adjustRightInd w:val="0"/>
        <w:spacing w:line="240" w:lineRule="auto"/>
        <w:ind w:left="640" w:hanging="640"/>
        <w:rPr>
          <w:rFonts w:ascii="Aptos" w:hAnsi="Aptos" w:cs="Times New Roman"/>
          <w:noProof/>
          <w:kern w:val="0"/>
        </w:rPr>
      </w:pPr>
      <w:r w:rsidRPr="004D611D">
        <w:rPr>
          <w:rFonts w:ascii="Aptos" w:hAnsi="Aptos" w:cs="Times New Roman"/>
          <w:noProof/>
          <w:kern w:val="0"/>
        </w:rPr>
        <w:t>[60]</w:t>
      </w:r>
      <w:r w:rsidRPr="004D611D">
        <w:rPr>
          <w:rFonts w:ascii="Aptos" w:hAnsi="Aptos" w:cs="Times New Roman"/>
          <w:noProof/>
          <w:kern w:val="0"/>
        </w:rPr>
        <w:tab/>
        <w:t xml:space="preserve">S. Zhang, Z. Mersha, G. E. Vallad, and C. H. Huang, “Management of powdery mildew in squash by plant and alga extract biopesticides,” </w:t>
      </w:r>
      <w:r w:rsidRPr="004D611D">
        <w:rPr>
          <w:rFonts w:ascii="Aptos" w:hAnsi="Aptos" w:cs="Times New Roman"/>
          <w:i/>
          <w:iCs/>
          <w:noProof/>
          <w:kern w:val="0"/>
        </w:rPr>
        <w:t>Plant Pathol. J.</w:t>
      </w:r>
      <w:r w:rsidRPr="004D611D">
        <w:rPr>
          <w:rFonts w:ascii="Aptos" w:hAnsi="Aptos" w:cs="Times New Roman"/>
          <w:noProof/>
          <w:kern w:val="0"/>
        </w:rPr>
        <w:t>, vol. 32, no. 6, pp. 528–536, 2016, doi: 10.5423/PPJ.OA.05.2016.0131.</w:t>
      </w:r>
    </w:p>
    <w:p w14:paraId="3DD0F67C" w14:textId="77777777" w:rsidR="004D611D" w:rsidRDefault="004D611D" w:rsidP="004D611D">
      <w:pPr>
        <w:widowControl w:val="0"/>
        <w:autoSpaceDE w:val="0"/>
        <w:autoSpaceDN w:val="0"/>
        <w:adjustRightInd w:val="0"/>
        <w:spacing w:line="240" w:lineRule="auto"/>
        <w:ind w:left="640" w:hanging="640"/>
        <w:rPr>
          <w:rFonts w:ascii="Aptos" w:hAnsi="Aptos" w:cs="Times New Roman"/>
          <w:noProof/>
          <w:kern w:val="0"/>
          <w:rtl/>
        </w:rPr>
      </w:pPr>
      <w:r w:rsidRPr="004D611D">
        <w:rPr>
          <w:rFonts w:ascii="Aptos" w:hAnsi="Aptos" w:cs="Times New Roman"/>
          <w:noProof/>
          <w:kern w:val="0"/>
        </w:rPr>
        <w:t>[61]</w:t>
      </w:r>
      <w:r w:rsidRPr="004D611D">
        <w:rPr>
          <w:rFonts w:ascii="Aptos" w:hAnsi="Aptos" w:cs="Times New Roman"/>
          <w:noProof/>
          <w:kern w:val="0"/>
        </w:rPr>
        <w:tab/>
        <w:t xml:space="preserve">A. Soto-Caro, G. E. Vallad, K. V. Xavier, P. Abrahamian, F. Wu, and Z. Guan, “Managing Bacterial Spot of Tomato: Do Chemical Controls Pay Off?,” </w:t>
      </w:r>
      <w:r w:rsidRPr="004D611D">
        <w:rPr>
          <w:rFonts w:ascii="Aptos" w:hAnsi="Aptos" w:cs="Times New Roman"/>
          <w:i/>
          <w:iCs/>
          <w:noProof/>
          <w:kern w:val="0"/>
        </w:rPr>
        <w:t>Agronomy</w:t>
      </w:r>
      <w:r w:rsidRPr="004D611D">
        <w:rPr>
          <w:rFonts w:ascii="Aptos" w:hAnsi="Aptos" w:cs="Times New Roman"/>
          <w:noProof/>
          <w:kern w:val="0"/>
        </w:rPr>
        <w:t>, vol. 13, no. 4, pp. 1–13, 2023, doi: 10.3390/agronomy13040972.</w:t>
      </w:r>
    </w:p>
    <w:p w14:paraId="5B50DBFF" w14:textId="7355DD7C" w:rsidR="000445DF" w:rsidRDefault="000445DF" w:rsidP="000445DF">
      <w:pPr>
        <w:widowControl w:val="0"/>
        <w:autoSpaceDE w:val="0"/>
        <w:autoSpaceDN w:val="0"/>
        <w:adjustRightInd w:val="0"/>
        <w:spacing w:line="240" w:lineRule="auto"/>
        <w:ind w:left="640" w:hanging="640"/>
        <w:rPr>
          <w:rFonts w:ascii="Aptos" w:hAnsi="Aptos"/>
          <w:noProof/>
        </w:rPr>
      </w:pPr>
      <w:r>
        <w:rPr>
          <w:rFonts w:ascii="Aptos" w:hAnsi="Aptos"/>
          <w:noProof/>
        </w:rPr>
        <w:t xml:space="preserve">[62] </w:t>
      </w:r>
      <w:r w:rsidRPr="000445DF">
        <w:rPr>
          <w:rFonts w:ascii="Aptos" w:hAnsi="Aptos"/>
          <w:noProof/>
        </w:rPr>
        <w:t>- PlantVillage – Plants: https://plantvillage.psu.edu/plants</w:t>
      </w:r>
    </w:p>
    <w:p w14:paraId="4B37F02F" w14:textId="77777777" w:rsidR="000445DF" w:rsidRPr="004D611D" w:rsidRDefault="000445DF" w:rsidP="000445DF">
      <w:pPr>
        <w:widowControl w:val="0"/>
        <w:autoSpaceDE w:val="0"/>
        <w:autoSpaceDN w:val="0"/>
        <w:adjustRightInd w:val="0"/>
        <w:spacing w:line="240" w:lineRule="auto"/>
        <w:ind w:left="640" w:hanging="640"/>
        <w:rPr>
          <w:rFonts w:ascii="Aptos" w:hAnsi="Aptos"/>
          <w:noProof/>
        </w:rPr>
      </w:pPr>
    </w:p>
    <w:p w14:paraId="0BE3C83C" w14:textId="509928D4" w:rsidR="00A14979" w:rsidRPr="00017913" w:rsidRDefault="00796442">
      <w:pPr>
        <w:rPr>
          <w:rtl/>
          <w:lang w:bidi="ar-IQ"/>
        </w:rPr>
      </w:pPr>
      <w:r>
        <w:rPr>
          <w:lang w:bidi="ar-IQ"/>
        </w:rPr>
        <w:fldChar w:fldCharType="end"/>
      </w:r>
    </w:p>
    <w:sectPr w:rsidR="00A14979" w:rsidRPr="000179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116EE" w14:textId="77777777" w:rsidR="00D63A21" w:rsidRDefault="00D63A21" w:rsidP="00B76142">
      <w:pPr>
        <w:spacing w:after="0" w:line="240" w:lineRule="auto"/>
      </w:pPr>
      <w:r>
        <w:separator/>
      </w:r>
    </w:p>
  </w:endnote>
  <w:endnote w:type="continuationSeparator" w:id="0">
    <w:p w14:paraId="63A56928" w14:textId="77777777" w:rsidR="00D63A21" w:rsidRDefault="00D63A21" w:rsidP="00B76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E85D" w14:textId="77777777" w:rsidR="00D63A21" w:rsidRDefault="00D63A21" w:rsidP="00B76142">
      <w:pPr>
        <w:spacing w:after="0" w:line="240" w:lineRule="auto"/>
      </w:pPr>
      <w:r>
        <w:separator/>
      </w:r>
    </w:p>
  </w:footnote>
  <w:footnote w:type="continuationSeparator" w:id="0">
    <w:p w14:paraId="2963CB2A" w14:textId="77777777" w:rsidR="00D63A21" w:rsidRDefault="00D63A21" w:rsidP="00B761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92"/>
    <w:rsid w:val="00017913"/>
    <w:rsid w:val="00040347"/>
    <w:rsid w:val="000445DF"/>
    <w:rsid w:val="003A3E1B"/>
    <w:rsid w:val="004D611D"/>
    <w:rsid w:val="005526BF"/>
    <w:rsid w:val="005A78A6"/>
    <w:rsid w:val="005F4E02"/>
    <w:rsid w:val="0065132C"/>
    <w:rsid w:val="006E0C5B"/>
    <w:rsid w:val="006E4935"/>
    <w:rsid w:val="00796442"/>
    <w:rsid w:val="007D497C"/>
    <w:rsid w:val="00846392"/>
    <w:rsid w:val="00A03B62"/>
    <w:rsid w:val="00A14979"/>
    <w:rsid w:val="00A1622E"/>
    <w:rsid w:val="00A7273A"/>
    <w:rsid w:val="00AF3270"/>
    <w:rsid w:val="00B76142"/>
    <w:rsid w:val="00CA3CA2"/>
    <w:rsid w:val="00D63A21"/>
    <w:rsid w:val="00F3648A"/>
    <w:rsid w:val="00F660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0649"/>
  <w15:chartTrackingRefBased/>
  <w15:docId w15:val="{F436E1A3-C91F-4734-8A8B-7E4C5FE55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392"/>
    <w:rPr>
      <w:rFonts w:eastAsiaTheme="majorEastAsia" w:cstheme="majorBidi"/>
      <w:color w:val="272727" w:themeColor="text1" w:themeTint="D8"/>
    </w:rPr>
  </w:style>
  <w:style w:type="paragraph" w:styleId="Title">
    <w:name w:val="Title"/>
    <w:basedOn w:val="Normal"/>
    <w:next w:val="Normal"/>
    <w:link w:val="TitleChar"/>
    <w:uiPriority w:val="10"/>
    <w:qFormat/>
    <w:rsid w:val="00846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392"/>
    <w:pPr>
      <w:spacing w:before="160"/>
      <w:jc w:val="center"/>
    </w:pPr>
    <w:rPr>
      <w:i/>
      <w:iCs/>
      <w:color w:val="404040" w:themeColor="text1" w:themeTint="BF"/>
    </w:rPr>
  </w:style>
  <w:style w:type="character" w:customStyle="1" w:styleId="QuoteChar">
    <w:name w:val="Quote Char"/>
    <w:basedOn w:val="DefaultParagraphFont"/>
    <w:link w:val="Quote"/>
    <w:uiPriority w:val="29"/>
    <w:rsid w:val="00846392"/>
    <w:rPr>
      <w:i/>
      <w:iCs/>
      <w:color w:val="404040" w:themeColor="text1" w:themeTint="BF"/>
    </w:rPr>
  </w:style>
  <w:style w:type="paragraph" w:styleId="ListParagraph">
    <w:name w:val="List Paragraph"/>
    <w:basedOn w:val="Normal"/>
    <w:uiPriority w:val="34"/>
    <w:qFormat/>
    <w:rsid w:val="00846392"/>
    <w:pPr>
      <w:ind w:left="720"/>
      <w:contextualSpacing/>
    </w:pPr>
  </w:style>
  <w:style w:type="character" w:styleId="IntenseEmphasis">
    <w:name w:val="Intense Emphasis"/>
    <w:basedOn w:val="DefaultParagraphFont"/>
    <w:uiPriority w:val="21"/>
    <w:qFormat/>
    <w:rsid w:val="00846392"/>
    <w:rPr>
      <w:i/>
      <w:iCs/>
      <w:color w:val="0F4761" w:themeColor="accent1" w:themeShade="BF"/>
    </w:rPr>
  </w:style>
  <w:style w:type="paragraph" w:styleId="IntenseQuote">
    <w:name w:val="Intense Quote"/>
    <w:basedOn w:val="Normal"/>
    <w:next w:val="Normal"/>
    <w:link w:val="IntenseQuoteChar"/>
    <w:uiPriority w:val="30"/>
    <w:qFormat/>
    <w:rsid w:val="00846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392"/>
    <w:rPr>
      <w:i/>
      <w:iCs/>
      <w:color w:val="0F4761" w:themeColor="accent1" w:themeShade="BF"/>
    </w:rPr>
  </w:style>
  <w:style w:type="character" w:styleId="IntenseReference">
    <w:name w:val="Intense Reference"/>
    <w:basedOn w:val="DefaultParagraphFont"/>
    <w:uiPriority w:val="32"/>
    <w:qFormat/>
    <w:rsid w:val="00846392"/>
    <w:rPr>
      <w:b/>
      <w:bCs/>
      <w:smallCaps/>
      <w:color w:val="0F4761" w:themeColor="accent1" w:themeShade="BF"/>
      <w:spacing w:val="5"/>
    </w:rPr>
  </w:style>
  <w:style w:type="paragraph" w:styleId="Header">
    <w:name w:val="header"/>
    <w:basedOn w:val="Normal"/>
    <w:link w:val="HeaderChar"/>
    <w:uiPriority w:val="99"/>
    <w:unhideWhenUsed/>
    <w:rsid w:val="00B76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142"/>
  </w:style>
  <w:style w:type="paragraph" w:styleId="Footer">
    <w:name w:val="footer"/>
    <w:basedOn w:val="Normal"/>
    <w:link w:val="FooterChar"/>
    <w:uiPriority w:val="99"/>
    <w:unhideWhenUsed/>
    <w:rsid w:val="00B76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20C466-613C-47D0-AEC8-7D1B94C96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2196</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mariam hussein</cp:lastModifiedBy>
  <cp:revision>4</cp:revision>
  <dcterms:created xsi:type="dcterms:W3CDTF">2026-07-08T06:31:00Z</dcterms:created>
  <dcterms:modified xsi:type="dcterms:W3CDTF">2026-07-08T15:30:00Z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dab1170c-5a2d-3139-b79f-b4bcf51ffecb</vt:lpwstr>
  </property>
  <property fmtid="{D5CDD505-2E9C-101B-9397-08002B2CF9AE}" pid="24" name="Mendeley Citation Style_1">
    <vt:lpwstr>http://www.zotero.org/styles/ieee</vt:lpwstr>
  </property>
</Properties>
</file>