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3660"/>
        <w:gridCol w:w="3930"/>
        <w:tblGridChange w:id="0">
          <w:tblGrid>
            <w:gridCol w:w="1770"/>
            <w:gridCol w:w="3660"/>
            <w:gridCol w:w="39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KNN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SVM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Speed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~ 0.5 -1.5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~ 12 - 19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 scaler(normalizer), pca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scaler(standard scaler)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Feature extraction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Hand-crafted (HOG, LBP, Color Histograms)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And then combine them into one histogram </w:t>
              <w:br w:type="textWrapping"/>
              <w:t xml:space="preserve">And then use PCA to shrink high variance 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Deep Learning Features (VGG16 Embeddings)</w:t>
              <w:br w:type="textWrapping"/>
              <w:t xml:space="preserve">Model learned how to recognize complex patterns and we took the last layer which in 512 vector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Threshold 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_neighbors =5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metric = ‘eucledian’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C= 100,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kernel=’rbf’,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class_weight =’balanced’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Store the entire training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Only stores support vectors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On Augment on whole data : 0.86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When augment on only training data : 0.59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When improving feature extraction (changing hyper parmeter and model parameter) : 0.63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After Using CNN on feature extraction : 0.86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On Augment on whole data : 0.84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When augment on only training data : 0.55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When improving feature extraction (changing hyper parmeter and model parameter) : 0.67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After Using CNN on feature extraction : 0.85</w:t>
            </w:r>
          </w:p>
        </w:tc>
      </w:tr>
    </w:tbl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Final Improved KNN Accuracy :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391150" cy="415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Final improved SVM Accuracy: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85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