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0369A1"/>
          <w:sz w:val="30"/>
        </w:rPr>
        <w:t>UNIVERSIDAD TECNOLÓGICA DE PANAMÁ</w:t>
      </w:r>
    </w:p>
    <w:p>
      <w:pPr>
        <w:jc w:val="center"/>
      </w:pPr>
      <w:r>
        <w:rPr>
          <w:rFonts w:ascii="Arial" w:hAnsi="Arial"/>
          <w:sz w:val="32"/>
        </w:rPr>
        <w:t>Desarrollo Web VII</w:t>
      </w:r>
    </w:p>
    <w:p>
      <w:pPr>
        <w:spacing w:before="560"/>
        <w:jc w:val="center"/>
      </w:pPr>
      <w:r>
        <w:rPr>
          <w:rFonts w:ascii="Arial" w:hAnsi="Arial"/>
          <w:b/>
          <w:color w:val="0F172A"/>
          <w:sz w:val="64"/>
        </w:rPr>
        <w:t>CMDB Integral</w:t>
      </w:r>
    </w:p>
    <w:p>
      <w:pPr>
        <w:jc w:val="center"/>
      </w:pPr>
      <w:r>
        <w:rPr>
          <w:rFonts w:ascii="Arial" w:hAnsi="Arial"/>
          <w:color w:val="475569"/>
          <w:sz w:val="32"/>
        </w:rPr>
        <w:t>Sistema de Gestión de Configuración e Inventario de Hardware y Software</w:t>
      </w:r>
    </w:p>
    <w:p>
      <w:pPr>
        <w:spacing w:before="600"/>
        <w:jc w:val="center"/>
      </w:pPr>
      <w:r>
        <w:rPr>
          <w:rFonts w:ascii="Arial" w:hAnsi="Arial"/>
          <w:b/>
          <w:color w:val="0369A1"/>
          <w:sz w:val="28"/>
        </w:rPr>
        <w:t>Informe de Arquitectura, Diseño, Seguridad y Manual de Usuario</w:t>
      </w:r>
    </w:p>
    <w:p>
      <w:pPr>
        <w:spacing w:before="1200"/>
        <w:jc w:val="center"/>
      </w:pPr>
      <w:r>
        <w:rPr>
          <w:rFonts w:ascii="Arial" w:hAnsi="Arial"/>
          <w:sz w:val="26"/>
        </w:rPr>
        <w:t>Estudiante: Jorge Osorio</w:t>
        <w:br/>
        <w:t>I Semestre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rFonts w:ascii="Arial" w:hAnsi="Arial"/>
          <w:b w:val="0"/>
          <w:i w:val="0"/>
          <w:sz w:val="22"/>
        </w:rPr>
        <w:t>1. Requisitos e infraestructura del sistema</w:t>
      </w:r>
    </w:p>
    <w:p>
      <w:r>
        <w:rPr>
          <w:rFonts w:ascii="Arial" w:hAnsi="Arial"/>
          <w:b w:val="0"/>
          <w:i w:val="0"/>
          <w:sz w:val="22"/>
        </w:rPr>
        <w:t>2. Modelo funcional del sistema</w:t>
      </w:r>
    </w:p>
    <w:p>
      <w:r>
        <w:rPr>
          <w:rFonts w:ascii="Arial" w:hAnsi="Arial"/>
          <w:b w:val="0"/>
          <w:i w:val="0"/>
          <w:sz w:val="22"/>
        </w:rPr>
        <w:t>3. Modelo estructural y arquitectura MVC</w:t>
      </w:r>
    </w:p>
    <w:p>
      <w:r>
        <w:rPr>
          <w:rFonts w:ascii="Arial" w:hAnsi="Arial"/>
          <w:b w:val="0"/>
          <w:i w:val="0"/>
          <w:sz w:val="22"/>
        </w:rPr>
        <w:t>4. Modelo dinámico del sistema</w:t>
      </w:r>
    </w:p>
    <w:p>
      <w:r>
        <w:rPr>
          <w:rFonts w:ascii="Arial" w:hAnsi="Arial"/>
          <w:b w:val="0"/>
          <w:i w:val="0"/>
          <w:sz w:val="22"/>
        </w:rPr>
        <w:t>5. Diseño y persistencia de base de datos</w:t>
      </w:r>
    </w:p>
    <w:p>
      <w:r>
        <w:rPr>
          <w:rFonts w:ascii="Arial" w:hAnsi="Arial"/>
          <w:b w:val="0"/>
          <w:i w:val="0"/>
          <w:sz w:val="22"/>
        </w:rPr>
        <w:t>6. Seguridad, calidad y requisitos no funcionales</w:t>
      </w:r>
    </w:p>
    <w:p>
      <w:r>
        <w:rPr>
          <w:rFonts w:ascii="Arial" w:hAnsi="Arial"/>
          <w:b w:val="0"/>
          <w:i w:val="0"/>
          <w:sz w:val="22"/>
        </w:rPr>
        <w:t>7. Manual de usuario operativo</w:t>
      </w:r>
    </w:p>
    <w:p>
      <w:r>
        <w:rPr>
          <w:rFonts w:ascii="Arial" w:hAnsi="Arial"/>
          <w:b w:val="0"/>
          <w:i w:val="0"/>
          <w:sz w:val="22"/>
        </w:rPr>
        <w:t>8. Requisitos de instalación, credenciales y entrega</w:t>
      </w:r>
    </w:p>
    <w:p>
      <w:r>
        <w:br w:type="page"/>
      </w:r>
    </w:p>
    <w:p>
      <w:pPr>
        <w:pStyle w:val="Heading1"/>
      </w:pPr>
      <w:r>
        <w:t>1. Requisitos e infraestructura del sistema</w:t>
      </w:r>
    </w:p>
    <w:p>
      <w:pPr>
        <w:pStyle w:val="Heading2"/>
      </w:pPr>
      <w:r>
        <w:t>1.1 Descripción general</w:t>
      </w:r>
    </w:p>
    <w:p>
      <w:r>
        <w:rPr>
          <w:rFonts w:ascii="Arial" w:hAnsi="Arial"/>
          <w:b w:val="0"/>
          <w:i w:val="0"/>
          <w:sz w:val="22"/>
        </w:rPr>
        <w:t>CMDB Integral es una aplicación web para administrar el inventario tecnológico de una organización. El sistema registra hardware, software, licencias, colaboradores, asignaciones, estados de los activos, depreciación y solicitudes internas. Su propósito es mantener trazabilidad sobre quién posee cada equipo, dónde se encuentra, cuál es su estado y si se han realizado cambios de forma segura.</w:t>
      </w:r>
    </w:p>
    <w:p>
      <w:pPr>
        <w:pStyle w:val="Heading2"/>
      </w:pPr>
      <w:r>
        <w:t>1.2 Entorno de desarrollo local</w:t>
      </w:r>
    </w:p>
    <w:p>
      <w:pPr>
        <w:pStyle w:val="ListBullet"/>
      </w:pPr>
      <w:r>
        <w:rPr>
          <w:rFonts w:ascii="Arial" w:hAnsi="Arial"/>
          <w:sz w:val="22"/>
        </w:rPr>
        <w:t>Sistema operativo: Windows 10/11.</w:t>
      </w:r>
    </w:p>
    <w:p>
      <w:pPr>
        <w:pStyle w:val="ListBullet"/>
      </w:pPr>
      <w:r>
        <w:rPr>
          <w:rFonts w:ascii="Arial" w:hAnsi="Arial"/>
          <w:sz w:val="22"/>
        </w:rPr>
        <w:t>Servidor local: WampServer con Apache y mod_rewrite habilitado.</w:t>
      </w:r>
    </w:p>
    <w:p>
      <w:pPr>
        <w:pStyle w:val="ListBullet"/>
      </w:pPr>
      <w:r>
        <w:rPr>
          <w:rFonts w:ascii="Arial" w:hAnsi="Arial"/>
          <w:sz w:val="22"/>
        </w:rPr>
        <w:t>Lenguaje: PHP 8.1 o superior.</w:t>
      </w:r>
    </w:p>
    <w:p>
      <w:pPr>
        <w:pStyle w:val="ListBullet"/>
      </w:pPr>
      <w:r>
        <w:rPr>
          <w:rFonts w:ascii="Arial" w:hAnsi="Arial"/>
          <w:sz w:val="22"/>
        </w:rPr>
        <w:t>Base de datos: MySQL o MariaDB mediante phpMyAdmin.</w:t>
      </w:r>
    </w:p>
    <w:p>
      <w:pPr>
        <w:pStyle w:val="ListBullet"/>
      </w:pPr>
      <w:r>
        <w:rPr>
          <w:rFonts w:ascii="Arial" w:hAnsi="Arial"/>
          <w:sz w:val="22"/>
        </w:rPr>
        <w:t>Extensiones PHP: PDO MySQL, OpenSSL, Fileinfo y GD opcional para miniaturas.</w:t>
      </w:r>
    </w:p>
    <w:p>
      <w:pPr>
        <w:pStyle w:val="ListBullet"/>
      </w:pPr>
      <w:r>
        <w:rPr>
          <w:rFonts w:ascii="Arial" w:hAnsi="Arial"/>
          <w:sz w:val="22"/>
        </w:rPr>
        <w:t>Navegadores recomendados: Google Chrome o Microsoft Edge.</w:t>
      </w:r>
    </w:p>
    <w:p>
      <w:pPr>
        <w:pStyle w:val="Heading2"/>
      </w:pPr>
      <w:r>
        <w:t>1.3 Entorno de producción o simulación</w:t>
      </w:r>
    </w:p>
    <w:p>
      <w:r>
        <w:rPr>
          <w:rFonts w:ascii="Arial" w:hAnsi="Arial"/>
          <w:b w:val="0"/>
          <w:i w:val="0"/>
          <w:sz w:val="22"/>
        </w:rPr>
        <w:t>En producción, la carpeta pública debe ser el DocumentRoot del servidor web, las credenciales de la base de datos deben residir fuera del repositorio y la clave de integridad HMAC debe configurarse como variable de entorno. El envío de recuperación de contraseña debe reemplazarse por un proveedor SMTP real.</w:t>
      </w:r>
    </w:p>
    <w:p>
      <w:pPr>
        <w:pStyle w:val="Heading2"/>
      </w:pPr>
      <w:r>
        <w:t>1.4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968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Autenticar usuarios con contraseña hasheada y permitir máximo tres intentos fallidos antes de bloquear la cuenta.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Registrar usuarios administrativos, operadores y colaboradores; aplicar baja lógica sin eliminar historiales.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Registrar categorías, colaboradores, activos de hardware, software y licencias.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Almacenar imágenes, miniatura, costo, serie, fecha de ingreso, vida útil y estado de los activos.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Asignar y devolver equipos; consultar responsable, departamento, ubicación, IP y fecha de custodia.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Gestionar activos dañados, de descarte, donados, disponibles y en mantenimiento.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Registrar solicitudes de equipos, software y licencias desde el Portal del Colaborador.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Generar reportes Excel de inventario y responsables de equipos.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Registrar bitácora de auditoría, intentos de login e historial de accesos al portal.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RF-10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Publicar noticias de hardware, software y buenas prácticas de inventario.</w:t>
            </w:r>
          </w:p>
        </w:tc>
      </w:tr>
    </w:tbl>
    <w:p>
      <w:r>
        <w:br w:type="page"/>
      </w:r>
    </w:p>
    <w:p>
      <w:pPr>
        <w:pStyle w:val="Heading1"/>
      </w:pPr>
      <w:r>
        <w:t>2. Modelo funcional del sistema</w:t>
      </w:r>
    </w:p>
    <w:p>
      <w:pPr>
        <w:pStyle w:val="Heading2"/>
      </w:pPr>
      <w:r>
        <w:t>2.1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968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Responsabilidades principales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 total de usuarios, bitácora, categorías, inventario, asignaciones, necesidades, noticias y reportes.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y operación de inventario, colaboradores, asignaciones y reportes según permisos.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Colaborador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sus activos en custodia, solicita necesidades, consulta historial y cambia contraseña.</w:t>
            </w:r>
          </w:p>
        </w:tc>
      </w:tr>
    </w:tbl>
    <w:p>
      <w:r>
        <w:br w:type="page"/>
      </w:r>
    </w:p>
    <w:p>
      <w:pPr>
        <w:pStyle w:val="Heading2"/>
      </w:pPr>
      <w:r>
        <w:t>2.2 Casos de uso identificados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9955" cy="4389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955" cy="438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8"/>
        </w:rPr>
        <w:t>Figura 1. Diagrama de casos de uso de CMDB Integral.</w:t>
      </w:r>
    </w:p>
    <w:p>
      <w:pPr>
        <w:pStyle w:val="Heading2"/>
      </w:pPr>
      <w:r>
        <w:t>2.3 Descripción de casos de uso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Flujo resumido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Reglas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Iniciar sesión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usuario ingresa correo/usuario y contraseña; el sistema valida CSRF, busca la cuenta y verifica BCRYPT.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Tres fallos consecutivos bloquean la cuenta y se registra IP, fecha, resultado y motivo.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Registrar activo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administrador registra datos del equipo, fotografía, estado y vida útil.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serie es única. Se firma con HMAC usando serie, tipo, estado y fecha de ingreso.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Asignar equipo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selecciona un activo disponible y un colaborador.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crea custodia activa y el activo cambia a ASIGNADO.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Solicitar necesidad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 colaborador crea solicitud desde su portal.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administrador puede dejarla pendiente, en revisión, atendida o cancelada.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Generar reporte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usuario autorizado solicita reporte de inventario o asignaciones.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sistema produce archivo Excel compatible .xls con datos actuales.</w:t>
            </w:r>
          </w:p>
        </w:tc>
      </w:tr>
    </w:tbl>
    <w:p>
      <w:r>
        <w:br w:type="page"/>
      </w:r>
    </w:p>
    <w:p>
      <w:pPr>
        <w:pStyle w:val="Heading1"/>
      </w:pPr>
      <w:r>
        <w:t>3. Modelo estructural y arquitectura MVC</w:t>
      </w:r>
    </w:p>
    <w:p>
      <w:pPr>
        <w:pStyle w:val="Heading2"/>
      </w:pPr>
      <w:r>
        <w:t>3.1 Organización de carpetas</w:t>
      </w:r>
    </w:p>
    <w:p>
      <w:r>
        <w:rPr>
          <w:rFonts w:ascii="Arial" w:hAnsi="Arial"/>
          <w:b w:val="0"/>
          <w:i w:val="0"/>
          <w:sz w:val="22"/>
        </w:rPr>
        <w:t>El proyecto utiliza el patrón Modelo-Vista-Controlador. Las vistas presentan formularios y tablas; los controladores coordinan los casos de uso; los modelos encapsulan consultas PDO; las clases Core concentran seguridad, errores, firmas y respuestas. Esta organización evita duplicidad y permite extender cada módulo sin mezclar responsabilidades.</w:t>
      </w:r>
    </w:p>
    <w:p>
      <w:r>
        <w:rPr>
          <w:rFonts w:ascii="Consolas" w:hAnsi="Consolas"/>
          <w:sz w:val="18"/>
        </w:rPr>
        <w:t>app/</w:t>
        <w:br/>
        <w:t>├── Config/       Configuración de entorno y base de datos.</w:t>
        <w:br/>
        <w:t>├── Core/         Database, Router, Csrf, Auth, Validator, Sanitizer, IntegritySigner, ErrorHandler.</w:t>
        <w:br/>
        <w:t>├── Controllers/  Controladores por módulo.</w:t>
        <w:br/>
        <w:t>├── Models/       Operaciones de las tablas y consultas PDO.</w:t>
        <w:br/>
        <w:t>└── Views/        Pantallas, formularios y layout.</w:t>
        <w:br/>
        <w:t>public/           Front Controller, assets y uploads.</w:t>
        <w:br/>
        <w:t>database/         Backup SQL y datos semilla.</w:t>
        <w:br/>
        <w:t>docs/             Informe, manual y diagramas UML.</w:t>
      </w:r>
    </w:p>
    <w:p>
      <w:pPr>
        <w:pStyle w:val="Heading2"/>
      </w:pPr>
      <w:r>
        <w:t>3.2 Clases y atributos principales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95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9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8"/>
        </w:rPr>
        <w:t>Figura 2. Clases principales y relaciones de responsabilidad.</w:t>
      </w:r>
    </w:p>
    <w:p>
      <w:pPr>
        <w:pStyle w:val="Heading2"/>
      </w:pPr>
      <w:r>
        <w:t>3.3 Aplicación de SOLID y DRY</w:t>
      </w:r>
    </w:p>
    <w:p>
      <w:pPr>
        <w:pStyle w:val="ListBullet"/>
      </w:pPr>
      <w:r>
        <w:rPr>
          <w:rFonts w:ascii="Arial" w:hAnsi="Arial"/>
          <w:sz w:val="22"/>
        </w:rPr>
        <w:t>Responsabilidad Única: `Validator` valida; `Sanitizer` limpia; `IntegritySigner` firma; cada modelo opera su entidad.</w:t>
      </w:r>
    </w:p>
    <w:p>
      <w:pPr>
        <w:pStyle w:val="ListBullet"/>
      </w:pPr>
      <w:r>
        <w:rPr>
          <w:rFonts w:ascii="Arial" w:hAnsi="Arial"/>
          <w:sz w:val="22"/>
        </w:rPr>
        <w:t>Abierto/Cerrado: las reglas de seguridad pueden ampliarse mediante servicios sin modificar todas las vistas.</w:t>
      </w:r>
    </w:p>
    <w:p>
      <w:pPr>
        <w:pStyle w:val="ListBullet"/>
      </w:pPr>
      <w:r>
        <w:rPr>
          <w:rFonts w:ascii="Arial" w:hAnsi="Arial"/>
          <w:sz w:val="22"/>
        </w:rPr>
        <w:t>Inversión de dependencias: los controladores dependen de modelos y de la clase `Database`, no contienen SQL crudo.</w:t>
      </w:r>
    </w:p>
    <w:p>
      <w:pPr>
        <w:pStyle w:val="ListBullet"/>
      </w:pPr>
      <w:r>
        <w:rPr>
          <w:rFonts w:ascii="Arial" w:hAnsi="Arial"/>
          <w:sz w:val="22"/>
        </w:rPr>
        <w:t>DRY: el token CSRF, la conexión PDO, la bitácora, la exportación Excel y el manejo de errores se implementan una sola vez.</w:t>
      </w:r>
    </w:p>
    <w:p>
      <w:pPr>
        <w:pStyle w:val="ListBullet"/>
      </w:pPr>
      <w:r>
        <w:rPr>
          <w:rFonts w:ascii="Arial" w:hAnsi="Arial"/>
          <w:sz w:val="22"/>
        </w:rPr>
        <w:t>Interfaz de errores: `ErrorRendererInterface` y `WebErrorRenderer` separan el contrato del mecanismo de presentación del error.</w:t>
      </w:r>
    </w:p>
    <w:p>
      <w:r>
        <w:br w:type="page"/>
      </w:r>
    </w:p>
    <w:p>
      <w:pPr>
        <w:pStyle w:val="Heading1"/>
      </w:pPr>
      <w:r>
        <w:t>4. Modelo dinámico del sistema</w:t>
      </w:r>
    </w:p>
    <w:p>
      <w:pPr>
        <w:pStyle w:val="Heading2"/>
      </w:pPr>
      <w:r>
        <w:t>4.1 Diagrama de estados de la cuenta</w:t>
      </w:r>
    </w:p>
    <w:p>
      <w:r>
        <w:rPr>
          <w:rFonts w:ascii="Arial" w:hAnsi="Arial"/>
          <w:b w:val="0"/>
          <w:i w:val="0"/>
          <w:sz w:val="22"/>
        </w:rPr>
        <w:t>La política de autenticación mantiene el estado ACTIVO mientras la credencial sea válida. Cada fallo incrementa el contador y el tercer fallo desplaza la cuenta a BLOQUEADO. El administrador o un token de recuperación puede restablecer el acceso y reiniciar el contador.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38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8"/>
        </w:rPr>
        <w:t>Figura 3. Diagrama de estados de autenticación y bloqueo.</w:t>
      </w:r>
    </w:p>
    <w:p>
      <w:pPr>
        <w:pStyle w:val="Heading2"/>
      </w:pPr>
      <w:r>
        <w:t>4.2 Diagrama de secuencia del inicio de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1182" cy="3840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1182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8"/>
        </w:rPr>
        <w:t>Figura 4. Secuencia HTTP POST de login con validación CSRF, modelo y base de datos.</w:t>
      </w:r>
    </w:p>
    <w:p>
      <w:r>
        <w:rPr>
          <w:rFonts w:ascii="Arial" w:hAnsi="Arial"/>
          <w:b w:val="0"/>
          <w:i w:val="0"/>
          <w:sz w:val="22"/>
        </w:rPr>
        <w:t>La secuencia no permite que la vista acceda directamente a la base de datos. La solicitud pasa por el controlador, validación, modelo y PDO; después se construye la sesión o el mensaje de error.</w:t>
      </w:r>
    </w:p>
    <w:p>
      <w:r>
        <w:br w:type="page"/>
      </w:r>
    </w:p>
    <w:p>
      <w:pPr>
        <w:pStyle w:val="Heading1"/>
      </w:pPr>
      <w:r>
        <w:t>5. Diseño y persistencia de base de datos</w:t>
      </w:r>
    </w:p>
    <w:p>
      <w:pPr>
        <w:pStyle w:val="Heading2"/>
      </w:pPr>
      <w:r>
        <w:t>5.1 Diagrama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7133" cy="4206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7133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8"/>
        </w:rPr>
        <w:t>Figura 5. Diagrama de entidad-relación de CMDB Integral.</w:t>
      </w:r>
    </w:p>
    <w:p>
      <w:pPr>
        <w:pStyle w:val="Heading2"/>
      </w:pPr>
      <w:r>
        <w:t>5.2 Diccionario de datos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Tabla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Campos relevantes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Cuentas de acceso del sistema.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id, colaborador_id, nombre_usuario, email, password_hash, rol, activo, estado_cuenta, intentos_fallidos.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colaboradores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Datos de las personas responsables de los activos.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identificacion única, departamento, ubicación, foto, teléfono, correo.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categorias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 de hardware y software.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nombre, tipo, descripción, activo.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inventario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Activos y licencias de la CMDB.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código, serie única, costo, fecha, vida útil, estado, imagen, firma_integridad.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asignaciones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Historial de custodia de activos.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inventario_id, colaborador_id, fecha, IP, estado.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necesidades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Solicitudes tecnológicas del colaborador.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tipo_necesidad, prioridad, estado, comentario de resolución.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bitacora / intentos_login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Auditoría operativa y seguridad.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usuario, módulo, acción, IP, éxito, motivo, fecha.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password_resets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Recuperación segura de contraseña.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token_hash, expiración, usado.</w:t>
            </w:r>
          </w:p>
        </w:tc>
      </w:tr>
    </w:tbl>
    <w:p>
      <w:pPr>
        <w:pStyle w:val="Heading2"/>
      </w:pPr>
      <w:r>
        <w:t>5.3 Firma digital de integridad</w:t>
      </w:r>
    </w:p>
    <w:p>
      <w:r>
        <w:rPr>
          <w:rFonts w:ascii="Arial" w:hAnsi="Arial"/>
          <w:b w:val="0"/>
          <w:i w:val="0"/>
          <w:sz w:val="22"/>
        </w:rPr>
        <w:t>Cada activo se firma en el backend con HMAC SHA-256 usando la concatenación de `serie + tipo_activo + estado + fecha_ingreso`. La firma se almacena en `inventario.firma_integridad`. Cuando se consulta el detalle, el sistema recalcula la firma y compara el resultado con `hash_equals()`. Una modificación directa en phpMyAdmin de los campos protegidos genera una alerta de integridad.</w:t>
      </w:r>
    </w:p>
    <w:p>
      <w:pPr>
        <w:pStyle w:val="Heading2"/>
      </w:pPr>
      <w:r>
        <w:t>5.4 Script de base de datos</w:t>
      </w:r>
    </w:p>
    <w:p>
      <w:r>
        <w:rPr>
          <w:rFonts w:ascii="Arial" w:hAnsi="Arial"/>
          <w:b w:val="0"/>
          <w:i w:val="0"/>
          <w:sz w:val="22"/>
        </w:rPr>
        <w:t>El backup completo, incluyendo estructura, relaciones, índices, usuarios de prueba y datos semilla, se encuentra en `database/cmdb_integral.sql`. Este archivo debe estar versionado en GitHub.</w:t>
      </w:r>
    </w:p>
    <w:p>
      <w:pPr>
        <w:pStyle w:val="Heading1"/>
      </w:pPr>
      <w:r>
        <w:t>6. Seguridad, calidad y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RNF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Descripción / criterio de aceptación</w:t>
            </w:r>
          </w:p>
        </w:tc>
        <w:tc>
          <w:tcPr>
            <w:tcW w:type="dxa" w:w="3312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Evidencia en código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Mitigación OWASP: CSRF obligatorio para formularios de escritura y PDO con consultas preparadas.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Csrf::validate(), Database::prepare(), Controller::csrf().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Minimizar duplicidad de código con componentes globales reutilizables.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Database, Validator, Sanitizer, AuditLog, ExcelExporter, layout común.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Arquitectura OOP escalable bajo SOLID.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MVC, modelos por tabla, controladores por caso de uso e interfaz de errores.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Bloqueo por fuerza bruta tras 3 intentos y bitácora de cada login.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User::recordFailure(), intentos_login, AuditLog::loginAttempt().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Contraseñas con longitud de 8 a 12 y complejidad mínima.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Validator::password() y BCRYPT.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RNF-06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Integridad y no repudio de activos CMDB mediante firmas digitales.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IntegritySigner::sign() e IntegritySigner::verify().</w:t>
            </w:r>
          </w:p>
        </w:tc>
      </w:tr>
    </w:tbl>
    <w:p>
      <w:r>
        <w:br w:type="page"/>
      </w:r>
    </w:p>
    <w:p>
      <w:pPr>
        <w:pStyle w:val="Heading1"/>
      </w:pPr>
      <w:r>
        <w:t>7. Manual de usuario operativo</w:t>
      </w:r>
    </w:p>
    <w:p>
      <w:pPr>
        <w:pStyle w:val="Heading2"/>
      </w:pPr>
      <w:r>
        <w:t>7.1 Administrador</w:t>
      </w:r>
    </w:p>
    <w:p>
      <w:pPr>
        <w:pStyle w:val="ListBullet"/>
      </w:pPr>
      <w:r>
        <w:rPr>
          <w:rFonts w:ascii="Arial" w:hAnsi="Arial"/>
          <w:sz w:val="22"/>
        </w:rPr>
        <w:t>Iniciar sesión con `admin@cmdb.local / Admin123*`.</w:t>
      </w:r>
    </w:p>
    <w:p>
      <w:pPr>
        <w:pStyle w:val="ListBullet"/>
      </w:pPr>
      <w:r>
        <w:rPr>
          <w:rFonts w:ascii="Arial" w:hAnsi="Arial"/>
          <w:sz w:val="22"/>
        </w:rPr>
        <w:t>Registrar categorías y colaboradores antes de cargar nuevos activos.</w:t>
      </w:r>
    </w:p>
    <w:p>
      <w:pPr>
        <w:pStyle w:val="ListBullet"/>
      </w:pPr>
      <w:r>
        <w:rPr>
          <w:rFonts w:ascii="Arial" w:hAnsi="Arial"/>
          <w:sz w:val="22"/>
        </w:rPr>
        <w:t>Desde Inventario, usar “Registrar activo” para cargar equipo, serie, costo, fotografía, estado y vida útil.</w:t>
      </w:r>
    </w:p>
    <w:p>
      <w:pPr>
        <w:pStyle w:val="ListBullet"/>
      </w:pPr>
      <w:r>
        <w:rPr>
          <w:rFonts w:ascii="Arial" w:hAnsi="Arial"/>
          <w:sz w:val="22"/>
        </w:rPr>
        <w:t>Desde Asignaciones, seleccionar un activo disponible y el colaborador responsable.</w:t>
      </w:r>
    </w:p>
    <w:p>
      <w:pPr>
        <w:pStyle w:val="ListBullet"/>
      </w:pPr>
      <w:r>
        <w:rPr>
          <w:rFonts w:ascii="Arial" w:hAnsi="Arial"/>
          <w:sz w:val="22"/>
        </w:rPr>
        <w:t>Desde Necesidades, responder solicitudes con los estados Pendiente, En revisión, Atendida o Cancelada.</w:t>
      </w:r>
    </w:p>
    <w:p>
      <w:pPr>
        <w:pStyle w:val="ListBullet"/>
      </w:pPr>
      <w:r>
        <w:rPr>
          <w:rFonts w:ascii="Arial" w:hAnsi="Arial"/>
          <w:sz w:val="22"/>
        </w:rPr>
        <w:t>Desde Reportes, descargar el inventario y el reporte de responsables en Excel.</w:t>
      </w:r>
    </w:p>
    <w:p>
      <w:pPr>
        <w:pStyle w:val="ListBullet"/>
      </w:pPr>
      <w:r>
        <w:rPr>
          <w:rFonts w:ascii="Arial" w:hAnsi="Arial"/>
          <w:sz w:val="22"/>
        </w:rPr>
        <w:t>Desde Bitácora, revisar las acciones y eventos de seguridad.</w:t>
      </w:r>
    </w:p>
    <w:p>
      <w:pPr>
        <w:pStyle w:val="Heading2"/>
      </w:pPr>
      <w:r>
        <w:t>7.2 Colaborador</w:t>
      </w:r>
    </w:p>
    <w:p>
      <w:pPr>
        <w:pStyle w:val="ListBullet"/>
      </w:pPr>
      <w:r>
        <w:rPr>
          <w:rFonts w:ascii="Arial" w:hAnsi="Arial"/>
          <w:sz w:val="22"/>
        </w:rPr>
        <w:t>Iniciar sesión con `sofia.martinez@cmdb.local / Colab123*`.</w:t>
      </w:r>
    </w:p>
    <w:p>
      <w:pPr>
        <w:pStyle w:val="ListBullet"/>
      </w:pPr>
      <w:r>
        <w:rPr>
          <w:rFonts w:ascii="Arial" w:hAnsi="Arial"/>
          <w:sz w:val="22"/>
        </w:rPr>
        <w:t>Entrar a “Mi portal” para consultar los equipos bajo su responsabilidad.</w:t>
      </w:r>
    </w:p>
    <w:p>
      <w:pPr>
        <w:pStyle w:val="ListBullet"/>
      </w:pPr>
      <w:r>
        <w:rPr>
          <w:rFonts w:ascii="Arial" w:hAnsi="Arial"/>
          <w:sz w:val="22"/>
        </w:rPr>
        <w:t>Crear una necesidad de equipo, software o licencia.</w:t>
      </w:r>
    </w:p>
    <w:p>
      <w:pPr>
        <w:pStyle w:val="ListBullet"/>
      </w:pPr>
      <w:r>
        <w:rPr>
          <w:rFonts w:ascii="Arial" w:hAnsi="Arial"/>
          <w:sz w:val="22"/>
        </w:rPr>
        <w:t>Consultar el estado de las solicitudes.</w:t>
      </w:r>
    </w:p>
    <w:p>
      <w:pPr>
        <w:pStyle w:val="ListBullet"/>
      </w:pPr>
      <w:r>
        <w:rPr>
          <w:rFonts w:ascii="Arial" w:hAnsi="Arial"/>
          <w:sz w:val="22"/>
        </w:rPr>
        <w:t>Cambiar la contraseña desde el Portal o usar el enlace de recuperación.</w:t>
      </w:r>
    </w:p>
    <w:p>
      <w:pPr>
        <w:pStyle w:val="Heading2"/>
      </w:pPr>
      <w:r>
        <w:t>7.3 Evidencias que deben agregarse al informe final</w:t>
      </w:r>
    </w:p>
    <w:p>
      <w:pPr>
        <w:pStyle w:val="ListBullet"/>
      </w:pPr>
      <w:r>
        <w:rPr>
          <w:rFonts w:ascii="Arial" w:hAnsi="Arial"/>
          <w:sz w:val="22"/>
        </w:rPr>
        <w:t>[CAPTURA 1] Login exitoso y dashboard.</w:t>
      </w:r>
    </w:p>
    <w:p>
      <w:pPr>
        <w:pStyle w:val="ListBullet"/>
      </w:pPr>
      <w:r>
        <w:rPr>
          <w:rFonts w:ascii="Arial" w:hAnsi="Arial"/>
          <w:sz w:val="22"/>
        </w:rPr>
        <w:t>[CAPTURA 2] Prueba de bloqueo después del tercer intento fallido.</w:t>
      </w:r>
    </w:p>
    <w:p>
      <w:pPr>
        <w:pStyle w:val="ListBullet"/>
      </w:pPr>
      <w:r>
        <w:rPr>
          <w:rFonts w:ascii="Arial" w:hAnsi="Arial"/>
          <w:sz w:val="22"/>
        </w:rPr>
        <w:t>[CAPTURA 3] Registro de colaborador y fotografía.</w:t>
      </w:r>
    </w:p>
    <w:p>
      <w:pPr>
        <w:pStyle w:val="ListBullet"/>
      </w:pPr>
      <w:r>
        <w:rPr>
          <w:rFonts w:ascii="Arial" w:hAnsi="Arial"/>
          <w:sz w:val="22"/>
        </w:rPr>
        <w:t>[CAPTURA 4] Registro de activo con imagen principal y miniatura.</w:t>
      </w:r>
    </w:p>
    <w:p>
      <w:pPr>
        <w:pStyle w:val="ListBullet"/>
      </w:pPr>
      <w:r>
        <w:rPr>
          <w:rFonts w:ascii="Arial" w:hAnsi="Arial"/>
          <w:sz w:val="22"/>
        </w:rPr>
        <w:t>[CAPTURA 5] Detalle de activo mostrando firma válida.</w:t>
      </w:r>
    </w:p>
    <w:p>
      <w:pPr>
        <w:pStyle w:val="ListBullet"/>
      </w:pPr>
      <w:r>
        <w:rPr>
          <w:rFonts w:ascii="Arial" w:hAnsi="Arial"/>
          <w:sz w:val="22"/>
        </w:rPr>
        <w:t>[CAPTURA 6] Asignación de un equipo a un colaborador.</w:t>
      </w:r>
    </w:p>
    <w:p>
      <w:pPr>
        <w:pStyle w:val="ListBullet"/>
      </w:pPr>
      <w:r>
        <w:rPr>
          <w:rFonts w:ascii="Arial" w:hAnsi="Arial"/>
          <w:sz w:val="22"/>
        </w:rPr>
        <w:t>[CAPTURA 7] Portal del colaborador con equipos asignados.</w:t>
      </w:r>
    </w:p>
    <w:p>
      <w:pPr>
        <w:pStyle w:val="ListBullet"/>
      </w:pPr>
      <w:r>
        <w:rPr>
          <w:rFonts w:ascii="Arial" w:hAnsi="Arial"/>
          <w:sz w:val="22"/>
        </w:rPr>
        <w:t>[CAPTURA 8] Solicitud de necesidad creada desde el portal.</w:t>
      </w:r>
    </w:p>
    <w:p>
      <w:pPr>
        <w:pStyle w:val="ListBullet"/>
      </w:pPr>
      <w:r>
        <w:rPr>
          <w:rFonts w:ascii="Arial" w:hAnsi="Arial"/>
          <w:sz w:val="22"/>
        </w:rPr>
        <w:t>[CAPTURA 9] Reporte descargado en Excel.</w:t>
      </w:r>
    </w:p>
    <w:p>
      <w:pPr>
        <w:pStyle w:val="ListBullet"/>
      </w:pPr>
      <w:r>
        <w:rPr>
          <w:rFonts w:ascii="Arial" w:hAnsi="Arial"/>
          <w:sz w:val="22"/>
        </w:rPr>
        <w:t>[CAPTURA 10] Bitácora de auditoría.</w:t>
      </w:r>
    </w:p>
    <w:p>
      <w:r>
        <w:br w:type="page"/>
      </w:r>
    </w:p>
    <w:p>
      <w:pPr>
        <w:pStyle w:val="Heading1"/>
      </w:pPr>
      <w:r>
        <w:t>8. Requisitos de instalación, credenciales y entrega</w:t>
      </w:r>
    </w:p>
    <w:p>
      <w:pPr>
        <w:pStyle w:val="Heading2"/>
      </w:pPr>
      <w:r>
        <w:t>8.1 Instalación</w:t>
      </w:r>
    </w:p>
    <w:p>
      <w:pPr>
        <w:pStyle w:val="ListBullet"/>
      </w:pPr>
      <w:r>
        <w:rPr>
          <w:rFonts w:ascii="Arial" w:hAnsi="Arial"/>
          <w:sz w:val="22"/>
        </w:rPr>
        <w:t>Copiar la carpeta del proyecto dentro de `C:\wamp64\www\CMDB_Semestral`.</w:t>
      </w:r>
    </w:p>
    <w:p>
      <w:pPr>
        <w:pStyle w:val="ListBullet"/>
      </w:pPr>
      <w:r>
        <w:rPr>
          <w:rFonts w:ascii="Arial" w:hAnsi="Arial"/>
          <w:sz w:val="22"/>
        </w:rPr>
        <w:t>Abrir phpMyAdmin y ejecutar `database/cmdb_integral.sql`.</w:t>
      </w:r>
    </w:p>
    <w:p>
      <w:pPr>
        <w:pStyle w:val="ListBullet"/>
      </w:pPr>
      <w:r>
        <w:rPr>
          <w:rFonts w:ascii="Arial" w:hAnsi="Arial"/>
          <w:sz w:val="22"/>
        </w:rPr>
        <w:t>Revisar la conexión en `app/Config/config.php`.</w:t>
      </w:r>
    </w:p>
    <w:p>
      <w:pPr>
        <w:pStyle w:val="ListBullet"/>
      </w:pPr>
      <w:r>
        <w:rPr>
          <w:rFonts w:ascii="Arial" w:hAnsi="Arial"/>
          <w:sz w:val="22"/>
        </w:rPr>
        <w:t>Abrir `http://localhost/CMDB_Semestral/public/`.</w:t>
      </w:r>
    </w:p>
    <w:p>
      <w:pPr>
        <w:pStyle w:val="ListBullet"/>
      </w:pPr>
      <w:r>
        <w:rPr>
          <w:rFonts w:ascii="Arial" w:hAnsi="Arial"/>
          <w:sz w:val="22"/>
        </w:rPr>
        <w:t>En caso de error 404 de rutas, activar `mod_rewrite` de Apache en WampServer.</w:t>
      </w:r>
    </w:p>
    <w:p>
      <w:pPr>
        <w:pStyle w:val="Heading2"/>
      </w:pPr>
      <w:r>
        <w:t>8.2 Credenciales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484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Correo</w:t>
            </w:r>
          </w:p>
        </w:tc>
        <w:tc>
          <w:tcPr>
            <w:tcW w:type="dxa" w:w="2484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Contraseña</w:t>
            </w:r>
          </w:p>
        </w:tc>
        <w:tc>
          <w:tcPr>
            <w:tcW w:type="dxa" w:w="2484"/>
            <w:vAlign w:val="center"/>
            <w:shd w:fill="0369A1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admin@cmdb.local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Admin123*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 total y auditoría.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operador@cmdb.local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Operador123*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Operación de inventario y reportes.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Colaborador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sofia.martinez@cmdb.local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Colab123*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Portal, equipos y necesidades.</w:t>
            </w:r>
          </w:p>
        </w:tc>
      </w:tr>
    </w:tbl>
    <w:p>
      <w:pPr>
        <w:pStyle w:val="Heading2"/>
      </w:pPr>
      <w:r>
        <w:t>8.3 Enlaces de entrega</w:t>
      </w:r>
    </w:p>
    <w:p>
      <w:r>
        <w:rPr>
          <w:rFonts w:ascii="Arial" w:hAnsi="Arial"/>
          <w:b w:val="0"/>
          <w:i w:val="0"/>
          <w:sz w:val="22"/>
        </w:rPr>
        <w:t>Repositorio GitHub: https://github.com/REEMPLAZAR_USUARIO/cmdb-integral</w:t>
      </w:r>
    </w:p>
    <w:p>
      <w:r>
        <w:rPr>
          <w:rFonts w:ascii="Arial" w:hAnsi="Arial"/>
          <w:b w:val="0"/>
          <w:i w:val="0"/>
          <w:sz w:val="22"/>
        </w:rPr>
        <w:t>Video demostrativo: https://youtu.be/REEMPLAZAR_VIDEO</w:t>
      </w:r>
    </w:p>
    <w:p>
      <w:r>
        <w:rPr>
          <w:rFonts w:ascii="Arial" w:hAnsi="Arial"/>
          <w:b w:val="0"/>
          <w:i w:val="0"/>
          <w:sz w:val="22"/>
        </w:rPr>
        <w:t>Los enlaces deben reemplazarse antes de la entrega en Moodle. El guion sugerido se incluye en `docs/Guion_Video.md`.</w:t>
      </w:r>
    </w:p>
    <w:p>
      <w:pPr>
        <w:pStyle w:val="Heading1"/>
      </w:pPr>
      <w:r>
        <w:t>Conclusión</w:t>
      </w:r>
    </w:p>
    <w:p>
      <w:r>
        <w:rPr>
          <w:rFonts w:ascii="Arial" w:hAnsi="Arial"/>
          <w:b w:val="0"/>
          <w:i w:val="0"/>
          <w:sz w:val="22"/>
        </w:rPr>
        <w:t>CMDB Integral cumple con el tema de Base de Datos de Gestión de Configuración al combinar inventario, custodias, colaboradores, licencias, necesidades, reportes y controles de seguridad. La implementación aplica MVC, PDO, CSRF, BCRYPT, registro de auditoría, bloqueo de cuentas, principios DRY y SOLID, y firma HMAC para proteger la integridad de los activos.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Desarrollo Web VII · I Semestre 2026 · CMDB Integral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CMDB Integral · Informe de Arquitectura y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369A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369A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