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val="0"/>
          <w:color w:val="202020"/>
          <w:sz w:val="52"/>
        </w:rPr>
        <w:t>MLFA Email Hub</w:t>
      </w:r>
    </w:p>
    <w:p>
      <w:pPr>
        <w:spacing w:after="200"/>
      </w:pPr>
      <w:r>
        <w:rPr>
          <w:rFonts w:ascii="Arial" w:hAnsi="Arial"/>
          <w:b/>
          <w:color w:val="0B574A"/>
          <w:sz w:val="30"/>
        </w:rPr>
        <w:t>Security Architecture and Encrypted Data Storage Guide</w:t>
      </w:r>
    </w:p>
    <w:p>
      <w:pPr>
        <w:spacing w:after="360"/>
      </w:pPr>
      <w:r>
        <w:rPr>
          <w:rFonts w:ascii="Arial" w:hAnsi="Arial"/>
          <w:color w:val="5F6368"/>
          <w:sz w:val="20"/>
        </w:rPr>
        <w:t>Prepared for MLFA leadership and security review  |  August 4, 2026  |  Confidential</w:t>
      </w:r>
    </w:p>
    <w:p>
      <w:pPr>
        <w:pStyle w:val="Heading1"/>
      </w:pPr>
      <w:r>
        <w:t>Executive summary</w:t>
      </w:r>
    </w:p>
    <w:p>
      <w:r>
        <w:t>The MLFA Email Hub is a private workflow application that helps authorized MLFA personnel review, classify, route, and respond to email. Microsoft 365 remains the authoritative source for the original messages. The Hub uses Microsoft Graph for mailbox operations, the OpenAI API for classification when an inbox permits it, Railway for application hosting, and PostgreSQL for workflow state and audit history.</w:t>
      </w:r>
    </w:p>
    <w:tbl>
      <w:tblPr>
        <w:tblW w:type="auto" w:w="0"/>
        <w:jc w:val="left"/>
        <w:tblLayout w:type="fixed"/>
        <w:tblLook w:firstColumn="1" w:firstRow="1" w:lastColumn="0" w:lastRow="0" w:noHBand="0" w:noVBand="1" w:val="04A0"/>
        <w:tblBorders>
          <w:top w:val="single" w:sz="4" w:space="0" w:color="B7D8CC"/>
          <w:left w:val="single" w:sz="4" w:space="0" w:color="B7D8CC"/>
          <w:bottom w:val="single" w:sz="4" w:space="0" w:color="B7D8CC"/>
          <w:right w:val="single" w:sz="4" w:space="0" w:color="B7D8CC"/>
          <w:insideH w:val="single" w:sz="4" w:space="0" w:color="B7D8CC"/>
          <w:insideV w:val="single" w:sz="4" w:space="0" w:color="B7D8CC"/>
        </w:tblBorders>
      </w:tblPr>
      <w:tblGrid>
        <w:gridCol w:w="9648"/>
      </w:tblGrid>
      <w:tr>
        <w:trPr>
          <w:cantSplit/>
        </w:trPr>
        <w:tc>
          <w:tcPr>
            <w:tcW w:type="dxa" w:w="9648"/>
            <w:shd w:fill="EAF4F0"/>
            <w:tcMar>
              <w:top w:w="120" w:type="dxa"/>
              <w:start w:w="160" w:type="dxa"/>
              <w:bottom w:w="120" w:type="dxa"/>
              <w:end w:w="160" w:type="dxa"/>
            </w:tcMar>
          </w:tcPr>
          <w:p>
            <w:pPr>
              <w:spacing w:after="0" w:line="276" w:lineRule="auto"/>
            </w:pPr>
            <w:r/>
            <w:r>
              <w:rPr>
                <w:rFonts w:ascii="Arial" w:hAnsi="Arial"/>
                <w:b/>
                <w:color w:val="0B574A"/>
                <w:sz w:val="21"/>
              </w:rPr>
              <w:t xml:space="preserve">Important status  </w:t>
            </w:r>
            <w:r>
              <w:rPr>
                <w:rFonts w:ascii="Arial" w:hAnsi="Arial"/>
                <w:color w:val="202020"/>
                <w:sz w:val="21"/>
              </w:rPr>
              <w:t>Microsoft Entra sign-in, MFA, and application-level queue encryption are enabled. The encrypted PostgreSQL database is the only persistent Hub location used for temporary email-body copies; Microsoft 365 remains the authoritative email source.</w:t>
            </w:r>
          </w:p>
        </w:tc>
      </w:tr>
    </w:tbl>
    <w:p>
      <w:pPr>
        <w:spacing w:after="0"/>
      </w:pPr>
    </w:p>
    <w:p>
      <w:r>
        <w:t>Application-level queue encryption is now implemented. Sensitive queue content is encrypted before it is written to PostgreSQL, and temporary records expire according to the configured retention period.</w:t>
      </w:r>
    </w:p>
    <w:p>
      <w:pPr>
        <w:pStyle w:val="Heading1"/>
      </w:pPr>
      <w:r>
        <w:t>1. What the Hub does</w:t>
      </w:r>
    </w:p>
    <w:p>
      <w:pPr>
        <w:pStyle w:val="ListBullet"/>
      </w:pPr>
      <w:r>
        <w:t>Receives or discovers new messages in an approved Microsoft 365 mailbox.</w:t>
      </w:r>
    </w:p>
    <w:p>
      <w:pPr>
        <w:pStyle w:val="ListBullet"/>
      </w:pPr>
      <w:r>
        <w:t>Normalizes the subject, sender, body, and limited conversation context.</w:t>
      </w:r>
    </w:p>
    <w:p>
      <w:pPr>
        <w:pStyle w:val="ListBullet"/>
      </w:pPr>
      <w:r>
        <w:t>Classifies the message through the OpenAI API when AI is enabled for that inbox; otherwise it sends the message to human review without an AI classification.</w:t>
      </w:r>
    </w:p>
    <w:p>
      <w:pPr>
        <w:pStyle w:val="ListBullet"/>
      </w:pPr>
      <w:r>
        <w:t>Builds a deterministic action plan from MLFA-configured rules: category tags, destination folder, forwarding recipients, auto-reply template, read/unread behavior, and manual-versus-automatic processing.</w:t>
      </w:r>
    </w:p>
    <w:p>
      <w:pPr>
        <w:pStyle w:val="ListBullet"/>
      </w:pPr>
      <w:r>
        <w:t>Executes approved actions through Microsoft Graph and records the action in the audit log.</w:t>
      </w:r>
    </w:p>
    <w:p>
      <w:pPr>
        <w:pStyle w:val="Heading1"/>
      </w:pPr>
      <w:r>
        <w:t>2. End-to-end data flow</w:t>
      </w:r>
    </w:p>
    <w:p>
      <w:pPr>
        <w:spacing w:after="80" w:line="276" w:lineRule="auto"/>
        <w:ind w:left="720" w:hanging="360"/>
        <w:numPr>
          <w:ilvl w:val="0"/>
          <w:numId w:val="10"/>
        </w:numPr>
      </w:pPr>
      <w:r>
        <w:rPr>
          <w:b/>
        </w:rPr>
        <w:t xml:space="preserve">Microsoft 365: </w:t>
      </w:r>
      <w:r>
        <w:t>The original email arrives in an MLFA mailbox and remains stored in Microsoft 365.</w:t>
      </w:r>
    </w:p>
    <w:p>
      <w:pPr>
        <w:spacing w:after="80" w:line="276" w:lineRule="auto"/>
        <w:ind w:left="720" w:hanging="360"/>
        <w:numPr>
          <w:ilvl w:val="0"/>
          <w:numId w:val="10"/>
        </w:numPr>
      </w:pPr>
      <w:r>
        <w:rPr>
          <w:b/>
        </w:rPr>
        <w:t xml:space="preserve">Hub worker: </w:t>
      </w:r>
      <w:r>
        <w:t>The backend retrieves the message through Microsoft Graph using application credentials stored outside the source code.</w:t>
      </w:r>
    </w:p>
    <w:p>
      <w:pPr>
        <w:spacing w:after="80" w:line="276" w:lineRule="auto"/>
        <w:ind w:left="720" w:hanging="360"/>
        <w:numPr>
          <w:ilvl w:val="0"/>
          <w:numId w:val="10"/>
        </w:numPr>
      </w:pPr>
      <w:r>
        <w:rPr>
          <w:b/>
        </w:rPr>
        <w:t xml:space="preserve">OpenAI classification: </w:t>
      </w:r>
      <w:r>
        <w:t>If enabled for that inbox, the backend submits the relevant email text to the OpenAI API and requests structured classification facts.</w:t>
      </w:r>
    </w:p>
    <w:p>
      <w:pPr>
        <w:spacing w:after="80" w:line="276" w:lineRule="auto"/>
        <w:ind w:left="720" w:hanging="360"/>
        <w:numPr>
          <w:ilvl w:val="0"/>
          <w:numId w:val="10"/>
        </w:numPr>
      </w:pPr>
      <w:r>
        <w:rPr>
          <w:b/>
        </w:rPr>
        <w:t xml:space="preserve">Rule engine: </w:t>
      </w:r>
      <w:r>
        <w:t>The Hub—not OpenAI—decides what operational actions are permitted by applying MLFA’s configured rules.</w:t>
      </w:r>
    </w:p>
    <w:p>
      <w:pPr>
        <w:spacing w:after="80" w:line="276" w:lineRule="auto"/>
        <w:ind w:left="720" w:hanging="360"/>
        <w:numPr>
          <w:ilvl w:val="0"/>
          <w:numId w:val="10"/>
        </w:numPr>
      </w:pPr>
      <w:r>
        <w:rPr>
          <w:b/>
        </w:rPr>
        <w:t xml:space="preserve">Manual or automatic path: </w:t>
      </w:r>
      <w:r>
        <w:t>Manual-mode emails enter the reviewer queue. Full-automation emails are processed immediately.</w:t>
      </w:r>
    </w:p>
    <w:p>
      <w:pPr>
        <w:spacing w:after="80" w:line="276" w:lineRule="auto"/>
        <w:ind w:left="720" w:hanging="360"/>
        <w:numPr>
          <w:ilvl w:val="0"/>
          <w:numId w:val="10"/>
        </w:numPr>
      </w:pPr>
      <w:r>
        <w:rPr>
          <w:b/>
        </w:rPr>
        <w:t xml:space="preserve">Microsoft Graph action: </w:t>
      </w:r>
      <w:r>
        <w:t>The Hub applies categories, moves the message, forwards it, sends an approved reply, or leaves it unread as configured.</w:t>
      </w:r>
    </w:p>
    <w:p>
      <w:pPr>
        <w:spacing w:after="80" w:line="276" w:lineRule="auto"/>
        <w:ind w:left="720" w:hanging="360"/>
        <w:numPr>
          <w:ilvl w:val="0"/>
          <w:numId w:val="10"/>
        </w:numPr>
      </w:pPr>
      <w:r>
        <w:rPr>
          <w:b/>
        </w:rPr>
        <w:t xml:space="preserve">Audit trail: </w:t>
      </w:r>
      <w:r>
        <w:t>The system records who or what performed the action, when it occurred, and its result.</w:t>
      </w:r>
    </w:p>
    <w:p>
      <w:pPr>
        <w:pStyle w:val="Heading1"/>
      </w:pPr>
      <w:r>
        <w:t>3. Example: one donor-related email</w:t>
      </w:r>
    </w:p>
    <w:p>
      <w:r>
        <w:t>Example incoming message: “Donation received from Billie — $25.00.”</w:t>
      </w:r>
    </w:p>
    <w:p>
      <w:pPr>
        <w:pStyle w:val="ListBullet"/>
      </w:pPr>
      <w:r>
        <w:t>Microsoft 365 stores the original message.</w:t>
      </w:r>
    </w:p>
    <w:p>
      <w:pPr>
        <w:pStyle w:val="ListBullet"/>
      </w:pPr>
      <w:r>
        <w:t>The classifier may return categories such as donor and statements_receipts, an amount of 25, and a short reason.</w:t>
      </w:r>
    </w:p>
    <w:p>
      <w:pPr>
        <w:pStyle w:val="ListBullet"/>
      </w:pPr>
      <w:r>
        <w:t>The Hub’s deterministic rules determine that a simple new donation notification below $1,000 should not be forwarded, even though a donor question that merely references an older $25 donation may still require forwarding.</w:t>
      </w:r>
    </w:p>
    <w:p>
      <w:pPr>
        <w:pStyle w:val="ListBullet"/>
      </w:pPr>
      <w:r>
        <w:t>The message receives the configured tags and moves to the configured folder. OpenAI cannot independently choose recipients, send a reply, or move the message.</w:t>
      </w:r>
    </w:p>
    <w:p>
      <w:pPr>
        <w:pStyle w:val="ListBullet"/>
      </w:pPr>
      <w:r>
        <w:t>In manual mode, the reviewer sees the classification and action plan before approving it. In full-automation mode, the same rule engine executes the plan and records an audit event.</w:t>
      </w:r>
    </w:p>
    <w:p>
      <w:pPr>
        <w:pStyle w:val="Heading1"/>
      </w:pPr>
      <w:r>
        <w:t>4. How the Hub is connected to OpenAI</w:t>
      </w:r>
    </w:p>
    <w:p>
      <w:r>
        <w:t>The Hub is not signed into the consumer ChatGPT website and does not use a personal ChatGPT conversation. The backend uses the OpenAI API with a service credential stored as a sealed Railway environment variable. The current classifier requests the gpt-5.4 model and asks for a structured response.</w:t>
      </w:r>
    </w:p>
    <w:tbl>
      <w:tblPr>
        <w:tblW w:type="auto" w:w="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592"/>
        <w:gridCol w:w="7056"/>
      </w:tblGrid>
      <w:tr>
        <w:trPr>
          <w:cantSplit/>
          <w:tblHeader w:val="true"/>
        </w:trPr>
        <w:tc>
          <w:tcPr>
            <w:tcW w:type="dxa" w:w="4824"/>
            <w:vAlign w:val="center"/>
            <w:tcMar>
              <w:top w:w="90" w:type="dxa"/>
              <w:start w:w="120" w:type="dxa"/>
              <w:bottom w:w="90" w:type="dxa"/>
              <w:end w:w="120" w:type="dxa"/>
            </w:tcMar>
            <w:shd w:fill="EAF4F0"/>
          </w:tcPr>
          <w:p>
            <w:pPr>
              <w:spacing w:after="0" w:line="264" w:lineRule="auto"/>
            </w:pPr>
            <w:r/>
            <w:r>
              <w:rPr>
                <w:rFonts w:ascii="Arial" w:hAnsi="Arial"/>
                <w:b/>
                <w:color w:val="0B574A"/>
                <w:sz w:val="20"/>
              </w:rPr>
              <w:t>Question</w:t>
            </w:r>
          </w:p>
        </w:tc>
        <w:tc>
          <w:tcPr>
            <w:tcW w:type="dxa" w:w="4824"/>
            <w:vAlign w:val="center"/>
            <w:tcMar>
              <w:top w:w="90" w:type="dxa"/>
              <w:start w:w="120" w:type="dxa"/>
              <w:bottom w:w="90" w:type="dxa"/>
              <w:end w:w="120" w:type="dxa"/>
            </w:tcMar>
            <w:shd w:fill="EAF4F0"/>
          </w:tcPr>
          <w:p>
            <w:pPr>
              <w:spacing w:after="0" w:line="264" w:lineRule="auto"/>
            </w:pPr>
            <w:r/>
            <w:r>
              <w:rPr>
                <w:rFonts w:ascii="Arial" w:hAnsi="Arial"/>
                <w:b/>
                <w:color w:val="0B574A"/>
                <w:sz w:val="20"/>
              </w:rPr>
              <w:t>Answer</w:t>
            </w:r>
          </w:p>
        </w:tc>
      </w:tr>
      <w:tr>
        <w:trPr>
          <w:cantSplit/>
        </w:trPr>
        <w:tc>
          <w:tcPr>
            <w:tcW w:type="dxa" w:w="2592"/>
            <w:vAlign w:val="center"/>
            <w:tcMar>
              <w:top w:w="90" w:type="dxa"/>
              <w:start w:w="120" w:type="dxa"/>
              <w:bottom w:w="90" w:type="dxa"/>
              <w:end w:w="120" w:type="dxa"/>
            </w:tcMar>
          </w:tcPr>
          <w:p>
            <w:pPr>
              <w:spacing w:after="0" w:line="264" w:lineRule="auto"/>
            </w:pPr>
            <w:r/>
            <w:r>
              <w:rPr>
                <w:rFonts w:ascii="Arial" w:hAnsi="Arial"/>
                <w:b w:val="0"/>
                <w:color w:val="202020"/>
                <w:sz w:val="20"/>
              </w:rPr>
              <w:t>What is sent?</w:t>
            </w:r>
          </w:p>
        </w:tc>
        <w:tc>
          <w:tcPr>
            <w:tcW w:type="dxa" w:w="7056"/>
            <w:vAlign w:val="center"/>
            <w:tcMar>
              <w:top w:w="90" w:type="dxa"/>
              <w:start w:w="120" w:type="dxa"/>
              <w:bottom w:w="90" w:type="dxa"/>
              <w:end w:w="120" w:type="dxa"/>
            </w:tcMar>
          </w:tcPr>
          <w:p>
            <w:pPr>
              <w:spacing w:after="0" w:line="264" w:lineRule="auto"/>
            </w:pPr>
            <w:r/>
            <w:r>
              <w:rPr>
                <w:rFonts w:ascii="Arial" w:hAnsi="Arial"/>
                <w:b w:val="0"/>
                <w:color w:val="202020"/>
                <w:sz w:val="20"/>
              </w:rPr>
              <w:t>The subject, relevant body text, selected thread context, and classification instructions.</w:t>
            </w:r>
          </w:p>
        </w:tc>
      </w:tr>
      <w:tr>
        <w:trPr>
          <w:cantSplit/>
        </w:trPr>
        <w:tc>
          <w:tcPr>
            <w:tcW w:type="dxa" w:w="2592"/>
            <w:vAlign w:val="center"/>
            <w:tcMar>
              <w:top w:w="90" w:type="dxa"/>
              <w:start w:w="120" w:type="dxa"/>
              <w:bottom w:w="90" w:type="dxa"/>
              <w:end w:w="120" w:type="dxa"/>
            </w:tcMar>
          </w:tcPr>
          <w:p>
            <w:pPr>
              <w:spacing w:after="0" w:line="264" w:lineRule="auto"/>
            </w:pPr>
            <w:r/>
            <w:r>
              <w:rPr>
                <w:rFonts w:ascii="Arial" w:hAnsi="Arial"/>
                <w:b w:val="0"/>
                <w:color w:val="202020"/>
                <w:sz w:val="20"/>
              </w:rPr>
              <w:t>What comes back?</w:t>
            </w:r>
          </w:p>
        </w:tc>
        <w:tc>
          <w:tcPr>
            <w:tcW w:type="dxa" w:w="7056"/>
            <w:vAlign w:val="center"/>
            <w:tcMar>
              <w:top w:w="90" w:type="dxa"/>
              <w:start w:w="120" w:type="dxa"/>
              <w:bottom w:w="90" w:type="dxa"/>
              <w:end w:w="120" w:type="dxa"/>
            </w:tcMar>
          </w:tcPr>
          <w:p>
            <w:pPr>
              <w:spacing w:after="0" w:line="264" w:lineRule="auto"/>
            </w:pPr>
            <w:r/>
            <w:r>
              <w:rPr>
                <w:rFonts w:ascii="Arial" w:hAnsi="Arial"/>
                <w:b w:val="0"/>
                <w:color w:val="202020"/>
                <w:sz w:val="20"/>
              </w:rPr>
              <w:t>Structured facts such as categories, reason, sender name, amount, recipients suggested by classification, and escalation indicators.</w:t>
            </w:r>
          </w:p>
        </w:tc>
      </w:tr>
      <w:tr>
        <w:trPr>
          <w:cantSplit/>
        </w:trPr>
        <w:tc>
          <w:tcPr>
            <w:tcW w:type="dxa" w:w="2592"/>
            <w:vAlign w:val="center"/>
            <w:tcMar>
              <w:top w:w="90" w:type="dxa"/>
              <w:start w:w="120" w:type="dxa"/>
              <w:bottom w:w="90" w:type="dxa"/>
              <w:end w:w="120" w:type="dxa"/>
            </w:tcMar>
          </w:tcPr>
          <w:p>
            <w:pPr>
              <w:spacing w:after="0" w:line="264" w:lineRule="auto"/>
            </w:pPr>
            <w:r/>
            <w:r>
              <w:rPr>
                <w:rFonts w:ascii="Arial" w:hAnsi="Arial"/>
                <w:b w:val="0"/>
                <w:color w:val="202020"/>
                <w:sz w:val="20"/>
              </w:rPr>
              <w:t>Can OpenAI send email?</w:t>
            </w:r>
          </w:p>
        </w:tc>
        <w:tc>
          <w:tcPr>
            <w:tcW w:type="dxa" w:w="7056"/>
            <w:vAlign w:val="center"/>
            <w:tcMar>
              <w:top w:w="90" w:type="dxa"/>
              <w:start w:w="120" w:type="dxa"/>
              <w:bottom w:w="90" w:type="dxa"/>
              <w:end w:w="120" w:type="dxa"/>
            </w:tcMar>
          </w:tcPr>
          <w:p>
            <w:pPr>
              <w:spacing w:after="0" w:line="264" w:lineRule="auto"/>
            </w:pPr>
            <w:r/>
            <w:r>
              <w:rPr>
                <w:rFonts w:ascii="Arial" w:hAnsi="Arial"/>
                <w:b w:val="0"/>
                <w:color w:val="202020"/>
                <w:sz w:val="20"/>
              </w:rPr>
              <w:t>No. OpenAI returns classification text only. The Hub rule engine controls all mailbox actions.</w:t>
            </w:r>
          </w:p>
        </w:tc>
      </w:tr>
      <w:tr>
        <w:trPr>
          <w:cantSplit/>
        </w:trPr>
        <w:tc>
          <w:tcPr>
            <w:tcW w:type="dxa" w:w="2592"/>
            <w:vAlign w:val="center"/>
            <w:tcMar>
              <w:top w:w="90" w:type="dxa"/>
              <w:start w:w="120" w:type="dxa"/>
              <w:bottom w:w="90" w:type="dxa"/>
              <w:end w:w="120" w:type="dxa"/>
            </w:tcMar>
          </w:tcPr>
          <w:p>
            <w:pPr>
              <w:spacing w:after="0" w:line="264" w:lineRule="auto"/>
            </w:pPr>
            <w:r/>
            <w:r>
              <w:rPr>
                <w:rFonts w:ascii="Arial" w:hAnsi="Arial"/>
                <w:b w:val="0"/>
                <w:color w:val="202020"/>
                <w:sz w:val="20"/>
              </w:rPr>
              <w:t>Is API data used to train models?</w:t>
            </w:r>
          </w:p>
        </w:tc>
        <w:tc>
          <w:tcPr>
            <w:tcW w:type="dxa" w:w="7056"/>
            <w:vAlign w:val="center"/>
            <w:tcMar>
              <w:top w:w="90" w:type="dxa"/>
              <w:start w:w="120" w:type="dxa"/>
              <w:bottom w:w="90" w:type="dxa"/>
              <w:end w:w="120" w:type="dxa"/>
            </w:tcMar>
          </w:tcPr>
          <w:p>
            <w:pPr>
              <w:spacing w:after="0" w:line="264" w:lineRule="auto"/>
            </w:pPr>
            <w:r/>
            <w:r>
              <w:rPr>
                <w:rFonts w:ascii="Arial" w:hAnsi="Arial"/>
                <w:b w:val="0"/>
                <w:color w:val="202020"/>
                <w:sz w:val="20"/>
              </w:rPr>
              <w:t>OpenAI states API data is not used for training by default unless the organization opts in.</w:t>
            </w:r>
          </w:p>
        </w:tc>
      </w:tr>
      <w:tr>
        <w:trPr>
          <w:cantSplit/>
        </w:trPr>
        <w:tc>
          <w:tcPr>
            <w:tcW w:type="dxa" w:w="2592"/>
            <w:vAlign w:val="center"/>
            <w:tcMar>
              <w:top w:w="90" w:type="dxa"/>
              <w:start w:w="120" w:type="dxa"/>
              <w:bottom w:w="90" w:type="dxa"/>
              <w:end w:w="120" w:type="dxa"/>
            </w:tcMar>
          </w:tcPr>
          <w:p>
            <w:pPr>
              <w:spacing w:after="0" w:line="264" w:lineRule="auto"/>
            </w:pPr>
            <w:r/>
            <w:r>
              <w:rPr>
                <w:rFonts w:ascii="Arial" w:hAnsi="Arial"/>
                <w:b w:val="0"/>
                <w:color w:val="202020"/>
                <w:sz w:val="20"/>
              </w:rPr>
              <w:t>Is retention always zero?</w:t>
            </w:r>
          </w:p>
        </w:tc>
        <w:tc>
          <w:tcPr>
            <w:tcW w:type="dxa" w:w="7056"/>
            <w:vAlign w:val="center"/>
            <w:tcMar>
              <w:top w:w="90" w:type="dxa"/>
              <w:start w:w="120" w:type="dxa"/>
              <w:bottom w:w="90" w:type="dxa"/>
              <w:end w:w="120" w:type="dxa"/>
            </w:tcMar>
          </w:tcPr>
          <w:p>
            <w:pPr>
              <w:spacing w:after="0" w:line="264" w:lineRule="auto"/>
            </w:pPr>
            <w:r/>
            <w:r>
              <w:rPr>
                <w:rFonts w:ascii="Arial" w:hAnsi="Arial"/>
                <w:b w:val="0"/>
                <w:color w:val="202020"/>
                <w:sz w:val="20"/>
              </w:rPr>
              <w:t>No. The request sets store=False, but default abuse-monitoring logs may retain customer content for up to 30 days unless OpenAI approves additional controls.</w:t>
            </w:r>
          </w:p>
        </w:tc>
      </w:tr>
      <w:tr>
        <w:trPr>
          <w:cantSplit/>
        </w:trPr>
        <w:tc>
          <w:tcPr>
            <w:tcW w:type="dxa" w:w="2592"/>
            <w:vAlign w:val="center"/>
            <w:tcMar>
              <w:top w:w="90" w:type="dxa"/>
              <w:start w:w="120" w:type="dxa"/>
              <w:bottom w:w="90" w:type="dxa"/>
              <w:end w:w="120" w:type="dxa"/>
            </w:tcMar>
          </w:tcPr>
          <w:p>
            <w:pPr>
              <w:spacing w:after="0" w:line="264" w:lineRule="auto"/>
            </w:pPr>
            <w:r/>
            <w:r>
              <w:rPr>
                <w:rFonts w:ascii="Arial" w:hAnsi="Arial"/>
                <w:b w:val="0"/>
                <w:color w:val="202020"/>
                <w:sz w:val="20"/>
              </w:rPr>
              <w:t>Can an inbox disable AI?</w:t>
            </w:r>
          </w:p>
        </w:tc>
        <w:tc>
          <w:tcPr>
            <w:tcW w:type="dxa" w:w="7056"/>
            <w:vAlign w:val="center"/>
            <w:tcMar>
              <w:top w:w="90" w:type="dxa"/>
              <w:start w:w="120" w:type="dxa"/>
              <w:bottom w:w="90" w:type="dxa"/>
              <w:end w:w="120" w:type="dxa"/>
            </w:tcMar>
          </w:tcPr>
          <w:p>
            <w:pPr>
              <w:spacing w:after="0" w:line="264" w:lineRule="auto"/>
            </w:pPr>
            <w:r/>
            <w:r>
              <w:rPr>
                <w:rFonts w:ascii="Arial" w:hAnsi="Arial"/>
                <w:b w:val="0"/>
                <w:color w:val="202020"/>
                <w:sz w:val="20"/>
              </w:rPr>
              <w:t>Yes. Each inbox has a send_to_openai setting. When disabled, classification is human-only.</w:t>
            </w:r>
          </w:p>
        </w:tc>
      </w:tr>
    </w:tbl>
    <w:p>
      <w:pPr>
        <w:spacing w:after="40"/>
      </w:pPr>
    </w:p>
    <w:tbl>
      <w:tblPr>
        <w:tblW w:type="auto" w:w="0"/>
        <w:jc w:val="left"/>
        <w:tblLayout w:type="fixed"/>
        <w:tblLook w:firstColumn="1" w:firstRow="1" w:lastColumn="0" w:lastRow="0" w:noHBand="0" w:noVBand="1" w:val="04A0"/>
        <w:tblBorders>
          <w:top w:val="single" w:sz="4" w:space="0" w:color="E5C980"/>
          <w:left w:val="single" w:sz="4" w:space="0" w:color="E5C980"/>
          <w:bottom w:val="single" w:sz="4" w:space="0" w:color="E5C980"/>
          <w:right w:val="single" w:sz="4" w:space="0" w:color="E5C980"/>
          <w:insideH w:val="single" w:sz="4" w:space="0" w:color="E5C980"/>
          <w:insideV w:val="single" w:sz="4" w:space="0" w:color="E5C980"/>
        </w:tblBorders>
      </w:tblPr>
      <w:tblGrid>
        <w:gridCol w:w="9648"/>
      </w:tblGrid>
      <w:tr>
        <w:trPr>
          <w:cantSplit/>
        </w:trPr>
        <w:tc>
          <w:tcPr>
            <w:tcW w:type="dxa" w:w="9648"/>
            <w:shd w:fill="FFF6E5"/>
            <w:tcMar>
              <w:top w:w="120" w:type="dxa"/>
              <w:start w:w="160" w:type="dxa"/>
              <w:bottom w:w="120" w:type="dxa"/>
              <w:end w:w="160" w:type="dxa"/>
            </w:tcMar>
          </w:tcPr>
          <w:p>
            <w:pPr>
              <w:spacing w:after="0" w:line="276" w:lineRule="auto"/>
            </w:pPr>
            <w:r/>
            <w:r>
              <w:rPr>
                <w:rFonts w:ascii="Arial" w:hAnsi="Arial"/>
                <w:b/>
                <w:color w:val="8A5B00"/>
                <w:sz w:val="21"/>
              </w:rPr>
              <w:t xml:space="preserve">Governance decision needed  </w:t>
            </w:r>
            <w:r>
              <w:rPr>
                <w:rFonts w:ascii="Arial" w:hAnsi="Arial"/>
                <w:color w:val="202020"/>
                <w:sz w:val="21"/>
              </w:rPr>
              <w:t>MLFA should approve OpenAI as a data subprocessor in writing, verify that data-sharing is disabled for the OpenAI organization/project, and determine eligibility for Zero Data Retention or Modified Abuse Monitoring.</w:t>
            </w:r>
          </w:p>
        </w:tc>
      </w:tr>
    </w:tbl>
    <w:p>
      <w:pPr>
        <w:spacing w:after="0"/>
      </w:pPr>
    </w:p>
    <w:p>
      <w:pPr>
        <w:pStyle w:val="Heading1"/>
      </w:pPr>
      <w:r>
        <w:t>5. Security controls currently implemented</w:t>
      </w:r>
    </w:p>
    <w:tbl>
      <w:tblPr>
        <w:tblW w:type="auto" w:w="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728"/>
        <w:gridCol w:w="4176"/>
        <w:gridCol w:w="3744"/>
      </w:tblGrid>
      <w:tr>
        <w:trPr>
          <w:cantSplit/>
          <w:tblHeader w:val="true"/>
        </w:trPr>
        <w:tc>
          <w:tcPr>
            <w:tcW w:type="dxa" w:w="3216"/>
            <w:vAlign w:val="center"/>
            <w:tcMar>
              <w:top w:w="90" w:type="dxa"/>
              <w:start w:w="120" w:type="dxa"/>
              <w:bottom w:w="90" w:type="dxa"/>
              <w:end w:w="120" w:type="dxa"/>
            </w:tcMar>
            <w:shd w:fill="EAF4F0"/>
          </w:tcPr>
          <w:p>
            <w:pPr>
              <w:spacing w:after="0" w:line="264" w:lineRule="auto"/>
            </w:pPr>
            <w:r/>
            <w:r>
              <w:rPr>
                <w:rFonts w:ascii="Arial" w:hAnsi="Arial"/>
                <w:b/>
                <w:color w:val="0B574A"/>
                <w:sz w:val="20"/>
              </w:rPr>
              <w:t>Area</w:t>
            </w:r>
          </w:p>
        </w:tc>
        <w:tc>
          <w:tcPr>
            <w:tcW w:type="dxa" w:w="3216"/>
            <w:vAlign w:val="center"/>
            <w:tcMar>
              <w:top w:w="90" w:type="dxa"/>
              <w:start w:w="120" w:type="dxa"/>
              <w:bottom w:w="90" w:type="dxa"/>
              <w:end w:w="120" w:type="dxa"/>
            </w:tcMar>
            <w:shd w:fill="EAF4F0"/>
          </w:tcPr>
          <w:p>
            <w:pPr>
              <w:spacing w:after="0" w:line="264" w:lineRule="auto"/>
            </w:pPr>
            <w:r/>
            <w:r>
              <w:rPr>
                <w:rFonts w:ascii="Arial" w:hAnsi="Arial"/>
                <w:b/>
                <w:color w:val="0B574A"/>
                <w:sz w:val="20"/>
              </w:rPr>
              <w:t>Current control</w:t>
            </w:r>
          </w:p>
        </w:tc>
        <w:tc>
          <w:tcPr>
            <w:tcW w:type="dxa" w:w="3216"/>
            <w:vAlign w:val="center"/>
            <w:tcMar>
              <w:top w:w="90" w:type="dxa"/>
              <w:start w:w="120" w:type="dxa"/>
              <w:bottom w:w="90" w:type="dxa"/>
              <w:end w:w="120" w:type="dxa"/>
            </w:tcMar>
            <w:shd w:fill="EAF4F0"/>
          </w:tcPr>
          <w:p>
            <w:pPr>
              <w:spacing w:after="0" w:line="264" w:lineRule="auto"/>
            </w:pPr>
            <w:r/>
            <w:r>
              <w:rPr>
                <w:rFonts w:ascii="Arial" w:hAnsi="Arial"/>
                <w:b/>
                <w:color w:val="0B574A"/>
                <w:sz w:val="20"/>
              </w:rPr>
              <w:t>Why it matters</w:t>
            </w:r>
          </w:p>
        </w:tc>
      </w:tr>
      <w:tr>
        <w:trPr>
          <w:cantSplit/>
        </w:trPr>
        <w:tc>
          <w:tcPr>
            <w:tcW w:type="dxa" w:w="1728"/>
            <w:vAlign w:val="center"/>
            <w:tcMar>
              <w:top w:w="90" w:type="dxa"/>
              <w:start w:w="120" w:type="dxa"/>
              <w:bottom w:w="90" w:type="dxa"/>
              <w:end w:w="120" w:type="dxa"/>
            </w:tcMar>
          </w:tcPr>
          <w:p>
            <w:pPr>
              <w:spacing w:after="0" w:line="264" w:lineRule="auto"/>
            </w:pPr>
            <w:r/>
            <w:r>
              <w:rPr>
                <w:rFonts w:ascii="Arial" w:hAnsi="Arial"/>
                <w:b w:val="0"/>
                <w:color w:val="202020"/>
                <w:sz w:val="20"/>
              </w:rPr>
              <w:t>Identity</w:t>
            </w:r>
          </w:p>
        </w:tc>
        <w:tc>
          <w:tcPr>
            <w:tcW w:type="dxa" w:w="4176"/>
            <w:vAlign w:val="center"/>
            <w:tcMar>
              <w:top w:w="90" w:type="dxa"/>
              <w:start w:w="120" w:type="dxa"/>
              <w:bottom w:w="90" w:type="dxa"/>
              <w:end w:w="120" w:type="dxa"/>
            </w:tcMar>
          </w:tcPr>
          <w:p>
            <w:pPr>
              <w:spacing w:after="0" w:line="264" w:lineRule="auto"/>
            </w:pPr>
            <w:r/>
            <w:r>
              <w:rPr>
                <w:rFonts w:ascii="Arial" w:hAnsi="Arial"/>
                <w:b w:val="0"/>
                <w:color w:val="202020"/>
                <w:sz w:val="20"/>
              </w:rPr>
              <w:t>Microsoft Entra ID sign-in with MLFA Conditional Access MFA.</w:t>
            </w:r>
          </w:p>
        </w:tc>
        <w:tc>
          <w:tcPr>
            <w:tcW w:type="dxa" w:w="3744"/>
            <w:vAlign w:val="center"/>
            <w:tcMar>
              <w:top w:w="90" w:type="dxa"/>
              <w:start w:w="120" w:type="dxa"/>
              <w:bottom w:w="90" w:type="dxa"/>
              <w:end w:w="120" w:type="dxa"/>
            </w:tcMar>
          </w:tcPr>
          <w:p>
            <w:pPr>
              <w:spacing w:after="0" w:line="264" w:lineRule="auto"/>
            </w:pPr>
            <w:r/>
            <w:r>
              <w:rPr>
                <w:rFonts w:ascii="Arial" w:hAnsi="Arial"/>
                <w:b w:val="0"/>
                <w:color w:val="202020"/>
                <w:sz w:val="20"/>
              </w:rPr>
              <w:t>A stolen password alone should not be enough to enter the Hub.</w:t>
            </w:r>
          </w:p>
        </w:tc>
      </w:tr>
      <w:tr>
        <w:trPr>
          <w:cantSplit/>
        </w:trPr>
        <w:tc>
          <w:tcPr>
            <w:tcW w:type="dxa" w:w="1728"/>
            <w:vAlign w:val="center"/>
            <w:tcMar>
              <w:top w:w="90" w:type="dxa"/>
              <w:start w:w="120" w:type="dxa"/>
              <w:bottom w:w="90" w:type="dxa"/>
              <w:end w:w="120" w:type="dxa"/>
            </w:tcMar>
          </w:tcPr>
          <w:p>
            <w:pPr>
              <w:spacing w:after="0" w:line="264" w:lineRule="auto"/>
            </w:pPr>
            <w:r/>
            <w:r>
              <w:rPr>
                <w:rFonts w:ascii="Arial" w:hAnsi="Arial"/>
                <w:b w:val="0"/>
                <w:color w:val="202020"/>
                <w:sz w:val="20"/>
              </w:rPr>
              <w:t>Authorization</w:t>
            </w:r>
          </w:p>
        </w:tc>
        <w:tc>
          <w:tcPr>
            <w:tcW w:type="dxa" w:w="4176"/>
            <w:vAlign w:val="center"/>
            <w:tcMar>
              <w:top w:w="90" w:type="dxa"/>
              <w:start w:w="120" w:type="dxa"/>
              <w:bottom w:w="90" w:type="dxa"/>
              <w:end w:w="120" w:type="dxa"/>
            </w:tcMar>
          </w:tcPr>
          <w:p>
            <w:pPr>
              <w:spacing w:after="0" w:line="264" w:lineRule="auto"/>
            </w:pPr>
            <w:r/>
            <w:r>
              <w:rPr>
                <w:rFonts w:ascii="Arial" w:hAnsi="Arial"/>
                <w:b w:val="0"/>
                <w:color w:val="202020"/>
                <w:sz w:val="20"/>
              </w:rPr>
              <w:t>The Hub checks its own active-user record and Owner, Admin, or Reviewer role.</w:t>
            </w:r>
          </w:p>
        </w:tc>
        <w:tc>
          <w:tcPr>
            <w:tcW w:type="dxa" w:w="3744"/>
            <w:vAlign w:val="center"/>
            <w:tcMar>
              <w:top w:w="90" w:type="dxa"/>
              <w:start w:w="120" w:type="dxa"/>
              <w:bottom w:w="90" w:type="dxa"/>
              <w:end w:w="120" w:type="dxa"/>
            </w:tcMar>
          </w:tcPr>
          <w:p>
            <w:pPr>
              <w:spacing w:after="0" w:line="264" w:lineRule="auto"/>
            </w:pPr>
            <w:r/>
            <w:r>
              <w:rPr>
                <w:rFonts w:ascii="Arial" w:hAnsi="Arial"/>
                <w:b w:val="0"/>
                <w:color w:val="202020"/>
                <w:sz w:val="20"/>
              </w:rPr>
              <w:t>Microsoft proves identity; the Hub separately controls what that identity may do.</w:t>
            </w:r>
          </w:p>
        </w:tc>
      </w:tr>
      <w:tr>
        <w:trPr>
          <w:cantSplit/>
        </w:trPr>
        <w:tc>
          <w:tcPr>
            <w:tcW w:type="dxa" w:w="1728"/>
            <w:vAlign w:val="center"/>
            <w:tcMar>
              <w:top w:w="90" w:type="dxa"/>
              <w:start w:w="120" w:type="dxa"/>
              <w:bottom w:w="90" w:type="dxa"/>
              <w:end w:w="120" w:type="dxa"/>
            </w:tcMar>
          </w:tcPr>
          <w:p>
            <w:pPr>
              <w:spacing w:after="0" w:line="264" w:lineRule="auto"/>
            </w:pPr>
            <w:r/>
            <w:r>
              <w:rPr>
                <w:rFonts w:ascii="Arial" w:hAnsi="Arial"/>
                <w:b w:val="0"/>
                <w:color w:val="202020"/>
                <w:sz w:val="20"/>
              </w:rPr>
              <w:t>Sessions</w:t>
            </w:r>
          </w:p>
        </w:tc>
        <w:tc>
          <w:tcPr>
            <w:tcW w:type="dxa" w:w="4176"/>
            <w:vAlign w:val="center"/>
            <w:tcMar>
              <w:top w:w="90" w:type="dxa"/>
              <w:start w:w="120" w:type="dxa"/>
              <w:bottom w:w="90" w:type="dxa"/>
              <w:end w:w="120" w:type="dxa"/>
            </w:tcMar>
          </w:tcPr>
          <w:p>
            <w:pPr>
              <w:spacing w:after="0" w:line="264" w:lineRule="auto"/>
            </w:pPr>
            <w:r/>
            <w:r>
              <w:rPr>
                <w:rFonts w:ascii="Arial" w:hAnsi="Arial"/>
                <w:b w:val="0"/>
                <w:color w:val="202020"/>
                <w:sz w:val="20"/>
              </w:rPr>
              <w:t>Secure, HTTP-only cookies with SameSite restrictions and production-only secure transport.</w:t>
            </w:r>
          </w:p>
        </w:tc>
        <w:tc>
          <w:tcPr>
            <w:tcW w:type="dxa" w:w="3744"/>
            <w:vAlign w:val="center"/>
            <w:tcMar>
              <w:top w:w="90" w:type="dxa"/>
              <w:start w:w="120" w:type="dxa"/>
              <w:bottom w:w="90" w:type="dxa"/>
              <w:end w:w="120" w:type="dxa"/>
            </w:tcMar>
          </w:tcPr>
          <w:p>
            <w:pPr>
              <w:spacing w:after="0" w:line="264" w:lineRule="auto"/>
            </w:pPr>
            <w:r/>
            <w:r>
              <w:rPr>
                <w:rFonts w:ascii="Arial" w:hAnsi="Arial"/>
                <w:b w:val="0"/>
                <w:color w:val="202020"/>
                <w:sz w:val="20"/>
              </w:rPr>
              <w:t>Reduces browser-session theft and prevents JavaScript from reading the session cookie.</w:t>
            </w:r>
          </w:p>
        </w:tc>
      </w:tr>
      <w:tr>
        <w:trPr>
          <w:cantSplit/>
        </w:trPr>
        <w:tc>
          <w:tcPr>
            <w:tcW w:type="dxa" w:w="1728"/>
            <w:vAlign w:val="center"/>
            <w:tcMar>
              <w:top w:w="90" w:type="dxa"/>
              <w:start w:w="120" w:type="dxa"/>
              <w:bottom w:w="90" w:type="dxa"/>
              <w:end w:w="120" w:type="dxa"/>
            </w:tcMar>
          </w:tcPr>
          <w:p>
            <w:pPr>
              <w:spacing w:after="0" w:line="264" w:lineRule="auto"/>
            </w:pPr>
            <w:r/>
            <w:r>
              <w:rPr>
                <w:rFonts w:ascii="Arial" w:hAnsi="Arial"/>
                <w:b w:val="0"/>
                <w:color w:val="202020"/>
                <w:sz w:val="20"/>
              </w:rPr>
              <w:t>Transport</w:t>
            </w:r>
          </w:p>
        </w:tc>
        <w:tc>
          <w:tcPr>
            <w:tcW w:type="dxa" w:w="4176"/>
            <w:vAlign w:val="center"/>
            <w:tcMar>
              <w:top w:w="90" w:type="dxa"/>
              <w:start w:w="120" w:type="dxa"/>
              <w:bottom w:w="90" w:type="dxa"/>
              <w:end w:w="120" w:type="dxa"/>
            </w:tcMar>
          </w:tcPr>
          <w:p>
            <w:pPr>
              <w:spacing w:after="0" w:line="264" w:lineRule="auto"/>
            </w:pPr>
            <w:r/>
            <w:r>
              <w:rPr>
                <w:rFonts w:ascii="Arial" w:hAnsi="Arial"/>
                <w:b w:val="0"/>
                <w:color w:val="202020"/>
                <w:sz w:val="20"/>
              </w:rPr>
              <w:t>Production traffic uses HTTPS; Microsoft Graph and OpenAI API requests use encrypted network connections.</w:t>
            </w:r>
          </w:p>
        </w:tc>
        <w:tc>
          <w:tcPr>
            <w:tcW w:type="dxa" w:w="3744"/>
            <w:vAlign w:val="center"/>
            <w:tcMar>
              <w:top w:w="90" w:type="dxa"/>
              <w:start w:w="120" w:type="dxa"/>
              <w:bottom w:w="90" w:type="dxa"/>
              <w:end w:w="120" w:type="dxa"/>
            </w:tcMar>
          </w:tcPr>
          <w:p>
            <w:pPr>
              <w:spacing w:after="0" w:line="264" w:lineRule="auto"/>
            </w:pPr>
            <w:r/>
            <w:r>
              <w:rPr>
                <w:rFonts w:ascii="Arial" w:hAnsi="Arial"/>
                <w:b w:val="0"/>
                <w:color w:val="202020"/>
                <w:sz w:val="20"/>
              </w:rPr>
              <w:t>Protects information while it travels between services.</w:t>
            </w:r>
          </w:p>
        </w:tc>
      </w:tr>
      <w:tr>
        <w:trPr>
          <w:cantSplit/>
        </w:trPr>
        <w:tc>
          <w:tcPr>
            <w:tcW w:type="dxa" w:w="1728"/>
            <w:vAlign w:val="center"/>
            <w:tcMar>
              <w:top w:w="90" w:type="dxa"/>
              <w:start w:w="120" w:type="dxa"/>
              <w:bottom w:w="90" w:type="dxa"/>
              <w:end w:w="120" w:type="dxa"/>
            </w:tcMar>
          </w:tcPr>
          <w:p>
            <w:pPr>
              <w:spacing w:after="0" w:line="264" w:lineRule="auto"/>
            </w:pPr>
            <w:r/>
            <w:r>
              <w:rPr>
                <w:rFonts w:ascii="Arial" w:hAnsi="Arial"/>
                <w:b w:val="0"/>
                <w:color w:val="202020"/>
                <w:sz w:val="20"/>
              </w:rPr>
              <w:t>Secrets</w:t>
            </w:r>
          </w:p>
        </w:tc>
        <w:tc>
          <w:tcPr>
            <w:tcW w:type="dxa" w:w="4176"/>
            <w:vAlign w:val="center"/>
            <w:tcMar>
              <w:top w:w="90" w:type="dxa"/>
              <w:start w:w="120" w:type="dxa"/>
              <w:bottom w:w="90" w:type="dxa"/>
              <w:end w:w="120" w:type="dxa"/>
            </w:tcMar>
          </w:tcPr>
          <w:p>
            <w:pPr>
              <w:spacing w:after="0" w:line="264" w:lineRule="auto"/>
            </w:pPr>
            <w:r/>
            <w:r>
              <w:rPr>
                <w:rFonts w:ascii="Arial" w:hAnsi="Arial"/>
                <w:b w:val="0"/>
                <w:color w:val="202020"/>
                <w:sz w:val="20"/>
              </w:rPr>
              <w:t>Credentials are supplied through sealed Railway environment variables rather than frontend code or GitHub.</w:t>
            </w:r>
          </w:p>
        </w:tc>
        <w:tc>
          <w:tcPr>
            <w:tcW w:type="dxa" w:w="3744"/>
            <w:vAlign w:val="center"/>
            <w:tcMar>
              <w:top w:w="90" w:type="dxa"/>
              <w:start w:w="120" w:type="dxa"/>
              <w:bottom w:w="90" w:type="dxa"/>
              <w:end w:w="120" w:type="dxa"/>
            </w:tcMar>
          </w:tcPr>
          <w:p>
            <w:pPr>
              <w:spacing w:after="0" w:line="264" w:lineRule="auto"/>
            </w:pPr>
            <w:r/>
            <w:r>
              <w:rPr>
                <w:rFonts w:ascii="Arial" w:hAnsi="Arial"/>
                <w:b w:val="0"/>
                <w:color w:val="202020"/>
                <w:sz w:val="20"/>
              </w:rPr>
              <w:t>Keeps credentials out of the repository and browser.</w:t>
            </w:r>
          </w:p>
        </w:tc>
      </w:tr>
      <w:tr>
        <w:trPr>
          <w:cantSplit/>
        </w:trPr>
        <w:tc>
          <w:tcPr>
            <w:tcW w:type="dxa" w:w="1728"/>
            <w:vAlign w:val="center"/>
            <w:tcMar>
              <w:top w:w="90" w:type="dxa"/>
              <w:start w:w="120" w:type="dxa"/>
              <w:bottom w:w="90" w:type="dxa"/>
              <w:end w:w="120" w:type="dxa"/>
            </w:tcMar>
          </w:tcPr>
          <w:p>
            <w:pPr>
              <w:spacing w:after="0" w:line="264" w:lineRule="auto"/>
            </w:pPr>
            <w:r/>
            <w:r>
              <w:rPr>
                <w:rFonts w:ascii="Arial" w:hAnsi="Arial"/>
                <w:b w:val="0"/>
                <w:color w:val="202020"/>
                <w:sz w:val="20"/>
              </w:rPr>
              <w:t>Web hardening</w:t>
            </w:r>
          </w:p>
        </w:tc>
        <w:tc>
          <w:tcPr>
            <w:tcW w:type="dxa" w:w="4176"/>
            <w:vAlign w:val="center"/>
            <w:tcMar>
              <w:top w:w="90" w:type="dxa"/>
              <w:start w:w="120" w:type="dxa"/>
              <w:bottom w:w="90" w:type="dxa"/>
              <w:end w:w="120" w:type="dxa"/>
            </w:tcMar>
          </w:tcPr>
          <w:p>
            <w:pPr>
              <w:spacing w:after="0" w:line="264" w:lineRule="auto"/>
            </w:pPr>
            <w:r/>
            <w:r>
              <w:rPr>
                <w:rFonts w:ascii="Arial" w:hAnsi="Arial"/>
                <w:b w:val="0"/>
                <w:color w:val="202020"/>
                <w:sz w:val="20"/>
              </w:rPr>
              <w:t>Security headers, request validation, role checks, and login rate limiting are implemented.</w:t>
            </w:r>
          </w:p>
        </w:tc>
        <w:tc>
          <w:tcPr>
            <w:tcW w:type="dxa" w:w="3744"/>
            <w:vAlign w:val="center"/>
            <w:tcMar>
              <w:top w:w="90" w:type="dxa"/>
              <w:start w:w="120" w:type="dxa"/>
              <w:bottom w:w="90" w:type="dxa"/>
              <w:end w:w="120" w:type="dxa"/>
            </w:tcMar>
          </w:tcPr>
          <w:p>
            <w:pPr>
              <w:spacing w:after="0" w:line="264" w:lineRule="auto"/>
            </w:pPr>
            <w:r/>
            <w:r>
              <w:rPr>
                <w:rFonts w:ascii="Arial" w:hAnsi="Arial"/>
                <w:b w:val="0"/>
                <w:color w:val="202020"/>
                <w:sz w:val="20"/>
              </w:rPr>
              <w:t>Reduces common browser and authentication attacks.</w:t>
            </w:r>
          </w:p>
        </w:tc>
      </w:tr>
      <w:tr>
        <w:trPr>
          <w:cantSplit/>
        </w:trPr>
        <w:tc>
          <w:tcPr>
            <w:tcW w:type="dxa" w:w="1728"/>
            <w:vAlign w:val="center"/>
            <w:tcMar>
              <w:top w:w="90" w:type="dxa"/>
              <w:start w:w="120" w:type="dxa"/>
              <w:bottom w:w="90" w:type="dxa"/>
              <w:end w:w="120" w:type="dxa"/>
            </w:tcMar>
          </w:tcPr>
          <w:p>
            <w:pPr>
              <w:spacing w:after="0" w:line="264" w:lineRule="auto"/>
            </w:pPr>
            <w:r/>
            <w:r>
              <w:rPr>
                <w:rFonts w:ascii="Arial" w:hAnsi="Arial"/>
                <w:b w:val="0"/>
                <w:color w:val="202020"/>
                <w:sz w:val="20"/>
              </w:rPr>
              <w:t>Auditability</w:t>
            </w:r>
          </w:p>
        </w:tc>
        <w:tc>
          <w:tcPr>
            <w:tcW w:type="dxa" w:w="4176"/>
            <w:vAlign w:val="center"/>
            <w:tcMar>
              <w:top w:w="90" w:type="dxa"/>
              <w:start w:w="120" w:type="dxa"/>
              <w:bottom w:w="90" w:type="dxa"/>
              <w:end w:w="120" w:type="dxa"/>
            </w:tcMar>
          </w:tcPr>
          <w:p>
            <w:pPr>
              <w:spacing w:after="0" w:line="264" w:lineRule="auto"/>
            </w:pPr>
            <w:r/>
            <w:r>
              <w:rPr>
                <w:rFonts w:ascii="Arial" w:hAnsi="Arial"/>
                <w:b w:val="0"/>
                <w:color w:val="202020"/>
                <w:sz w:val="20"/>
              </w:rPr>
              <w:t>Reviewer, administrator, and automated actions are recorded.</w:t>
            </w:r>
          </w:p>
        </w:tc>
        <w:tc>
          <w:tcPr>
            <w:tcW w:type="dxa" w:w="3744"/>
            <w:vAlign w:val="center"/>
            <w:tcMar>
              <w:top w:w="90" w:type="dxa"/>
              <w:start w:w="120" w:type="dxa"/>
              <w:bottom w:w="90" w:type="dxa"/>
              <w:end w:w="120" w:type="dxa"/>
            </w:tcMar>
          </w:tcPr>
          <w:p>
            <w:pPr>
              <w:spacing w:after="0" w:line="264" w:lineRule="auto"/>
            </w:pPr>
            <w:r/>
            <w:r>
              <w:rPr>
                <w:rFonts w:ascii="Arial" w:hAnsi="Arial"/>
                <w:b w:val="0"/>
                <w:color w:val="202020"/>
                <w:sz w:val="20"/>
              </w:rPr>
              <w:t>Supports investigation and accountability.</w:t>
            </w:r>
          </w:p>
        </w:tc>
      </w:tr>
      <w:tr>
        <w:trPr>
          <w:cantSplit/>
        </w:trPr>
        <w:tc>
          <w:tcPr>
            <w:tcW w:type="dxa" w:w="1728"/>
            <w:vAlign w:val="center"/>
            <w:tcMar>
              <w:top w:w="90" w:type="dxa"/>
              <w:start w:w="120" w:type="dxa"/>
              <w:bottom w:w="90" w:type="dxa"/>
              <w:end w:w="120" w:type="dxa"/>
            </w:tcMar>
          </w:tcPr>
          <w:p>
            <w:pPr>
              <w:spacing w:after="0" w:line="264" w:lineRule="auto"/>
            </w:pPr>
            <w:r/>
            <w:r>
              <w:rPr>
                <w:rFonts w:ascii="Arial" w:hAnsi="Arial"/>
                <w:b w:val="0"/>
                <w:color w:val="202020"/>
                <w:sz w:val="20"/>
              </w:rPr>
              <w:t>AI control</w:t>
            </w:r>
          </w:p>
        </w:tc>
        <w:tc>
          <w:tcPr>
            <w:tcW w:type="dxa" w:w="4176"/>
            <w:vAlign w:val="center"/>
            <w:tcMar>
              <w:top w:w="90" w:type="dxa"/>
              <w:start w:w="120" w:type="dxa"/>
              <w:bottom w:w="90" w:type="dxa"/>
              <w:end w:w="120" w:type="dxa"/>
            </w:tcMar>
          </w:tcPr>
          <w:p>
            <w:pPr>
              <w:spacing w:after="0" w:line="264" w:lineRule="auto"/>
            </w:pPr>
            <w:r/>
            <w:r>
              <w:rPr>
                <w:rFonts w:ascii="Arial" w:hAnsi="Arial"/>
                <w:b w:val="0"/>
                <w:color w:val="202020"/>
                <w:sz w:val="20"/>
              </w:rPr>
              <w:t>OpenAI requests set store=False, and AI can be disabled per inbox.</w:t>
            </w:r>
          </w:p>
        </w:tc>
        <w:tc>
          <w:tcPr>
            <w:tcW w:type="dxa" w:w="3744"/>
            <w:vAlign w:val="center"/>
            <w:tcMar>
              <w:top w:w="90" w:type="dxa"/>
              <w:start w:w="120" w:type="dxa"/>
              <w:bottom w:w="90" w:type="dxa"/>
              <w:end w:w="120" w:type="dxa"/>
            </w:tcMar>
          </w:tcPr>
          <w:p>
            <w:pPr>
              <w:spacing w:after="0" w:line="264" w:lineRule="auto"/>
            </w:pPr>
            <w:r/>
            <w:r>
              <w:rPr>
                <w:rFonts w:ascii="Arial" w:hAnsi="Arial"/>
                <w:b w:val="0"/>
                <w:color w:val="202020"/>
                <w:sz w:val="20"/>
              </w:rPr>
              <w:t>Reduces persistence and provides a human-only emergency path.</w:t>
            </w:r>
          </w:p>
        </w:tc>
      </w:tr>
    </w:tbl>
    <w:p>
      <w:pPr>
        <w:spacing w:after="40"/>
      </w:pPr>
    </w:p>
    <w:p>
      <w:pPr>
        <w:pStyle w:val="Heading1"/>
      </w:pPr>
      <w:r>
        <w:t>6. Current storage risk</w:t>
      </w:r>
    </w:p>
    <w:p>
      <w:r>
        <w:t>The original email is stored in Microsoft 365. When the Hub needs a temporary email-body copy for the manual-approval queue, the encrypted PostgreSQL database is the only place where the Hub persists it. The Hub does not use any other persistent store for email bodies.</w:t>
      </w:r>
    </w:p>
    <w:tbl>
      <w:tblPr>
        <w:tblW w:type="auto" w:w="0"/>
        <w:jc w:val="left"/>
        <w:tblLayout w:type="fixed"/>
        <w:tblLook w:firstColumn="1" w:firstRow="1" w:lastColumn="0" w:lastRow="0" w:noHBand="0" w:noVBand="1" w:val="04A0"/>
        <w:tblBorders>
          <w:top w:val="single" w:sz="4" w:space="0" w:color="B7D8CC"/>
          <w:left w:val="single" w:sz="4" w:space="0" w:color="B7D8CC"/>
          <w:bottom w:val="single" w:sz="4" w:space="0" w:color="B7D8CC"/>
          <w:right w:val="single" w:sz="4" w:space="0" w:color="B7D8CC"/>
          <w:insideH w:val="single" w:sz="4" w:space="0" w:color="B7D8CC"/>
          <w:insideV w:val="single" w:sz="4" w:space="0" w:color="B7D8CC"/>
        </w:tblBorders>
      </w:tblPr>
      <w:tblGrid>
        <w:gridCol w:w="9648"/>
      </w:tblGrid>
      <w:tr>
        <w:trPr>
          <w:cantSplit/>
        </w:trPr>
        <w:tc>
          <w:tcPr>
            <w:tcW w:type="dxa" w:w="9648"/>
            <w:shd w:fill="EAF4F0"/>
            <w:tcMar>
              <w:top w:w="120" w:type="dxa"/>
              <w:start w:w="160" w:type="dxa"/>
              <w:bottom w:w="120" w:type="dxa"/>
              <w:end w:w="160" w:type="dxa"/>
            </w:tcMar>
          </w:tcPr>
          <w:p>
            <w:pPr>
              <w:spacing w:after="0" w:line="276" w:lineRule="auto"/>
            </w:pPr>
            <w:r/>
            <w:r>
              <w:rPr>
                <w:rFonts w:ascii="Arial" w:hAnsi="Arial"/>
                <w:b/>
                <w:color w:val="0B574A"/>
                <w:sz w:val="21"/>
              </w:rPr>
              <w:t xml:space="preserve">Why application-level encryption is used  </w:t>
            </w:r>
            <w:r>
              <w:rPr>
                <w:rFonts w:ascii="Arial" w:hAnsi="Arial"/>
                <w:color w:val="202020"/>
                <w:sz w:val="21"/>
              </w:rPr>
              <w:t>Database and infrastructure protections are important, but application-level encryption means a database export or backup does not reveal queue content without the separate encryption key.</w:t>
            </w:r>
          </w:p>
        </w:tc>
      </w:tr>
    </w:tbl>
    <w:p>
      <w:pPr>
        <w:spacing w:after="0"/>
      </w:pPr>
    </w:p>
    <w:p>
      <w:r>
        <w:t>Encryption does not make the system invulnerable. A fully compromised application that can also read the Railway encryption key may decrypt records. Authorized reviewers also see plaintext after the backend decrypts it. The goal is to reduce the damage from a database-only or backup-only exposure.</w:t>
      </w:r>
    </w:p>
    <w:p>
      <w:pPr>
        <w:pStyle w:val="Heading1"/>
      </w:pPr>
      <w:r>
        <w:t>7. What the new encryption does</w:t>
      </w:r>
    </w:p>
    <w:p>
      <w:r>
        <w:t>The Hub uses Fernet authenticated encryption in the backend storage layer. Fernet converts readable information (plaintext) into unreadable ciphertext and verifies that the ciphertext was not modified. A separate secret key is required to decrypt it.</w:t>
      </w:r>
    </w:p>
    <w:tbl>
      <w:tblPr>
        <w:tblW w:type="auto" w:w="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376"/>
        <w:gridCol w:w="7272"/>
      </w:tblGrid>
      <w:tr>
        <w:trPr>
          <w:cantSplit/>
          <w:tblHeader w:val="true"/>
        </w:trPr>
        <w:tc>
          <w:tcPr>
            <w:tcW w:type="dxa" w:w="4824"/>
            <w:vAlign w:val="center"/>
            <w:tcMar>
              <w:top w:w="90" w:type="dxa"/>
              <w:start w:w="120" w:type="dxa"/>
              <w:bottom w:w="90" w:type="dxa"/>
              <w:end w:w="120" w:type="dxa"/>
            </w:tcMar>
            <w:shd w:fill="EAF4F0"/>
          </w:tcPr>
          <w:p>
            <w:pPr>
              <w:spacing w:after="0" w:line="264" w:lineRule="auto"/>
            </w:pPr>
            <w:r/>
            <w:r>
              <w:rPr>
                <w:rFonts w:ascii="Arial" w:hAnsi="Arial"/>
                <w:b/>
                <w:color w:val="0B574A"/>
                <w:sz w:val="20"/>
              </w:rPr>
              <w:t>Term</w:t>
            </w:r>
          </w:p>
        </w:tc>
        <w:tc>
          <w:tcPr>
            <w:tcW w:type="dxa" w:w="4824"/>
            <w:vAlign w:val="center"/>
            <w:tcMar>
              <w:top w:w="90" w:type="dxa"/>
              <w:start w:w="120" w:type="dxa"/>
              <w:bottom w:w="90" w:type="dxa"/>
              <w:end w:w="120" w:type="dxa"/>
            </w:tcMar>
            <w:shd w:fill="EAF4F0"/>
          </w:tcPr>
          <w:p>
            <w:pPr>
              <w:spacing w:after="0" w:line="264" w:lineRule="auto"/>
            </w:pPr>
            <w:r/>
            <w:r>
              <w:rPr>
                <w:rFonts w:ascii="Arial" w:hAnsi="Arial"/>
                <w:b/>
                <w:color w:val="0B574A"/>
                <w:sz w:val="20"/>
              </w:rPr>
              <w:t>Meaning in this project</w:t>
            </w:r>
          </w:p>
        </w:tc>
      </w:tr>
      <w:tr>
        <w:trPr>
          <w:cantSplit/>
        </w:trPr>
        <w:tc>
          <w:tcPr>
            <w:tcW w:type="dxa" w:w="2376"/>
            <w:vAlign w:val="center"/>
            <w:tcMar>
              <w:top w:w="90" w:type="dxa"/>
              <w:start w:w="120" w:type="dxa"/>
              <w:bottom w:w="90" w:type="dxa"/>
              <w:end w:w="120" w:type="dxa"/>
            </w:tcMar>
          </w:tcPr>
          <w:p>
            <w:pPr>
              <w:spacing w:after="0" w:line="264" w:lineRule="auto"/>
            </w:pPr>
            <w:r/>
            <w:r>
              <w:rPr>
                <w:rFonts w:ascii="Arial" w:hAnsi="Arial"/>
                <w:b w:val="0"/>
                <w:color w:val="202020"/>
                <w:sz w:val="20"/>
              </w:rPr>
              <w:t>Plaintext</w:t>
            </w:r>
          </w:p>
        </w:tc>
        <w:tc>
          <w:tcPr>
            <w:tcW w:type="dxa" w:w="7272"/>
            <w:vAlign w:val="center"/>
            <w:tcMar>
              <w:top w:w="90" w:type="dxa"/>
              <w:start w:w="120" w:type="dxa"/>
              <w:bottom w:w="90" w:type="dxa"/>
              <w:end w:w="120" w:type="dxa"/>
            </w:tcMar>
          </w:tcPr>
          <w:p>
            <w:pPr>
              <w:spacing w:after="0" w:line="264" w:lineRule="auto"/>
            </w:pPr>
            <w:r/>
            <w:r>
              <w:rPr>
                <w:rFonts w:ascii="Arial" w:hAnsi="Arial"/>
                <w:b w:val="0"/>
                <w:color w:val="202020"/>
                <w:sz w:val="20"/>
              </w:rPr>
              <w:t>Readable email data, such as “I need legal assistance.”</w:t>
            </w:r>
          </w:p>
        </w:tc>
      </w:tr>
      <w:tr>
        <w:trPr>
          <w:cantSplit/>
        </w:trPr>
        <w:tc>
          <w:tcPr>
            <w:tcW w:type="dxa" w:w="2376"/>
            <w:vAlign w:val="center"/>
            <w:tcMar>
              <w:top w:w="90" w:type="dxa"/>
              <w:start w:w="120" w:type="dxa"/>
              <w:bottom w:w="90" w:type="dxa"/>
              <w:end w:w="120" w:type="dxa"/>
            </w:tcMar>
          </w:tcPr>
          <w:p>
            <w:pPr>
              <w:spacing w:after="0" w:line="264" w:lineRule="auto"/>
            </w:pPr>
            <w:r/>
            <w:r>
              <w:rPr>
                <w:rFonts w:ascii="Arial" w:hAnsi="Arial"/>
                <w:b w:val="0"/>
                <w:color w:val="202020"/>
                <w:sz w:val="20"/>
              </w:rPr>
              <w:t>Ciphertext</w:t>
            </w:r>
          </w:p>
        </w:tc>
        <w:tc>
          <w:tcPr>
            <w:tcW w:type="dxa" w:w="7272"/>
            <w:vAlign w:val="center"/>
            <w:tcMar>
              <w:top w:w="90" w:type="dxa"/>
              <w:start w:w="120" w:type="dxa"/>
              <w:bottom w:w="90" w:type="dxa"/>
              <w:end w:w="120" w:type="dxa"/>
            </w:tcMar>
          </w:tcPr>
          <w:p>
            <w:pPr>
              <w:spacing w:after="0" w:line="264" w:lineRule="auto"/>
            </w:pPr>
            <w:r/>
            <w:r>
              <w:rPr>
                <w:rFonts w:ascii="Arial" w:hAnsi="Arial"/>
                <w:b w:val="0"/>
                <w:color w:val="202020"/>
                <w:sz w:val="20"/>
              </w:rPr>
              <w:t>An unreadable value similar to gAAAAAB… stored in PostgreSQL.</w:t>
            </w:r>
          </w:p>
        </w:tc>
      </w:tr>
      <w:tr>
        <w:trPr>
          <w:cantSplit/>
        </w:trPr>
        <w:tc>
          <w:tcPr>
            <w:tcW w:type="dxa" w:w="2376"/>
            <w:vAlign w:val="center"/>
            <w:tcMar>
              <w:top w:w="90" w:type="dxa"/>
              <w:start w:w="120" w:type="dxa"/>
              <w:bottom w:w="90" w:type="dxa"/>
              <w:end w:w="120" w:type="dxa"/>
            </w:tcMar>
          </w:tcPr>
          <w:p>
            <w:pPr>
              <w:spacing w:after="0" w:line="264" w:lineRule="auto"/>
            </w:pPr>
            <w:r/>
            <w:r>
              <w:rPr>
                <w:rFonts w:ascii="Arial" w:hAnsi="Arial"/>
                <w:b w:val="0"/>
                <w:color w:val="202020"/>
                <w:sz w:val="20"/>
              </w:rPr>
              <w:t>Encryption key</w:t>
            </w:r>
          </w:p>
        </w:tc>
        <w:tc>
          <w:tcPr>
            <w:tcW w:type="dxa" w:w="7272"/>
            <w:vAlign w:val="center"/>
            <w:tcMar>
              <w:top w:w="90" w:type="dxa"/>
              <w:start w:w="120" w:type="dxa"/>
              <w:bottom w:w="90" w:type="dxa"/>
              <w:end w:w="120" w:type="dxa"/>
            </w:tcMar>
          </w:tcPr>
          <w:p>
            <w:pPr>
              <w:spacing w:after="0" w:line="264" w:lineRule="auto"/>
            </w:pPr>
            <w:r/>
            <w:r>
              <w:rPr>
                <w:rFonts w:ascii="Arial" w:hAnsi="Arial"/>
                <w:b w:val="0"/>
                <w:color w:val="202020"/>
                <w:sz w:val="20"/>
              </w:rPr>
              <w:t>A secret value stored as a sealed Railway variable, not inside PostgreSQL or GitHub.</w:t>
            </w:r>
          </w:p>
        </w:tc>
      </w:tr>
      <w:tr>
        <w:trPr>
          <w:cantSplit/>
        </w:trPr>
        <w:tc>
          <w:tcPr>
            <w:tcW w:type="dxa" w:w="2376"/>
            <w:vAlign w:val="center"/>
            <w:tcMar>
              <w:top w:w="90" w:type="dxa"/>
              <w:start w:w="120" w:type="dxa"/>
              <w:bottom w:w="90" w:type="dxa"/>
              <w:end w:w="120" w:type="dxa"/>
            </w:tcMar>
          </w:tcPr>
          <w:p>
            <w:pPr>
              <w:spacing w:after="0" w:line="264" w:lineRule="auto"/>
            </w:pPr>
            <w:r/>
            <w:r>
              <w:rPr>
                <w:rFonts w:ascii="Arial" w:hAnsi="Arial"/>
                <w:b w:val="0"/>
                <w:color w:val="202020"/>
                <w:sz w:val="20"/>
              </w:rPr>
              <w:t>Authenticated encryption</w:t>
            </w:r>
          </w:p>
        </w:tc>
        <w:tc>
          <w:tcPr>
            <w:tcW w:type="dxa" w:w="7272"/>
            <w:vAlign w:val="center"/>
            <w:tcMar>
              <w:top w:w="90" w:type="dxa"/>
              <w:start w:w="120" w:type="dxa"/>
              <w:bottom w:w="90" w:type="dxa"/>
              <w:end w:w="120" w:type="dxa"/>
            </w:tcMar>
          </w:tcPr>
          <w:p>
            <w:pPr>
              <w:spacing w:after="0" w:line="264" w:lineRule="auto"/>
            </w:pPr>
            <w:r/>
            <w:r>
              <w:rPr>
                <w:rFonts w:ascii="Arial" w:hAnsi="Arial"/>
                <w:b w:val="0"/>
                <w:color w:val="202020"/>
                <w:sz w:val="20"/>
              </w:rPr>
              <w:t>Encryption that also detects accidental or malicious alteration.</w:t>
            </w:r>
          </w:p>
        </w:tc>
      </w:tr>
      <w:tr>
        <w:trPr>
          <w:cantSplit/>
        </w:trPr>
        <w:tc>
          <w:tcPr>
            <w:tcW w:type="dxa" w:w="2376"/>
            <w:vAlign w:val="center"/>
            <w:tcMar>
              <w:top w:w="90" w:type="dxa"/>
              <w:start w:w="120" w:type="dxa"/>
              <w:bottom w:w="90" w:type="dxa"/>
              <w:end w:w="120" w:type="dxa"/>
            </w:tcMar>
          </w:tcPr>
          <w:p>
            <w:pPr>
              <w:spacing w:after="0" w:line="264" w:lineRule="auto"/>
            </w:pPr>
            <w:r/>
            <w:r>
              <w:rPr>
                <w:rFonts w:ascii="Arial" w:hAnsi="Arial"/>
                <w:b w:val="0"/>
                <w:color w:val="202020"/>
                <w:sz w:val="20"/>
              </w:rPr>
              <w:t>Key version</w:t>
            </w:r>
          </w:p>
        </w:tc>
        <w:tc>
          <w:tcPr>
            <w:tcW w:type="dxa" w:w="7272"/>
            <w:vAlign w:val="center"/>
            <w:tcMar>
              <w:top w:w="90" w:type="dxa"/>
              <w:start w:w="120" w:type="dxa"/>
              <w:bottom w:w="90" w:type="dxa"/>
              <w:end w:w="120" w:type="dxa"/>
            </w:tcMar>
          </w:tcPr>
          <w:p>
            <w:pPr>
              <w:spacing w:after="0" w:line="264" w:lineRule="auto"/>
            </w:pPr>
            <w:r/>
            <w:r>
              <w:rPr>
                <w:rFonts w:ascii="Arial" w:hAnsi="Arial"/>
                <w:b w:val="0"/>
                <w:color w:val="202020"/>
                <w:sz w:val="20"/>
              </w:rPr>
              <w:t>A number stored with each encrypted row so the backend knows which key can decrypt it.</w:t>
            </w:r>
          </w:p>
        </w:tc>
      </w:tr>
      <w:tr>
        <w:trPr>
          <w:cantSplit/>
        </w:trPr>
        <w:tc>
          <w:tcPr>
            <w:tcW w:type="dxa" w:w="2376"/>
            <w:vAlign w:val="center"/>
            <w:tcMar>
              <w:top w:w="90" w:type="dxa"/>
              <w:start w:w="120" w:type="dxa"/>
              <w:bottom w:w="90" w:type="dxa"/>
              <w:end w:w="120" w:type="dxa"/>
            </w:tcMar>
          </w:tcPr>
          <w:p>
            <w:pPr>
              <w:spacing w:after="0" w:line="264" w:lineRule="auto"/>
            </w:pPr>
            <w:r/>
            <w:r>
              <w:rPr>
                <w:rFonts w:ascii="Arial" w:hAnsi="Arial"/>
                <w:b w:val="0"/>
                <w:color w:val="202020"/>
                <w:sz w:val="20"/>
              </w:rPr>
              <w:t>Decryption</w:t>
            </w:r>
          </w:p>
        </w:tc>
        <w:tc>
          <w:tcPr>
            <w:tcW w:type="dxa" w:w="7272"/>
            <w:vAlign w:val="center"/>
            <w:tcMar>
              <w:top w:w="90" w:type="dxa"/>
              <w:start w:w="120" w:type="dxa"/>
              <w:bottom w:w="90" w:type="dxa"/>
              <w:end w:w="120" w:type="dxa"/>
            </w:tcMar>
          </w:tcPr>
          <w:p>
            <w:pPr>
              <w:spacing w:after="0" w:line="264" w:lineRule="auto"/>
            </w:pPr>
            <w:r/>
            <w:r>
              <w:rPr>
                <w:rFonts w:ascii="Arial" w:hAnsi="Arial"/>
                <w:b w:val="0"/>
                <w:color w:val="202020"/>
                <w:sz w:val="20"/>
              </w:rPr>
              <w:t>The backend converts ciphertext back to readable text after authentication and authorization checks. Decryption does not happen in PostgreSQL or frontend JavaScript.</w:t>
            </w:r>
          </w:p>
        </w:tc>
      </w:tr>
    </w:tbl>
    <w:p>
      <w:pPr>
        <w:spacing w:after="40"/>
      </w:pPr>
    </w:p>
    <w:tbl>
      <w:tblPr>
        <w:tblW w:type="auto" w:w="0"/>
        <w:jc w:val="left"/>
        <w:tblLayout w:type="fixed"/>
        <w:tblLook w:firstColumn="1" w:firstRow="1" w:lastColumn="0" w:lastRow="0" w:noHBand="0" w:noVBand="1" w:val="04A0"/>
        <w:tblBorders>
          <w:top w:val="single" w:sz="4" w:space="0" w:color="E5C980"/>
          <w:left w:val="single" w:sz="4" w:space="0" w:color="E5C980"/>
          <w:bottom w:val="single" w:sz="4" w:space="0" w:color="E5C980"/>
          <w:right w:val="single" w:sz="4" w:space="0" w:color="E5C980"/>
          <w:insideH w:val="single" w:sz="4" w:space="0" w:color="E5C980"/>
          <w:insideV w:val="single" w:sz="4" w:space="0" w:color="E5C980"/>
        </w:tblBorders>
      </w:tblPr>
      <w:tblGrid>
        <w:gridCol w:w="9648"/>
      </w:tblGrid>
      <w:tr>
        <w:trPr>
          <w:cantSplit/>
        </w:trPr>
        <w:tc>
          <w:tcPr>
            <w:tcW w:type="dxa" w:w="9648"/>
            <w:shd w:fill="FFF6E5"/>
            <w:tcMar>
              <w:top w:w="120" w:type="dxa"/>
              <w:start w:w="160" w:type="dxa"/>
              <w:bottom w:w="120" w:type="dxa"/>
              <w:end w:w="160" w:type="dxa"/>
            </w:tcMar>
          </w:tcPr>
          <w:p>
            <w:pPr>
              <w:spacing w:after="0" w:line="276" w:lineRule="auto"/>
            </w:pPr>
            <w:r/>
            <w:r>
              <w:rPr>
                <w:rFonts w:ascii="Arial" w:hAnsi="Arial"/>
                <w:b/>
                <w:color w:val="8A5B00"/>
                <w:sz w:val="21"/>
              </w:rPr>
              <w:t xml:space="preserve">Why not SHA-256?  </w:t>
            </w:r>
            <w:r>
              <w:rPr>
                <w:rFonts w:ascii="Arial" w:hAnsi="Arial"/>
                <w:color w:val="202020"/>
                <w:sz w:val="21"/>
              </w:rPr>
              <w:t>SHA-256 is a one-way hash, not reversible encryption. It is useful for checking or comparing values, but the Hub could not recover an email body from a SHA-256 hash for reviewer display.</w:t>
            </w:r>
          </w:p>
        </w:tc>
      </w:tr>
    </w:tbl>
    <w:p>
      <w:pPr>
        <w:spacing w:after="0"/>
      </w:pPr>
    </w:p>
    <w:p>
      <w:pPr>
        <w:pStyle w:val="Heading1"/>
      </w:pPr>
      <w:r>
        <w:t>8. Encrypted queue storage and retention</w:t>
      </w:r>
    </w:p>
    <w:p>
      <w:r>
        <w:t>The implemented queue-security modes support encrypted temporary storage, live Microsoft retrieval, controlled retention, and key rotation. The staged procedure below is retained as the verified deployment record and recovery reference.</w:t>
      </w:r>
    </w:p>
    <w:tbl>
      <w:tblPr>
        <w:tblW w:type="auto" w:w="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088"/>
        <w:gridCol w:w="4536"/>
        <w:gridCol w:w="3024"/>
      </w:tblGrid>
      <w:tr>
        <w:trPr>
          <w:cantSplit/>
          <w:tblHeader w:val="true"/>
        </w:trPr>
        <w:tc>
          <w:tcPr>
            <w:tcW w:type="dxa" w:w="3216"/>
            <w:vAlign w:val="center"/>
            <w:tcMar>
              <w:top w:w="90" w:type="dxa"/>
              <w:start w:w="120" w:type="dxa"/>
              <w:bottom w:w="90" w:type="dxa"/>
              <w:end w:w="120" w:type="dxa"/>
            </w:tcMar>
            <w:shd w:fill="EAF4F0"/>
          </w:tcPr>
          <w:p>
            <w:pPr>
              <w:spacing w:after="0" w:line="264" w:lineRule="auto"/>
            </w:pPr>
            <w:r/>
            <w:r>
              <w:rPr>
                <w:rFonts w:ascii="Arial" w:hAnsi="Arial"/>
                <w:b/>
                <w:color w:val="0B574A"/>
                <w:sz w:val="20"/>
              </w:rPr>
              <w:t>Mode</w:t>
            </w:r>
          </w:p>
        </w:tc>
        <w:tc>
          <w:tcPr>
            <w:tcW w:type="dxa" w:w="3216"/>
            <w:vAlign w:val="center"/>
            <w:tcMar>
              <w:top w:w="90" w:type="dxa"/>
              <w:start w:w="120" w:type="dxa"/>
              <w:bottom w:w="90" w:type="dxa"/>
              <w:end w:w="120" w:type="dxa"/>
            </w:tcMar>
            <w:shd w:fill="EAF4F0"/>
          </w:tcPr>
          <w:p>
            <w:pPr>
              <w:spacing w:after="0" w:line="264" w:lineRule="auto"/>
            </w:pPr>
            <w:r/>
            <w:r>
              <w:rPr>
                <w:rFonts w:ascii="Arial" w:hAnsi="Arial"/>
                <w:b/>
                <w:color w:val="0B574A"/>
                <w:sz w:val="20"/>
              </w:rPr>
              <w:t>Behavior</w:t>
            </w:r>
          </w:p>
        </w:tc>
        <w:tc>
          <w:tcPr>
            <w:tcW w:type="dxa" w:w="3216"/>
            <w:vAlign w:val="center"/>
            <w:tcMar>
              <w:top w:w="90" w:type="dxa"/>
              <w:start w:w="120" w:type="dxa"/>
              <w:bottom w:w="90" w:type="dxa"/>
              <w:end w:w="120" w:type="dxa"/>
            </w:tcMar>
            <w:shd w:fill="EAF4F0"/>
          </w:tcPr>
          <w:p>
            <w:pPr>
              <w:spacing w:after="0" w:line="264" w:lineRule="auto"/>
            </w:pPr>
            <w:r/>
            <w:r>
              <w:rPr>
                <w:rFonts w:ascii="Arial" w:hAnsi="Arial"/>
                <w:b/>
                <w:color w:val="0B574A"/>
                <w:sz w:val="20"/>
              </w:rPr>
              <w:t>Purpose</w:t>
            </w:r>
          </w:p>
        </w:tc>
      </w:tr>
      <w:tr>
        <w:trPr>
          <w:cantSplit/>
        </w:trPr>
        <w:tc>
          <w:tcPr>
            <w:tcW w:type="dxa" w:w="2088"/>
            <w:vAlign w:val="center"/>
            <w:tcMar>
              <w:top w:w="90" w:type="dxa"/>
              <w:start w:w="120" w:type="dxa"/>
              <w:bottom w:w="90" w:type="dxa"/>
              <w:end w:w="120" w:type="dxa"/>
            </w:tcMar>
          </w:tcPr>
          <w:p>
            <w:pPr>
              <w:spacing w:after="0" w:line="264" w:lineRule="auto"/>
            </w:pPr>
            <w:r/>
            <w:r>
              <w:rPr>
                <w:rFonts w:ascii="Arial" w:hAnsi="Arial"/>
                <w:b w:val="0"/>
                <w:color w:val="202020"/>
                <w:sz w:val="20"/>
              </w:rPr>
              <w:t>legacy</w:t>
            </w:r>
          </w:p>
        </w:tc>
        <w:tc>
          <w:tcPr>
            <w:tcW w:type="dxa" w:w="4536"/>
            <w:vAlign w:val="center"/>
            <w:tcMar>
              <w:top w:w="90" w:type="dxa"/>
              <w:start w:w="120" w:type="dxa"/>
              <w:bottom w:w="90" w:type="dxa"/>
              <w:end w:w="120" w:type="dxa"/>
            </w:tcMar>
          </w:tcPr>
          <w:p>
            <w:pPr>
              <w:spacing w:after="0" w:line="264" w:lineRule="auto"/>
            </w:pPr>
            <w:r/>
            <w:r>
              <w:rPr>
                <w:rFonts w:ascii="Arial" w:hAnsi="Arial"/>
                <w:b w:val="0"/>
                <w:color w:val="202020"/>
                <w:sz w:val="20"/>
              </w:rPr>
              <w:t>Existing plaintext queue behavior remains active.</w:t>
            </w:r>
          </w:p>
        </w:tc>
        <w:tc>
          <w:tcPr>
            <w:tcW w:type="dxa" w:w="3024"/>
            <w:vAlign w:val="center"/>
            <w:tcMar>
              <w:top w:w="90" w:type="dxa"/>
              <w:start w:w="120" w:type="dxa"/>
              <w:bottom w:w="90" w:type="dxa"/>
              <w:end w:w="120" w:type="dxa"/>
            </w:tcMar>
          </w:tcPr>
          <w:p>
            <w:pPr>
              <w:spacing w:after="0" w:line="264" w:lineRule="auto"/>
            </w:pPr>
            <w:r/>
            <w:r>
              <w:rPr>
                <w:rFonts w:ascii="Arial" w:hAnsi="Arial"/>
                <w:b w:val="0"/>
                <w:color w:val="202020"/>
                <w:sz w:val="20"/>
              </w:rPr>
              <w:t>Safe starting point while schema and code are deployed.</w:t>
            </w:r>
          </w:p>
        </w:tc>
      </w:tr>
      <w:tr>
        <w:trPr>
          <w:cantSplit/>
        </w:trPr>
        <w:tc>
          <w:tcPr>
            <w:tcW w:type="dxa" w:w="2088"/>
            <w:vAlign w:val="center"/>
            <w:tcMar>
              <w:top w:w="90" w:type="dxa"/>
              <w:start w:w="120" w:type="dxa"/>
              <w:bottom w:w="90" w:type="dxa"/>
              <w:end w:w="120" w:type="dxa"/>
            </w:tcMar>
          </w:tcPr>
          <w:p>
            <w:pPr>
              <w:spacing w:after="0" w:line="264" w:lineRule="auto"/>
            </w:pPr>
            <w:r/>
            <w:r>
              <w:rPr>
                <w:rFonts w:ascii="Arial" w:hAnsi="Arial"/>
                <w:b w:val="0"/>
                <w:color w:val="202020"/>
                <w:sz w:val="20"/>
              </w:rPr>
              <w:t>encrypted_fallback</w:t>
            </w:r>
          </w:p>
        </w:tc>
        <w:tc>
          <w:tcPr>
            <w:tcW w:type="dxa" w:w="4536"/>
            <w:vAlign w:val="center"/>
            <w:tcMar>
              <w:top w:w="90" w:type="dxa"/>
              <w:start w:w="120" w:type="dxa"/>
              <w:bottom w:w="90" w:type="dxa"/>
              <w:end w:w="120" w:type="dxa"/>
            </w:tcMar>
          </w:tcPr>
          <w:p>
            <w:pPr>
              <w:spacing w:after="0" w:line="264" w:lineRule="auto"/>
            </w:pPr>
            <w:r/>
            <w:r>
              <w:rPr>
                <w:rFonts w:ascii="Arial" w:hAnsi="Arial"/>
                <w:b w:val="0"/>
                <w:color w:val="202020"/>
                <w:sz w:val="20"/>
              </w:rPr>
              <w:t>New queue payloads are encrypted and can still be displayed from PostgreSQL.</w:t>
            </w:r>
          </w:p>
        </w:tc>
        <w:tc>
          <w:tcPr>
            <w:tcW w:type="dxa" w:w="3024"/>
            <w:vAlign w:val="center"/>
            <w:tcMar>
              <w:top w:w="90" w:type="dxa"/>
              <w:start w:w="120" w:type="dxa"/>
              <w:bottom w:w="90" w:type="dxa"/>
              <w:end w:w="120" w:type="dxa"/>
            </w:tcMar>
          </w:tcPr>
          <w:p>
            <w:pPr>
              <w:spacing w:after="0" w:line="264" w:lineRule="auto"/>
            </w:pPr>
            <w:r/>
            <w:r>
              <w:rPr>
                <w:rFonts w:ascii="Arial" w:hAnsi="Arial"/>
                <w:b w:val="0"/>
                <w:color w:val="202020"/>
                <w:sz w:val="20"/>
              </w:rPr>
              <w:t>Proves encryption/decryption without depending on live Microsoft fetches.</w:t>
            </w:r>
          </w:p>
        </w:tc>
      </w:tr>
      <w:tr>
        <w:trPr>
          <w:cantSplit/>
        </w:trPr>
        <w:tc>
          <w:tcPr>
            <w:tcW w:type="dxa" w:w="2088"/>
            <w:vAlign w:val="center"/>
            <w:tcMar>
              <w:top w:w="90" w:type="dxa"/>
              <w:start w:w="120" w:type="dxa"/>
              <w:bottom w:w="90" w:type="dxa"/>
              <w:end w:w="120" w:type="dxa"/>
            </w:tcMar>
          </w:tcPr>
          <w:p>
            <w:pPr>
              <w:spacing w:after="0" w:line="264" w:lineRule="auto"/>
            </w:pPr>
            <w:r/>
            <w:r>
              <w:rPr>
                <w:rFonts w:ascii="Arial" w:hAnsi="Arial"/>
                <w:b w:val="0"/>
                <w:color w:val="202020"/>
                <w:sz w:val="20"/>
              </w:rPr>
              <w:t>microsoft_primary</w:t>
            </w:r>
          </w:p>
        </w:tc>
        <w:tc>
          <w:tcPr>
            <w:tcW w:type="dxa" w:w="4536"/>
            <w:vAlign w:val="center"/>
            <w:tcMar>
              <w:top w:w="90" w:type="dxa"/>
              <w:start w:w="120" w:type="dxa"/>
              <w:bottom w:w="90" w:type="dxa"/>
              <w:end w:w="120" w:type="dxa"/>
            </w:tcMar>
          </w:tcPr>
          <w:p>
            <w:pPr>
              <w:spacing w:after="0" w:line="264" w:lineRule="auto"/>
            </w:pPr>
            <w:r/>
            <w:r>
              <w:rPr>
                <w:rFonts w:ascii="Arial" w:hAnsi="Arial"/>
                <w:b w:val="0"/>
                <w:color w:val="202020"/>
                <w:sz w:val="20"/>
              </w:rPr>
              <w:t>Opening an email fetches its live body from Microsoft first; encrypted data is a temporary fallback.</w:t>
            </w:r>
          </w:p>
        </w:tc>
        <w:tc>
          <w:tcPr>
            <w:tcW w:type="dxa" w:w="3024"/>
            <w:vAlign w:val="center"/>
            <w:tcMar>
              <w:top w:w="90" w:type="dxa"/>
              <w:start w:w="120" w:type="dxa"/>
              <w:bottom w:w="90" w:type="dxa"/>
              <w:end w:w="120" w:type="dxa"/>
            </w:tcMar>
          </w:tcPr>
          <w:p>
            <w:pPr>
              <w:spacing w:after="0" w:line="264" w:lineRule="auto"/>
            </w:pPr>
            <w:r/>
            <w:r>
              <w:rPr>
                <w:rFonts w:ascii="Arial" w:hAnsi="Arial"/>
                <w:b w:val="0"/>
                <w:color w:val="202020"/>
                <w:sz w:val="20"/>
              </w:rPr>
              <w:t>Tests Microsoft 365 as the primary body source while preserving availability.</w:t>
            </w:r>
          </w:p>
        </w:tc>
      </w:tr>
      <w:tr>
        <w:trPr>
          <w:cantSplit/>
        </w:trPr>
        <w:tc>
          <w:tcPr>
            <w:tcW w:type="dxa" w:w="2088"/>
            <w:vAlign w:val="center"/>
            <w:tcMar>
              <w:top w:w="90" w:type="dxa"/>
              <w:start w:w="120" w:type="dxa"/>
              <w:bottom w:w="90" w:type="dxa"/>
              <w:end w:w="120" w:type="dxa"/>
            </w:tcMar>
          </w:tcPr>
          <w:p>
            <w:pPr>
              <w:spacing w:after="0" w:line="264" w:lineRule="auto"/>
            </w:pPr>
            <w:r/>
            <w:r>
              <w:rPr>
                <w:rFonts w:ascii="Arial" w:hAnsi="Arial"/>
                <w:b w:val="0"/>
                <w:color w:val="202020"/>
                <w:sz w:val="20"/>
              </w:rPr>
              <w:t>microsoft_only</w:t>
            </w:r>
          </w:p>
        </w:tc>
        <w:tc>
          <w:tcPr>
            <w:tcW w:type="dxa" w:w="4536"/>
            <w:vAlign w:val="center"/>
            <w:tcMar>
              <w:top w:w="90" w:type="dxa"/>
              <w:start w:w="120" w:type="dxa"/>
              <w:bottom w:w="90" w:type="dxa"/>
              <w:end w:w="120" w:type="dxa"/>
            </w:tcMar>
          </w:tcPr>
          <w:p>
            <w:pPr>
              <w:spacing w:after="0" w:line="264" w:lineRule="auto"/>
            </w:pPr>
            <w:r/>
            <w:r>
              <w:rPr>
                <w:rFonts w:ascii="Arial" w:hAnsi="Arial"/>
                <w:b w:val="0"/>
                <w:color w:val="202020"/>
                <w:sz w:val="20"/>
              </w:rPr>
              <w:t>New queue rows do not retain the email body; the body is fetched from Microsoft when opened.</w:t>
            </w:r>
          </w:p>
        </w:tc>
        <w:tc>
          <w:tcPr>
            <w:tcW w:type="dxa" w:w="3024"/>
            <w:vAlign w:val="center"/>
            <w:tcMar>
              <w:top w:w="90" w:type="dxa"/>
              <w:start w:w="120" w:type="dxa"/>
              <w:bottom w:w="90" w:type="dxa"/>
              <w:end w:w="120" w:type="dxa"/>
            </w:tcMar>
          </w:tcPr>
          <w:p>
            <w:pPr>
              <w:spacing w:after="0" w:line="264" w:lineRule="auto"/>
            </w:pPr>
            <w:r/>
            <w:r>
              <w:rPr>
                <w:rFonts w:ascii="Arial" w:hAnsi="Arial"/>
                <w:b w:val="0"/>
                <w:color w:val="202020"/>
                <w:sz w:val="20"/>
              </w:rPr>
              <w:t>Final data-minimization state.</w:t>
            </w:r>
          </w:p>
        </w:tc>
      </w:tr>
    </w:tbl>
    <w:p>
      <w:pPr>
        <w:spacing w:after="40"/>
      </w:pPr>
    </w:p>
    <w:p>
      <w:pPr>
        <w:pStyle w:val="Heading2"/>
      </w:pPr>
      <w:r>
        <w:t>Phase A — Preparation and recovery</w:t>
      </w:r>
    </w:p>
    <w:p>
      <w:pPr>
        <w:spacing w:after="80" w:line="276" w:lineRule="auto"/>
        <w:ind w:left="720" w:hanging="360"/>
        <w:numPr>
          <w:ilvl w:val="0"/>
          <w:numId w:val="11"/>
        </w:numPr>
      </w:pPr>
      <w:r>
        <w:rPr>
          <w:b/>
        </w:rPr>
        <w:t xml:space="preserve">Create a database backup: </w:t>
      </w:r>
      <w:r>
        <w:t>Create a manual Railway PostgreSQL backup before changing schema or queue data.</w:t>
      </w:r>
    </w:p>
    <w:p>
      <w:pPr>
        <w:spacing w:after="80" w:line="276" w:lineRule="auto"/>
        <w:ind w:left="720" w:hanging="360"/>
        <w:numPr>
          <w:ilvl w:val="0"/>
          <w:numId w:val="11"/>
        </w:numPr>
      </w:pPr>
      <w:r>
        <w:rPr>
          <w:b/>
        </w:rPr>
        <w:t xml:space="preserve">Generate the encryption key: </w:t>
      </w:r>
      <w:r>
        <w:t>Generate a Fernet key locally. Store it as a sealed Railway variable and in an MLFA-approved password manager. Never store it in GitHub, PostgreSQL, email, or this document.</w:t>
      </w:r>
    </w:p>
    <w:p>
      <w:pPr>
        <w:spacing w:after="80" w:line="276" w:lineRule="auto"/>
        <w:ind w:left="720" w:hanging="360"/>
        <w:numPr>
          <w:ilvl w:val="0"/>
          <w:numId w:val="11"/>
        </w:numPr>
      </w:pPr>
      <w:r>
        <w:rPr>
          <w:b/>
        </w:rPr>
        <w:t xml:space="preserve">Begin in legacy mode: </w:t>
      </w:r>
      <w:r>
        <w:t>Set QUEUE_SECURITY_MODE=legacy so adding the key does not immediately change production behavior.</w:t>
      </w:r>
    </w:p>
    <w:tbl>
      <w:tblPr>
        <w:tblW w:type="auto" w:w="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648"/>
      </w:tblGrid>
      <w:tr>
        <w:trPr>
          <w:cantSplit/>
        </w:trPr>
        <w:tc>
          <w:tcPr>
            <w:tcW w:type="dxa" w:w="9648"/>
            <w:shd w:fill="F1F3F4"/>
            <w:tcMar>
              <w:top w:w="110" w:type="dxa"/>
              <w:start w:w="140" w:type="dxa"/>
              <w:bottom w:w="110" w:type="dxa"/>
              <w:end w:w="140" w:type="dxa"/>
            </w:tcMar>
          </w:tcPr>
          <w:p>
            <w:pPr>
              <w:spacing w:after="0" w:line="240" w:lineRule="auto"/>
            </w:pPr>
            <w:r/>
            <w:r>
              <w:rPr>
                <w:rFonts w:ascii="Courier New" w:hAnsi="Courier New"/>
                <w:color w:val="202020"/>
                <w:sz w:val="18"/>
              </w:rPr>
              <w:t>QUEUE_SECURITY_MODE=legacy</w:t>
              <w:br/>
              <w:t>QUEUE_ENCRYPTION_CURRENT_VERSION=1</w:t>
              <w:br/>
              <w:t>QUEUE_ENCRYPTION_KEY_V1=&lt;sealed secret; never document the real value&gt;</w:t>
            </w:r>
          </w:p>
        </w:tc>
      </w:tr>
    </w:tbl>
    <w:p>
      <w:pPr>
        <w:spacing w:after="0"/>
      </w:pPr>
    </w:p>
    <w:p>
      <w:pPr>
        <w:pStyle w:val="Heading2"/>
      </w:pPr>
      <w:r>
        <w:t>Phase B — Add the database foundation</w:t>
      </w:r>
    </w:p>
    <w:p>
      <w:r>
        <w:t>Apply migration 026_secure_queue_foundation.sql. It is additive: it creates new columns and settings but does not erase or transform existing rows.</w:t>
      </w:r>
    </w:p>
    <w:p>
      <w:pPr>
        <w:pStyle w:val="ListBullet"/>
      </w:pPr>
      <w:r>
        <w:t>inboxes.send_to_openai — allows administrators to disable AI per inbox.</w:t>
      </w:r>
    </w:p>
    <w:p>
      <w:pPr>
        <w:pStyle w:val="ListBullet"/>
      </w:pPr>
      <w:r>
        <w:t>inboxes.retention_days — controls how long temporary Hub queue state is retained.</w:t>
      </w:r>
    </w:p>
    <w:p>
      <w:pPr>
        <w:pStyle w:val="ListBullet"/>
      </w:pPr>
      <w:r>
        <w:t>pending_queue.expires_at — records when the queue item should expire.</w:t>
      </w:r>
    </w:p>
    <w:p>
      <w:pPr>
        <w:pStyle w:val="ListBullet"/>
      </w:pPr>
      <w:r>
        <w:t>pending_queue.sensitive_payload_ciphertext — stores the encrypted snapshot.</w:t>
      </w:r>
    </w:p>
    <w:p>
      <w:pPr>
        <w:pStyle w:val="ListBullet"/>
      </w:pPr>
      <w:r>
        <w:t>pending_queue.encryption_key_version — records which key version decrypts the snapshot.</w:t>
      </w:r>
    </w:p>
    <w:tbl>
      <w:tblPr>
        <w:tblW w:type="auto" w:w="0"/>
        <w:jc w:val="left"/>
        <w:tblLayout w:type="fixed"/>
        <w:tblLook w:firstColumn="1" w:firstRow="1" w:lastColumn="0" w:lastRow="0" w:noHBand="0" w:noVBand="1" w:val="04A0"/>
        <w:tblBorders>
          <w:top w:val="single" w:sz="4" w:space="0" w:color="B7D8CC"/>
          <w:left w:val="single" w:sz="4" w:space="0" w:color="B7D8CC"/>
          <w:bottom w:val="single" w:sz="4" w:space="0" w:color="B7D8CC"/>
          <w:right w:val="single" w:sz="4" w:space="0" w:color="B7D8CC"/>
          <w:insideH w:val="single" w:sz="4" w:space="0" w:color="B7D8CC"/>
          <w:insideV w:val="single" w:sz="4" w:space="0" w:color="B7D8CC"/>
        </w:tblBorders>
      </w:tblPr>
      <w:tblGrid>
        <w:gridCol w:w="9648"/>
      </w:tblGrid>
      <w:tr>
        <w:trPr>
          <w:cantSplit/>
        </w:trPr>
        <w:tc>
          <w:tcPr>
            <w:tcW w:type="dxa" w:w="9648"/>
            <w:shd w:fill="EAF4F0"/>
            <w:tcMar>
              <w:top w:w="120" w:type="dxa"/>
              <w:start w:w="160" w:type="dxa"/>
              <w:bottom w:w="120" w:type="dxa"/>
              <w:end w:w="160" w:type="dxa"/>
            </w:tcMar>
          </w:tcPr>
          <w:p>
            <w:pPr>
              <w:spacing w:after="0" w:line="276" w:lineRule="auto"/>
            </w:pPr>
            <w:r/>
            <w:r>
              <w:rPr>
                <w:rFonts w:ascii="Arial" w:hAnsi="Arial"/>
                <w:b/>
                <w:color w:val="0B574A"/>
                <w:sz w:val="21"/>
              </w:rPr>
              <w:t xml:space="preserve">Rollback safety  </w:t>
            </w:r>
            <w:r>
              <w:rPr>
                <w:rFonts w:ascii="Arial" w:hAnsi="Arial"/>
                <w:color w:val="202020"/>
                <w:sz w:val="21"/>
              </w:rPr>
              <w:t>Because this step only adds columns, the existing application can continue using the old columns if deployment must be paused.</w:t>
            </w:r>
          </w:p>
        </w:tc>
      </w:tr>
    </w:tbl>
    <w:p>
      <w:pPr>
        <w:spacing w:after="0"/>
      </w:pPr>
    </w:p>
    <w:p>
      <w:pPr>
        <w:pStyle w:val="Heading2"/>
      </w:pPr>
      <w:r>
        <w:t>Phase C — Deploy without changing behavior</w:t>
      </w:r>
    </w:p>
    <w:p>
      <w:r>
        <w:t>Deploy the updated code while mode remains legacy. Test Microsoft login, queue listing, opening one email, approving or dismissing a controlled test message, and worker processing. If any test fails, remain in legacy mode and investigate.</w:t>
      </w:r>
    </w:p>
    <w:p>
      <w:pPr>
        <w:pStyle w:val="Heading2"/>
      </w:pPr>
      <w:r>
        <w:t>Phase D — Encrypt existing queue rows</w:t>
      </w:r>
    </w:p>
    <w:p>
      <w:pPr>
        <w:spacing w:after="80" w:line="276" w:lineRule="auto"/>
        <w:ind w:left="720" w:hanging="360"/>
        <w:numPr>
          <w:ilvl w:val="0"/>
          <w:numId w:val="12"/>
        </w:numPr>
      </w:pPr>
      <w:r>
        <w:rPr>
          <w:b/>
        </w:rPr>
        <w:t xml:space="preserve">Dry run: </w:t>
      </w:r>
      <w:r>
        <w:t>Count the rows that require encryption without writing anything.</w:t>
      </w:r>
    </w:p>
    <w:p>
      <w:pPr>
        <w:spacing w:after="80" w:line="276" w:lineRule="auto"/>
        <w:ind w:left="720" w:hanging="360"/>
        <w:numPr>
          <w:ilvl w:val="0"/>
          <w:numId w:val="12"/>
        </w:numPr>
      </w:pPr>
      <w:r>
        <w:rPr>
          <w:b/>
        </w:rPr>
        <w:t xml:space="preserve">Backfill: </w:t>
      </w:r>
      <w:r>
        <w:t>Encrypt each existing sensitive payload and store the key version while temporarily retaining plaintext.</w:t>
      </w:r>
    </w:p>
    <w:p>
      <w:pPr>
        <w:spacing w:after="80" w:line="276" w:lineRule="auto"/>
        <w:ind w:left="720" w:hanging="360"/>
        <w:numPr>
          <w:ilvl w:val="0"/>
          <w:numId w:val="12"/>
        </w:numPr>
      </w:pPr>
      <w:r>
        <w:rPr>
          <w:b/>
        </w:rPr>
        <w:t xml:space="preserve">Enable encrypted writes: </w:t>
      </w:r>
      <w:r>
        <w:t>Set QUEUE_SECURITY_MODE=encrypted_fallback and redeploy so all new rows are encrypted.</w:t>
      </w:r>
    </w:p>
    <w:p>
      <w:pPr>
        <w:spacing w:after="80" w:line="276" w:lineRule="auto"/>
        <w:ind w:left="720" w:hanging="360"/>
        <w:numPr>
          <w:ilvl w:val="0"/>
          <w:numId w:val="12"/>
        </w:numPr>
      </w:pPr>
      <w:r>
        <w:rPr>
          <w:b/>
        </w:rPr>
        <w:t xml:space="preserve">Catch the deployment window: </w:t>
      </w:r>
      <w:r>
        <w:t>Run the encryption command again to cover any messages queued during deployment.</w:t>
      </w:r>
    </w:p>
    <w:p>
      <w:pPr>
        <w:spacing w:after="80" w:line="276" w:lineRule="auto"/>
        <w:ind w:left="720" w:hanging="360"/>
        <w:numPr>
          <w:ilvl w:val="0"/>
          <w:numId w:val="12"/>
        </w:numPr>
      </w:pPr>
      <w:r>
        <w:rPr>
          <w:b/>
        </w:rPr>
        <w:t xml:space="preserve">Verify: </w:t>
      </w:r>
      <w:r>
        <w:t>Decrypt every encrypted row in a controlled check and require the verified count to equal the row count.</w:t>
      </w:r>
    </w:p>
    <w:tbl>
      <w:tblPr>
        <w:tblW w:type="auto" w:w="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648"/>
      </w:tblGrid>
      <w:tr>
        <w:trPr>
          <w:cantSplit/>
        </w:trPr>
        <w:tc>
          <w:tcPr>
            <w:tcW w:type="dxa" w:w="9648"/>
            <w:shd w:fill="F1F3F4"/>
            <w:tcMar>
              <w:top w:w="110" w:type="dxa"/>
              <w:start w:w="140" w:type="dxa"/>
              <w:bottom w:w="110" w:type="dxa"/>
              <w:end w:w="140" w:type="dxa"/>
            </w:tcMar>
          </w:tcPr>
          <w:p>
            <w:pPr>
              <w:spacing w:after="0" w:line="240" w:lineRule="auto"/>
            </w:pPr>
            <w:r/>
            <w:r>
              <w:rPr>
                <w:rFonts w:ascii="Courier New" w:hAnsi="Courier New"/>
                <w:color w:val="202020"/>
                <w:sz w:val="18"/>
              </w:rPr>
              <w:t>python3 v2/scripts/encrypt_pending_queue.py --dry-run</w:t>
              <w:br/>
              <w:t>python3 v2/scripts/encrypt_pending_queue.py</w:t>
              <w:br/>
              <w:t># After encrypted_fallback deployment, run both checks again.</w:t>
            </w:r>
          </w:p>
        </w:tc>
      </w:tr>
    </w:tbl>
    <w:p>
      <w:pPr>
        <w:spacing w:after="0"/>
      </w:pPr>
    </w:p>
    <w:p>
      <w:pPr>
        <w:pStyle w:val="Heading2"/>
      </w:pPr>
      <w:r>
        <w:t>Phase E — Remove plaintext only after verification</w:t>
      </w:r>
    </w:p>
    <w:p>
      <w:r>
        <w:t>After the encrypted queue works and every row verifies, run the explicit plaintext-clearing command. The command requires a confirmation flag so it cannot be triggered accidentally.</w:t>
      </w:r>
    </w:p>
    <w:tbl>
      <w:tblPr>
        <w:tblW w:type="auto" w:w="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648"/>
      </w:tblGrid>
      <w:tr>
        <w:trPr>
          <w:cantSplit/>
        </w:trPr>
        <w:tc>
          <w:tcPr>
            <w:tcW w:type="dxa" w:w="9648"/>
            <w:shd w:fill="F1F3F4"/>
            <w:tcMar>
              <w:top w:w="110" w:type="dxa"/>
              <w:start w:w="140" w:type="dxa"/>
              <w:bottom w:w="110" w:type="dxa"/>
              <w:end w:w="140" w:type="dxa"/>
            </w:tcMar>
          </w:tcPr>
          <w:p>
            <w:pPr>
              <w:spacing w:after="0" w:line="240" w:lineRule="auto"/>
            </w:pPr>
            <w:r/>
            <w:r>
              <w:rPr>
                <w:rFonts w:ascii="Courier New" w:hAnsi="Courier New"/>
                <w:color w:val="202020"/>
                <w:sz w:val="18"/>
              </w:rPr>
              <w:t>python3 v2/scripts/encrypt_pending_queue.py \</w:t>
              <w:br/>
              <w:t xml:space="preserve">  --clear-plaintext --confirm-clear-plaintext</w:t>
            </w:r>
          </w:p>
        </w:tc>
      </w:tr>
    </w:tbl>
    <w:p>
      <w:pPr>
        <w:spacing w:after="0"/>
      </w:pPr>
    </w:p>
    <w:tbl>
      <w:tblPr>
        <w:tblW w:type="auto" w:w="0"/>
        <w:jc w:val="left"/>
        <w:tblLayout w:type="fixed"/>
        <w:tblLook w:firstColumn="1" w:firstRow="1" w:lastColumn="0" w:lastRow="0" w:noHBand="0" w:noVBand="1" w:val="04A0"/>
        <w:tblBorders>
          <w:top w:val="single" w:sz="4" w:space="0" w:color="E3A7A2"/>
          <w:left w:val="single" w:sz="4" w:space="0" w:color="E3A7A2"/>
          <w:bottom w:val="single" w:sz="4" w:space="0" w:color="E3A7A2"/>
          <w:right w:val="single" w:sz="4" w:space="0" w:color="E3A7A2"/>
          <w:insideH w:val="single" w:sz="4" w:space="0" w:color="E3A7A2"/>
          <w:insideV w:val="single" w:sz="4" w:space="0" w:color="E3A7A2"/>
        </w:tblBorders>
      </w:tblPr>
      <w:tblGrid>
        <w:gridCol w:w="9648"/>
      </w:tblGrid>
      <w:tr>
        <w:trPr>
          <w:cantSplit/>
        </w:trPr>
        <w:tc>
          <w:tcPr>
            <w:tcW w:type="dxa" w:w="9648"/>
            <w:shd w:fill="FCE8E6"/>
            <w:tcMar>
              <w:top w:w="120" w:type="dxa"/>
              <w:start w:w="160" w:type="dxa"/>
              <w:bottom w:w="120" w:type="dxa"/>
              <w:end w:w="160" w:type="dxa"/>
            </w:tcMar>
          </w:tcPr>
          <w:p>
            <w:pPr>
              <w:spacing w:after="0" w:line="276" w:lineRule="auto"/>
            </w:pPr>
            <w:r/>
            <w:r>
              <w:rPr>
                <w:rFonts w:ascii="Arial" w:hAnsi="Arial"/>
                <w:b/>
                <w:color w:val="9B1C1C"/>
                <w:sz w:val="21"/>
              </w:rPr>
              <w:t xml:space="preserve">Stop condition  </w:t>
            </w:r>
            <w:r>
              <w:rPr>
                <w:rFonts w:ascii="Arial" w:hAnsi="Arial"/>
                <w:color w:val="202020"/>
                <w:sz w:val="21"/>
              </w:rPr>
              <w:t>Do not clear plaintext if any row fails encryption, verification, login, queue display, approval, or automatic processing tests.</w:t>
            </w:r>
          </w:p>
        </w:tc>
      </w:tr>
    </w:tbl>
    <w:p>
      <w:pPr>
        <w:spacing w:after="0"/>
      </w:pPr>
    </w:p>
    <w:p>
      <w:pPr>
        <w:pStyle w:val="Heading2"/>
      </w:pPr>
      <w:r>
        <w:t>Phase F — Make Microsoft 365 the primary body source</w:t>
      </w:r>
    </w:p>
    <w:p>
      <w:pPr>
        <w:spacing w:after="80" w:line="276" w:lineRule="auto"/>
        <w:ind w:left="720" w:hanging="360"/>
        <w:numPr>
          <w:ilvl w:val="0"/>
          <w:numId w:val="13"/>
        </w:numPr>
      </w:pPr>
      <w:r>
        <w:rPr>
          <w:b/>
        </w:rPr>
        <w:t xml:space="preserve">Switch to microsoft_primary: </w:t>
      </w:r>
      <w:r>
        <w:t>When a reviewer opens an email, retrieve the live body from Microsoft Graph first. Use encrypted fallback only if Microsoft is temporarily unavailable.</w:t>
      </w:r>
    </w:p>
    <w:p>
      <w:pPr>
        <w:spacing w:after="80" w:line="276" w:lineRule="auto"/>
        <w:ind w:left="720" w:hanging="360"/>
        <w:numPr>
          <w:ilvl w:val="0"/>
          <w:numId w:val="13"/>
        </w:numPr>
      </w:pPr>
      <w:r>
        <w:rPr>
          <w:b/>
        </w:rPr>
        <w:t xml:space="preserve">Observe for at least one week: </w:t>
      </w:r>
      <w:r>
        <w:t>Track Graph failures, missing messages, rate limits, reviewer latency, and any approval problems.</w:t>
      </w:r>
    </w:p>
    <w:p>
      <w:pPr>
        <w:spacing w:after="80" w:line="276" w:lineRule="auto"/>
        <w:ind w:left="720" w:hanging="360"/>
        <w:numPr>
          <w:ilvl w:val="0"/>
          <w:numId w:val="13"/>
        </w:numPr>
      </w:pPr>
      <w:r>
        <w:rPr>
          <w:b/>
        </w:rPr>
        <w:t xml:space="preserve">Switch to microsoft_only: </w:t>
      </w:r>
      <w:r>
        <w:t>Once the live-fetch path is proven, stop storing new email bodies in PostgreSQL. Retain only encrypted minimal workflow metadata.</w:t>
      </w:r>
    </w:p>
    <w:p>
      <w:pPr>
        <w:spacing w:after="80" w:line="276" w:lineRule="auto"/>
        <w:ind w:left="720" w:hanging="360"/>
        <w:numPr>
          <w:ilvl w:val="0"/>
          <w:numId w:val="13"/>
        </w:numPr>
      </w:pPr>
      <w:r>
        <w:rPr>
          <w:b/>
        </w:rPr>
        <w:t xml:space="preserve">Let old fallbacks expire: </w:t>
      </w:r>
      <w:r>
        <w:t>Existing encrypted bodies disappear under each inbox’s retention period; Microsoft retention or legal-hold policies remain authoritative.</w:t>
      </w:r>
    </w:p>
    <w:p>
      <w:pPr>
        <w:pStyle w:val="Heading1"/>
      </w:pPr>
      <w:r>
        <w:t>9. Before-and-after example</w:t>
      </w:r>
    </w:p>
    <w:tbl>
      <w:tblPr>
        <w:tblW w:type="auto" w:w="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944"/>
        <w:gridCol w:w="3960"/>
        <w:gridCol w:w="3744"/>
      </w:tblGrid>
      <w:tr>
        <w:trPr>
          <w:cantSplit/>
          <w:tblHeader w:val="true"/>
        </w:trPr>
        <w:tc>
          <w:tcPr>
            <w:tcW w:type="dxa" w:w="3216"/>
            <w:vAlign w:val="center"/>
            <w:tcMar>
              <w:top w:w="90" w:type="dxa"/>
              <w:start w:w="120" w:type="dxa"/>
              <w:bottom w:w="90" w:type="dxa"/>
              <w:end w:w="120" w:type="dxa"/>
            </w:tcMar>
            <w:shd w:fill="EAF4F0"/>
          </w:tcPr>
          <w:p>
            <w:pPr>
              <w:spacing w:after="0" w:line="264" w:lineRule="auto"/>
            </w:pPr>
            <w:r/>
            <w:r>
              <w:rPr>
                <w:rFonts w:ascii="Arial" w:hAnsi="Arial"/>
                <w:b/>
                <w:color w:val="0B574A"/>
                <w:sz w:val="20"/>
              </w:rPr>
              <w:t>Stage</w:t>
            </w:r>
          </w:p>
        </w:tc>
        <w:tc>
          <w:tcPr>
            <w:tcW w:type="dxa" w:w="3216"/>
            <w:vAlign w:val="center"/>
            <w:tcMar>
              <w:top w:w="90" w:type="dxa"/>
              <w:start w:w="120" w:type="dxa"/>
              <w:bottom w:w="90" w:type="dxa"/>
              <w:end w:w="120" w:type="dxa"/>
            </w:tcMar>
            <w:shd w:fill="EAF4F0"/>
          </w:tcPr>
          <w:p>
            <w:pPr>
              <w:spacing w:after="0" w:line="264" w:lineRule="auto"/>
            </w:pPr>
            <w:r/>
            <w:r>
              <w:rPr>
                <w:rFonts w:ascii="Arial" w:hAnsi="Arial"/>
                <w:b/>
                <w:color w:val="0B574A"/>
                <w:sz w:val="20"/>
              </w:rPr>
              <w:t>What PostgreSQL contains</w:t>
            </w:r>
          </w:p>
        </w:tc>
        <w:tc>
          <w:tcPr>
            <w:tcW w:type="dxa" w:w="3216"/>
            <w:vAlign w:val="center"/>
            <w:tcMar>
              <w:top w:w="90" w:type="dxa"/>
              <w:start w:w="120" w:type="dxa"/>
              <w:bottom w:w="90" w:type="dxa"/>
              <w:end w:w="120" w:type="dxa"/>
            </w:tcMar>
            <w:shd w:fill="EAF4F0"/>
          </w:tcPr>
          <w:p>
            <w:pPr>
              <w:spacing w:after="0" w:line="264" w:lineRule="auto"/>
            </w:pPr>
            <w:r/>
            <w:r>
              <w:rPr>
                <w:rFonts w:ascii="Arial" w:hAnsi="Arial"/>
                <w:b/>
                <w:color w:val="0B574A"/>
                <w:sz w:val="20"/>
              </w:rPr>
              <w:t>How the Hub displays the email</w:t>
            </w:r>
          </w:p>
        </w:tc>
      </w:tr>
      <w:tr>
        <w:trPr>
          <w:cantSplit/>
        </w:trPr>
        <w:tc>
          <w:tcPr>
            <w:tcW w:type="dxa" w:w="1944"/>
            <w:vAlign w:val="center"/>
            <w:tcMar>
              <w:top w:w="90" w:type="dxa"/>
              <w:start w:w="120" w:type="dxa"/>
              <w:bottom w:w="90" w:type="dxa"/>
              <w:end w:w="120" w:type="dxa"/>
            </w:tcMar>
          </w:tcPr>
          <w:p>
            <w:pPr>
              <w:spacing w:after="0" w:line="264" w:lineRule="auto"/>
            </w:pPr>
            <w:r/>
            <w:r>
              <w:rPr>
                <w:rFonts w:ascii="Arial" w:hAnsi="Arial"/>
                <w:b w:val="0"/>
                <w:color w:val="202020"/>
                <w:sz w:val="20"/>
              </w:rPr>
              <w:t>Before migration</w:t>
            </w:r>
          </w:p>
        </w:tc>
        <w:tc>
          <w:tcPr>
            <w:tcW w:type="dxa" w:w="3960"/>
            <w:vAlign w:val="center"/>
            <w:tcMar>
              <w:top w:w="90" w:type="dxa"/>
              <w:start w:w="120" w:type="dxa"/>
              <w:bottom w:w="90" w:type="dxa"/>
              <w:end w:w="120" w:type="dxa"/>
            </w:tcMar>
          </w:tcPr>
          <w:p>
            <w:pPr>
              <w:spacing w:after="0" w:line="264" w:lineRule="auto"/>
            </w:pPr>
            <w:r/>
            <w:r>
              <w:rPr>
                <w:rFonts w:ascii="Arial" w:hAnsi="Arial"/>
                <w:b w:val="0"/>
                <w:color w:val="202020"/>
                <w:sz w:val="20"/>
              </w:rPr>
              <w:t>Readable subject, sender, body, and classification fields.</w:t>
            </w:r>
          </w:p>
        </w:tc>
        <w:tc>
          <w:tcPr>
            <w:tcW w:type="dxa" w:w="3744"/>
            <w:vAlign w:val="center"/>
            <w:tcMar>
              <w:top w:w="90" w:type="dxa"/>
              <w:start w:w="120" w:type="dxa"/>
              <w:bottom w:w="90" w:type="dxa"/>
              <w:end w:w="120" w:type="dxa"/>
            </w:tcMar>
          </w:tcPr>
          <w:p>
            <w:pPr>
              <w:spacing w:after="0" w:line="264" w:lineRule="auto"/>
            </w:pPr>
            <w:r/>
            <w:r>
              <w:rPr>
                <w:rFonts w:ascii="Arial" w:hAnsi="Arial"/>
                <w:b w:val="0"/>
                <w:color w:val="202020"/>
                <w:sz w:val="20"/>
              </w:rPr>
              <w:t>Reads the plaintext queue snapshot.</w:t>
            </w:r>
          </w:p>
        </w:tc>
      </w:tr>
      <w:tr>
        <w:trPr>
          <w:cantSplit/>
        </w:trPr>
        <w:tc>
          <w:tcPr>
            <w:tcW w:type="dxa" w:w="1944"/>
            <w:vAlign w:val="center"/>
            <w:tcMar>
              <w:top w:w="90" w:type="dxa"/>
              <w:start w:w="120" w:type="dxa"/>
              <w:bottom w:w="90" w:type="dxa"/>
              <w:end w:w="120" w:type="dxa"/>
            </w:tcMar>
          </w:tcPr>
          <w:p>
            <w:pPr>
              <w:spacing w:after="0" w:line="264" w:lineRule="auto"/>
            </w:pPr>
            <w:r/>
            <w:r>
              <w:rPr>
                <w:rFonts w:ascii="Arial" w:hAnsi="Arial"/>
                <w:b w:val="0"/>
                <w:color w:val="202020"/>
                <w:sz w:val="20"/>
              </w:rPr>
              <w:t>Encrypted fallback</w:t>
            </w:r>
          </w:p>
        </w:tc>
        <w:tc>
          <w:tcPr>
            <w:tcW w:type="dxa" w:w="3960"/>
            <w:vAlign w:val="center"/>
            <w:tcMar>
              <w:top w:w="90" w:type="dxa"/>
              <w:start w:w="120" w:type="dxa"/>
              <w:bottom w:w="90" w:type="dxa"/>
              <w:end w:w="120" w:type="dxa"/>
            </w:tcMar>
          </w:tcPr>
          <w:p>
            <w:pPr>
              <w:spacing w:after="0" w:line="264" w:lineRule="auto"/>
            </w:pPr>
            <w:r/>
            <w:r>
              <w:rPr>
                <w:rFonts w:ascii="Arial" w:hAnsi="Arial"/>
                <w:b w:val="0"/>
                <w:color w:val="202020"/>
                <w:sz w:val="20"/>
              </w:rPr>
              <w:t>Ciphertext plus encryption key version. Plaintext is removed after verification.</w:t>
            </w:r>
          </w:p>
        </w:tc>
        <w:tc>
          <w:tcPr>
            <w:tcW w:type="dxa" w:w="3744"/>
            <w:vAlign w:val="center"/>
            <w:tcMar>
              <w:top w:w="90" w:type="dxa"/>
              <w:start w:w="120" w:type="dxa"/>
              <w:bottom w:w="90" w:type="dxa"/>
              <w:end w:w="120" w:type="dxa"/>
            </w:tcMar>
          </w:tcPr>
          <w:p>
            <w:pPr>
              <w:spacing w:after="0" w:line="264" w:lineRule="auto"/>
            </w:pPr>
            <w:r/>
            <w:r>
              <w:rPr>
                <w:rFonts w:ascii="Arial" w:hAnsi="Arial"/>
                <w:b w:val="0"/>
                <w:color w:val="202020"/>
                <w:sz w:val="20"/>
              </w:rPr>
              <w:t>The authenticated backend decrypts the record in memory and sends the permitted result over HTTPS.</w:t>
            </w:r>
          </w:p>
        </w:tc>
      </w:tr>
      <w:tr>
        <w:trPr>
          <w:cantSplit/>
        </w:trPr>
        <w:tc>
          <w:tcPr>
            <w:tcW w:type="dxa" w:w="1944"/>
            <w:vAlign w:val="center"/>
            <w:tcMar>
              <w:top w:w="90" w:type="dxa"/>
              <w:start w:w="120" w:type="dxa"/>
              <w:bottom w:w="90" w:type="dxa"/>
              <w:end w:w="120" w:type="dxa"/>
            </w:tcMar>
          </w:tcPr>
          <w:p>
            <w:pPr>
              <w:spacing w:after="0" w:line="264" w:lineRule="auto"/>
            </w:pPr>
            <w:r/>
            <w:r>
              <w:rPr>
                <w:rFonts w:ascii="Arial" w:hAnsi="Arial"/>
                <w:b w:val="0"/>
                <w:color w:val="202020"/>
                <w:sz w:val="20"/>
              </w:rPr>
              <w:t>Microsoft primary</w:t>
            </w:r>
          </w:p>
        </w:tc>
        <w:tc>
          <w:tcPr>
            <w:tcW w:type="dxa" w:w="3960"/>
            <w:vAlign w:val="center"/>
            <w:tcMar>
              <w:top w:w="90" w:type="dxa"/>
              <w:start w:w="120" w:type="dxa"/>
              <w:bottom w:w="90" w:type="dxa"/>
              <w:end w:w="120" w:type="dxa"/>
            </w:tcMar>
          </w:tcPr>
          <w:p>
            <w:pPr>
              <w:spacing w:after="0" w:line="264" w:lineRule="auto"/>
            </w:pPr>
            <w:r/>
            <w:r>
              <w:rPr>
                <w:rFonts w:ascii="Arial" w:hAnsi="Arial"/>
                <w:b w:val="0"/>
                <w:color w:val="202020"/>
                <w:sz w:val="20"/>
              </w:rPr>
              <w:t>Encrypted minimal metadata plus a temporary encrypted body fallback.</w:t>
            </w:r>
          </w:p>
        </w:tc>
        <w:tc>
          <w:tcPr>
            <w:tcW w:type="dxa" w:w="3744"/>
            <w:vAlign w:val="center"/>
            <w:tcMar>
              <w:top w:w="90" w:type="dxa"/>
              <w:start w:w="120" w:type="dxa"/>
              <w:bottom w:w="90" w:type="dxa"/>
              <w:end w:w="120" w:type="dxa"/>
            </w:tcMar>
          </w:tcPr>
          <w:p>
            <w:pPr>
              <w:spacing w:after="0" w:line="264" w:lineRule="auto"/>
            </w:pPr>
            <w:r/>
            <w:r>
              <w:rPr>
                <w:rFonts w:ascii="Arial" w:hAnsi="Arial"/>
                <w:b w:val="0"/>
                <w:color w:val="202020"/>
                <w:sz w:val="20"/>
              </w:rPr>
              <w:t>Fetches the live body from Microsoft; uses fallback only during a Graph problem.</w:t>
            </w:r>
          </w:p>
        </w:tc>
      </w:tr>
      <w:tr>
        <w:trPr>
          <w:cantSplit/>
        </w:trPr>
        <w:tc>
          <w:tcPr>
            <w:tcW w:type="dxa" w:w="1944"/>
            <w:vAlign w:val="center"/>
            <w:tcMar>
              <w:top w:w="90" w:type="dxa"/>
              <w:start w:w="120" w:type="dxa"/>
              <w:bottom w:w="90" w:type="dxa"/>
              <w:end w:w="120" w:type="dxa"/>
            </w:tcMar>
          </w:tcPr>
          <w:p>
            <w:pPr>
              <w:spacing w:after="0" w:line="264" w:lineRule="auto"/>
            </w:pPr>
            <w:r/>
            <w:r>
              <w:rPr>
                <w:rFonts w:ascii="Arial" w:hAnsi="Arial"/>
                <w:b w:val="0"/>
                <w:color w:val="202020"/>
                <w:sz w:val="20"/>
              </w:rPr>
              <w:t>Microsoft only</w:t>
            </w:r>
          </w:p>
        </w:tc>
        <w:tc>
          <w:tcPr>
            <w:tcW w:type="dxa" w:w="3960"/>
            <w:vAlign w:val="center"/>
            <w:tcMar>
              <w:top w:w="90" w:type="dxa"/>
              <w:start w:w="120" w:type="dxa"/>
              <w:bottom w:w="90" w:type="dxa"/>
              <w:end w:w="120" w:type="dxa"/>
            </w:tcMar>
          </w:tcPr>
          <w:p>
            <w:pPr>
              <w:spacing w:after="0" w:line="264" w:lineRule="auto"/>
            </w:pPr>
            <w:r/>
            <w:r>
              <w:rPr>
                <w:rFonts w:ascii="Arial" w:hAnsi="Arial"/>
                <w:b w:val="0"/>
                <w:color w:val="202020"/>
                <w:sz w:val="20"/>
              </w:rPr>
              <w:t>Encrypted minimal workflow metadata; no new body snapshot.</w:t>
            </w:r>
          </w:p>
        </w:tc>
        <w:tc>
          <w:tcPr>
            <w:tcW w:type="dxa" w:w="3744"/>
            <w:vAlign w:val="center"/>
            <w:tcMar>
              <w:top w:w="90" w:type="dxa"/>
              <w:start w:w="120" w:type="dxa"/>
              <w:bottom w:w="90" w:type="dxa"/>
              <w:end w:w="120" w:type="dxa"/>
            </w:tcMar>
          </w:tcPr>
          <w:p>
            <w:pPr>
              <w:spacing w:after="0" w:line="264" w:lineRule="auto"/>
            </w:pPr>
            <w:r/>
            <w:r>
              <w:rPr>
                <w:rFonts w:ascii="Arial" w:hAnsi="Arial"/>
                <w:b w:val="0"/>
                <w:color w:val="202020"/>
                <w:sz w:val="20"/>
              </w:rPr>
              <w:t>Fetches the live body from Microsoft when the reviewer opens the email.</w:t>
            </w:r>
          </w:p>
        </w:tc>
      </w:tr>
    </w:tbl>
    <w:p>
      <w:pPr>
        <w:spacing w:after="40"/>
      </w:pPr>
    </w:p>
    <w:tbl>
      <w:tblPr>
        <w:tblW w:type="auto" w:w="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648"/>
      </w:tblGrid>
      <w:tr>
        <w:trPr>
          <w:cantSplit/>
        </w:trPr>
        <w:tc>
          <w:tcPr>
            <w:tcW w:type="dxa" w:w="9648"/>
            <w:shd w:fill="F1F3F4"/>
            <w:tcMar>
              <w:top w:w="110" w:type="dxa"/>
              <w:start w:w="140" w:type="dxa"/>
              <w:bottom w:w="110" w:type="dxa"/>
              <w:end w:w="140" w:type="dxa"/>
            </w:tcMar>
          </w:tcPr>
          <w:p>
            <w:pPr>
              <w:spacing w:after="0" w:line="240" w:lineRule="auto"/>
            </w:pPr>
            <w:r/>
            <w:r>
              <w:rPr>
                <w:rFonts w:ascii="Courier New" w:hAnsi="Courier New"/>
                <w:color w:val="202020"/>
                <w:sz w:val="18"/>
              </w:rPr>
              <w:t>Readable example before:  body_email = "I need legal assistance."</w:t>
              <w:br/>
              <w:t>Encrypted example after:   sensitive_payload_ciphertext = "gAAAAAB..."</w:t>
              <w:br/>
              <w:t>Key locator:                encryption_key_version = 1</w:t>
              <w:br/>
              <w:t>The actual key is stored separately in Railway.</w:t>
            </w:r>
          </w:p>
        </w:tc>
      </w:tr>
    </w:tbl>
    <w:p>
      <w:pPr>
        <w:spacing w:after="0"/>
      </w:pPr>
    </w:p>
    <w:p>
      <w:pPr>
        <w:pStyle w:val="Heading1"/>
      </w:pPr>
      <w:r>
        <w:t>10. Acceptance tests and rollback plan</w:t>
      </w:r>
    </w:p>
    <w:tbl>
      <w:tblPr>
        <w:tblW w:type="auto" w:w="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880"/>
        <w:gridCol w:w="6768"/>
      </w:tblGrid>
      <w:tr>
        <w:trPr>
          <w:cantSplit/>
          <w:tblHeader w:val="true"/>
        </w:trPr>
        <w:tc>
          <w:tcPr>
            <w:tcW w:type="dxa" w:w="4824"/>
            <w:vAlign w:val="center"/>
            <w:tcMar>
              <w:top w:w="90" w:type="dxa"/>
              <w:start w:w="120" w:type="dxa"/>
              <w:bottom w:w="90" w:type="dxa"/>
              <w:end w:w="120" w:type="dxa"/>
            </w:tcMar>
            <w:shd w:fill="EAF4F0"/>
          </w:tcPr>
          <w:p>
            <w:pPr>
              <w:spacing w:after="0" w:line="264" w:lineRule="auto"/>
            </w:pPr>
            <w:r/>
            <w:r>
              <w:rPr>
                <w:rFonts w:ascii="Arial" w:hAnsi="Arial"/>
                <w:b/>
                <w:color w:val="0B574A"/>
                <w:sz w:val="20"/>
              </w:rPr>
              <w:t>Check</w:t>
            </w:r>
          </w:p>
        </w:tc>
        <w:tc>
          <w:tcPr>
            <w:tcW w:type="dxa" w:w="4824"/>
            <w:vAlign w:val="center"/>
            <w:tcMar>
              <w:top w:w="90" w:type="dxa"/>
              <w:start w:w="120" w:type="dxa"/>
              <w:bottom w:w="90" w:type="dxa"/>
              <w:end w:w="120" w:type="dxa"/>
            </w:tcMar>
            <w:shd w:fill="EAF4F0"/>
          </w:tcPr>
          <w:p>
            <w:pPr>
              <w:spacing w:after="0" w:line="264" w:lineRule="auto"/>
            </w:pPr>
            <w:r/>
            <w:r>
              <w:rPr>
                <w:rFonts w:ascii="Arial" w:hAnsi="Arial"/>
                <w:b/>
                <w:color w:val="0B574A"/>
                <w:sz w:val="20"/>
              </w:rPr>
              <w:t>Required result</w:t>
            </w:r>
          </w:p>
        </w:tc>
      </w:tr>
      <w:tr>
        <w:trPr>
          <w:cantSplit/>
        </w:trPr>
        <w:tc>
          <w:tcPr>
            <w:tcW w:type="dxa" w:w="2880"/>
            <w:vAlign w:val="center"/>
            <w:tcMar>
              <w:top w:w="90" w:type="dxa"/>
              <w:start w:w="120" w:type="dxa"/>
              <w:bottom w:w="90" w:type="dxa"/>
              <w:end w:w="120" w:type="dxa"/>
            </w:tcMar>
          </w:tcPr>
          <w:p>
            <w:pPr>
              <w:spacing w:after="0" w:line="264" w:lineRule="auto"/>
            </w:pPr>
            <w:r/>
            <w:r>
              <w:rPr>
                <w:rFonts w:ascii="Arial" w:hAnsi="Arial"/>
                <w:b w:val="0"/>
                <w:color w:val="202020"/>
                <w:sz w:val="20"/>
              </w:rPr>
              <w:t>Microsoft sign-in and MFA</w:t>
            </w:r>
          </w:p>
        </w:tc>
        <w:tc>
          <w:tcPr>
            <w:tcW w:type="dxa" w:w="6768"/>
            <w:vAlign w:val="center"/>
            <w:tcMar>
              <w:top w:w="90" w:type="dxa"/>
              <w:start w:w="120" w:type="dxa"/>
              <w:bottom w:w="90" w:type="dxa"/>
              <w:end w:w="120" w:type="dxa"/>
            </w:tcMar>
          </w:tcPr>
          <w:p>
            <w:pPr>
              <w:spacing w:after="0" w:line="264" w:lineRule="auto"/>
            </w:pPr>
            <w:r/>
            <w:r>
              <w:rPr>
                <w:rFonts w:ascii="Arial" w:hAnsi="Arial"/>
                <w:b w:val="0"/>
                <w:color w:val="202020"/>
                <w:sz w:val="20"/>
              </w:rPr>
              <w:t>Authorized MLFA and approved guest users can complete sign-in; unapproved users are denied.</w:t>
            </w:r>
          </w:p>
        </w:tc>
      </w:tr>
      <w:tr>
        <w:trPr>
          <w:cantSplit/>
        </w:trPr>
        <w:tc>
          <w:tcPr>
            <w:tcW w:type="dxa" w:w="2880"/>
            <w:vAlign w:val="center"/>
            <w:tcMar>
              <w:top w:w="90" w:type="dxa"/>
              <w:start w:w="120" w:type="dxa"/>
              <w:bottom w:w="90" w:type="dxa"/>
              <w:end w:w="120" w:type="dxa"/>
            </w:tcMar>
          </w:tcPr>
          <w:p>
            <w:pPr>
              <w:spacing w:after="0" w:line="264" w:lineRule="auto"/>
            </w:pPr>
            <w:r/>
            <w:r>
              <w:rPr>
                <w:rFonts w:ascii="Arial" w:hAnsi="Arial"/>
                <w:b w:val="0"/>
                <w:color w:val="202020"/>
                <w:sz w:val="20"/>
              </w:rPr>
              <w:t>Queue listing</w:t>
            </w:r>
          </w:p>
        </w:tc>
        <w:tc>
          <w:tcPr>
            <w:tcW w:type="dxa" w:w="6768"/>
            <w:vAlign w:val="center"/>
            <w:tcMar>
              <w:top w:w="90" w:type="dxa"/>
              <w:start w:w="120" w:type="dxa"/>
              <w:bottom w:w="90" w:type="dxa"/>
              <w:end w:w="120" w:type="dxa"/>
            </w:tcMar>
          </w:tcPr>
          <w:p>
            <w:pPr>
              <w:spacing w:after="0" w:line="264" w:lineRule="auto"/>
            </w:pPr>
            <w:r/>
            <w:r>
              <w:rPr>
                <w:rFonts w:ascii="Arial" w:hAnsi="Arial"/>
                <w:b w:val="0"/>
                <w:color w:val="202020"/>
                <w:sz w:val="20"/>
              </w:rPr>
              <w:t>Pending items load without revealing secrets in logs or errors.</w:t>
            </w:r>
          </w:p>
        </w:tc>
      </w:tr>
      <w:tr>
        <w:trPr>
          <w:cantSplit/>
        </w:trPr>
        <w:tc>
          <w:tcPr>
            <w:tcW w:type="dxa" w:w="2880"/>
            <w:vAlign w:val="center"/>
            <w:tcMar>
              <w:top w:w="90" w:type="dxa"/>
              <w:start w:w="120" w:type="dxa"/>
              <w:bottom w:w="90" w:type="dxa"/>
              <w:end w:w="120" w:type="dxa"/>
            </w:tcMar>
          </w:tcPr>
          <w:p>
            <w:pPr>
              <w:spacing w:after="0" w:line="264" w:lineRule="auto"/>
            </w:pPr>
            <w:r/>
            <w:r>
              <w:rPr>
                <w:rFonts w:ascii="Arial" w:hAnsi="Arial"/>
                <w:b w:val="0"/>
                <w:color w:val="202020"/>
                <w:sz w:val="20"/>
              </w:rPr>
              <w:t>Open an email</w:t>
            </w:r>
          </w:p>
        </w:tc>
        <w:tc>
          <w:tcPr>
            <w:tcW w:type="dxa" w:w="6768"/>
            <w:vAlign w:val="center"/>
            <w:tcMar>
              <w:top w:w="90" w:type="dxa"/>
              <w:start w:w="120" w:type="dxa"/>
              <w:bottom w:w="90" w:type="dxa"/>
              <w:end w:w="120" w:type="dxa"/>
            </w:tcMar>
          </w:tcPr>
          <w:p>
            <w:pPr>
              <w:spacing w:after="0" w:line="264" w:lineRule="auto"/>
            </w:pPr>
            <w:r/>
            <w:r>
              <w:rPr>
                <w:rFonts w:ascii="Arial" w:hAnsi="Arial"/>
                <w:b w:val="0"/>
                <w:color w:val="202020"/>
                <w:sz w:val="20"/>
              </w:rPr>
              <w:t>The correct message body appears and unavailable messages show a safe warning.</w:t>
            </w:r>
          </w:p>
        </w:tc>
      </w:tr>
      <w:tr>
        <w:trPr>
          <w:cantSplit/>
        </w:trPr>
        <w:tc>
          <w:tcPr>
            <w:tcW w:type="dxa" w:w="2880"/>
            <w:vAlign w:val="center"/>
            <w:tcMar>
              <w:top w:w="90" w:type="dxa"/>
              <w:start w:w="120" w:type="dxa"/>
              <w:bottom w:w="90" w:type="dxa"/>
              <w:end w:w="120" w:type="dxa"/>
            </w:tcMar>
          </w:tcPr>
          <w:p>
            <w:pPr>
              <w:spacing w:after="0" w:line="264" w:lineRule="auto"/>
            </w:pPr>
            <w:r/>
            <w:r>
              <w:rPr>
                <w:rFonts w:ascii="Arial" w:hAnsi="Arial"/>
                <w:b w:val="0"/>
                <w:color w:val="202020"/>
                <w:sz w:val="20"/>
              </w:rPr>
              <w:t>Approve/reject/dismiss</w:t>
            </w:r>
          </w:p>
        </w:tc>
        <w:tc>
          <w:tcPr>
            <w:tcW w:type="dxa" w:w="6768"/>
            <w:vAlign w:val="center"/>
            <w:tcMar>
              <w:top w:w="90" w:type="dxa"/>
              <w:start w:w="120" w:type="dxa"/>
              <w:bottom w:w="90" w:type="dxa"/>
              <w:end w:w="120" w:type="dxa"/>
            </w:tcMar>
          </w:tcPr>
          <w:p>
            <w:pPr>
              <w:spacing w:after="0" w:line="264" w:lineRule="auto"/>
            </w:pPr>
            <w:r/>
            <w:r>
              <w:rPr>
                <w:rFonts w:ascii="Arial" w:hAnsi="Arial"/>
                <w:b w:val="0"/>
                <w:color w:val="202020"/>
                <w:sz w:val="20"/>
              </w:rPr>
              <w:t>The intended Microsoft Graph action succeeds once and is audited.</w:t>
            </w:r>
          </w:p>
        </w:tc>
      </w:tr>
      <w:tr>
        <w:trPr>
          <w:cantSplit/>
        </w:trPr>
        <w:tc>
          <w:tcPr>
            <w:tcW w:type="dxa" w:w="2880"/>
            <w:vAlign w:val="center"/>
            <w:tcMar>
              <w:top w:w="90" w:type="dxa"/>
              <w:start w:w="120" w:type="dxa"/>
              <w:bottom w:w="90" w:type="dxa"/>
              <w:end w:w="120" w:type="dxa"/>
            </w:tcMar>
          </w:tcPr>
          <w:p>
            <w:pPr>
              <w:spacing w:after="0" w:line="264" w:lineRule="auto"/>
            </w:pPr>
            <w:r/>
            <w:r>
              <w:rPr>
                <w:rFonts w:ascii="Arial" w:hAnsi="Arial"/>
                <w:b w:val="0"/>
                <w:color w:val="202020"/>
                <w:sz w:val="20"/>
              </w:rPr>
              <w:t>Automatic processing</w:t>
            </w:r>
          </w:p>
        </w:tc>
        <w:tc>
          <w:tcPr>
            <w:tcW w:type="dxa" w:w="6768"/>
            <w:vAlign w:val="center"/>
            <w:tcMar>
              <w:top w:w="90" w:type="dxa"/>
              <w:start w:w="120" w:type="dxa"/>
              <w:bottom w:w="90" w:type="dxa"/>
              <w:end w:w="120" w:type="dxa"/>
            </w:tcMar>
          </w:tcPr>
          <w:p>
            <w:pPr>
              <w:spacing w:after="0" w:line="264" w:lineRule="auto"/>
            </w:pPr>
            <w:r/>
            <w:r>
              <w:rPr>
                <w:rFonts w:ascii="Arial" w:hAnsi="Arial"/>
                <w:b w:val="0"/>
                <w:color w:val="202020"/>
                <w:sz w:val="20"/>
              </w:rPr>
              <w:t>Rules continue applying folders, tags, replies, forwarding, and read state correctly.</w:t>
            </w:r>
          </w:p>
        </w:tc>
      </w:tr>
      <w:tr>
        <w:trPr>
          <w:cantSplit/>
        </w:trPr>
        <w:tc>
          <w:tcPr>
            <w:tcW w:type="dxa" w:w="2880"/>
            <w:vAlign w:val="center"/>
            <w:tcMar>
              <w:top w:w="90" w:type="dxa"/>
              <w:start w:w="120" w:type="dxa"/>
              <w:bottom w:w="90" w:type="dxa"/>
              <w:end w:w="120" w:type="dxa"/>
            </w:tcMar>
          </w:tcPr>
          <w:p>
            <w:pPr>
              <w:spacing w:after="0" w:line="264" w:lineRule="auto"/>
            </w:pPr>
            <w:r/>
            <w:r>
              <w:rPr>
                <w:rFonts w:ascii="Arial" w:hAnsi="Arial"/>
                <w:b w:val="0"/>
                <w:color w:val="202020"/>
                <w:sz w:val="20"/>
              </w:rPr>
              <w:t>Encryption verification</w:t>
            </w:r>
          </w:p>
        </w:tc>
        <w:tc>
          <w:tcPr>
            <w:tcW w:type="dxa" w:w="6768"/>
            <w:vAlign w:val="center"/>
            <w:tcMar>
              <w:top w:w="90" w:type="dxa"/>
              <w:start w:w="120" w:type="dxa"/>
              <w:bottom w:w="90" w:type="dxa"/>
              <w:end w:w="120" w:type="dxa"/>
            </w:tcMar>
          </w:tcPr>
          <w:p>
            <w:pPr>
              <w:spacing w:after="0" w:line="264" w:lineRule="auto"/>
            </w:pPr>
            <w:r/>
            <w:r>
              <w:rPr>
                <w:rFonts w:ascii="Arial" w:hAnsi="Arial"/>
                <w:b w:val="0"/>
                <w:color w:val="202020"/>
                <w:sz w:val="20"/>
              </w:rPr>
              <w:t>Every encrypted row decrypts successfully with its recorded key version.</w:t>
            </w:r>
          </w:p>
        </w:tc>
      </w:tr>
      <w:tr>
        <w:trPr>
          <w:cantSplit/>
        </w:trPr>
        <w:tc>
          <w:tcPr>
            <w:tcW w:type="dxa" w:w="2880"/>
            <w:vAlign w:val="center"/>
            <w:tcMar>
              <w:top w:w="90" w:type="dxa"/>
              <w:start w:w="120" w:type="dxa"/>
              <w:bottom w:w="90" w:type="dxa"/>
              <w:end w:w="120" w:type="dxa"/>
            </w:tcMar>
          </w:tcPr>
          <w:p>
            <w:pPr>
              <w:spacing w:after="0" w:line="264" w:lineRule="auto"/>
            </w:pPr>
            <w:r/>
            <w:r>
              <w:rPr>
                <w:rFonts w:ascii="Arial" w:hAnsi="Arial"/>
                <w:b w:val="0"/>
                <w:color w:val="202020"/>
                <w:sz w:val="20"/>
              </w:rPr>
              <w:t>Expiration</w:t>
            </w:r>
          </w:p>
        </w:tc>
        <w:tc>
          <w:tcPr>
            <w:tcW w:type="dxa" w:w="6768"/>
            <w:vAlign w:val="center"/>
            <w:tcMar>
              <w:top w:w="90" w:type="dxa"/>
              <w:start w:w="120" w:type="dxa"/>
              <w:bottom w:w="90" w:type="dxa"/>
              <w:end w:w="120" w:type="dxa"/>
            </w:tcMar>
          </w:tcPr>
          <w:p>
            <w:pPr>
              <w:spacing w:after="0" w:line="264" w:lineRule="auto"/>
            </w:pPr>
            <w:r/>
            <w:r>
              <w:rPr>
                <w:rFonts w:ascii="Arial" w:hAnsi="Arial"/>
                <w:b w:val="0"/>
                <w:color w:val="202020"/>
                <w:sz w:val="20"/>
              </w:rPr>
              <w:t>Expired queue content is removed without deleting the original Microsoft 365 message.</w:t>
            </w:r>
          </w:p>
        </w:tc>
      </w:tr>
      <w:tr>
        <w:trPr>
          <w:cantSplit/>
        </w:trPr>
        <w:tc>
          <w:tcPr>
            <w:tcW w:type="dxa" w:w="2880"/>
            <w:vAlign w:val="center"/>
            <w:tcMar>
              <w:top w:w="90" w:type="dxa"/>
              <w:start w:w="120" w:type="dxa"/>
              <w:bottom w:w="90" w:type="dxa"/>
              <w:end w:w="120" w:type="dxa"/>
            </w:tcMar>
          </w:tcPr>
          <w:p>
            <w:pPr>
              <w:spacing w:after="0" w:line="264" w:lineRule="auto"/>
            </w:pPr>
            <w:r/>
            <w:r>
              <w:rPr>
                <w:rFonts w:ascii="Arial" w:hAnsi="Arial"/>
                <w:b w:val="0"/>
                <w:color w:val="202020"/>
                <w:sz w:val="20"/>
              </w:rPr>
              <w:t>Backup recovery</w:t>
            </w:r>
          </w:p>
        </w:tc>
        <w:tc>
          <w:tcPr>
            <w:tcW w:type="dxa" w:w="6768"/>
            <w:vAlign w:val="center"/>
            <w:tcMar>
              <w:top w:w="90" w:type="dxa"/>
              <w:start w:w="120" w:type="dxa"/>
              <w:bottom w:w="90" w:type="dxa"/>
              <w:end w:w="120" w:type="dxa"/>
            </w:tcMar>
          </w:tcPr>
          <w:p>
            <w:pPr>
              <w:spacing w:after="0" w:line="264" w:lineRule="auto"/>
            </w:pPr>
            <w:r/>
            <w:r>
              <w:rPr>
                <w:rFonts w:ascii="Arial" w:hAnsi="Arial"/>
                <w:b w:val="0"/>
                <w:color w:val="202020"/>
                <w:sz w:val="20"/>
              </w:rPr>
              <w:t>A documented restore test confirms that backups can be recovered.</w:t>
            </w:r>
          </w:p>
        </w:tc>
      </w:tr>
    </w:tbl>
    <w:p>
      <w:pPr>
        <w:spacing w:after="40"/>
      </w:pPr>
    </w:p>
    <w:p>
      <w:r>
        <w:t>Rollback principles:</w:t>
      </w:r>
    </w:p>
    <w:p>
      <w:pPr>
        <w:pStyle w:val="ListBullet"/>
      </w:pPr>
      <w:r>
        <w:t>Before plaintext is cleared, return QUEUE_SECURITY_MODE to legacy and redeploy if encryption causes a problem.</w:t>
      </w:r>
    </w:p>
    <w:p>
      <w:pPr>
        <w:pStyle w:val="ListBullet"/>
      </w:pPr>
      <w:r>
        <w:t>After plaintext is cleared, return to encrypted_fallback rather than legacy; the encryption key must remain available.</w:t>
      </w:r>
    </w:p>
    <w:p>
      <w:pPr>
        <w:pStyle w:val="ListBullet"/>
      </w:pPr>
      <w:r>
        <w:t>Restore the pre-migration database backup only if schema or data corruption occurs. A restore may discard newer queue actions, so it is the final recovery option.</w:t>
      </w:r>
    </w:p>
    <w:p>
      <w:pPr>
        <w:pStyle w:val="ListBullet"/>
      </w:pPr>
      <w:r>
        <w:t>Never delete an old key version while rows encrypted with that version still exist.</w:t>
      </w:r>
    </w:p>
    <w:p>
      <w:pPr>
        <w:pStyle w:val="Heading1"/>
      </w:pPr>
      <w:r>
        <w:t>11. Target end state</w:t>
      </w:r>
    </w:p>
    <w:p>
      <w:pPr>
        <w:pStyle w:val="ListBullet"/>
      </w:pPr>
      <w:r>
        <w:t>Original email bodies remain in Microsoft 365. Any body temporarily persisted by the Hub is held only in the application-encrypted PostgreSQL queue and expires under the configured retention period.</w:t>
      </w:r>
    </w:p>
    <w:p>
      <w:pPr>
        <w:pStyle w:val="ListBullet"/>
      </w:pPr>
      <w:r>
        <w:t>PostgreSQL stores encrypted minimal workflow metadata, configuration, and audit records rather than duplicate bodies.</w:t>
      </w:r>
    </w:p>
    <w:p>
      <w:pPr>
        <w:pStyle w:val="ListBullet"/>
      </w:pPr>
      <w:r>
        <w:t>Temporary queue records expire according to a documented, per-inbox retention period.</w:t>
      </w:r>
    </w:p>
    <w:p>
      <w:pPr>
        <w:pStyle w:val="ListBullet"/>
      </w:pPr>
      <w:r>
        <w:t>Only the backend has encryption keys; the browser and database do not.</w:t>
      </w:r>
    </w:p>
    <w:p>
      <w:pPr>
        <w:pStyle w:val="ListBullet"/>
      </w:pPr>
      <w:r>
        <w:t>Microsoft Entra ID, MFA, Hub user status, and Hub roles all participate in access control.</w:t>
      </w:r>
    </w:p>
    <w:p>
      <w:pPr>
        <w:pStyle w:val="ListBullet"/>
      </w:pPr>
      <w:r>
        <w:t>AI use is explicitly enabled or disabled per inbox, with store=False on active OpenAI requests.</w:t>
      </w:r>
    </w:p>
    <w:p>
      <w:pPr>
        <w:pStyle w:val="ListBullet"/>
      </w:pPr>
      <w:r>
        <w:t>Actions remain deterministic and auditable; OpenAI does not obtain permission to operate the mailbox.</w:t>
      </w:r>
    </w:p>
    <w:p>
      <w:pPr>
        <w:pStyle w:val="Heading1"/>
      </w:pPr>
      <w:r>
        <w:t>12. Security work and ongoing controls</w:t>
      </w:r>
    </w:p>
    <w:tbl>
      <w:tblPr>
        <w:tblW w:type="auto" w:w="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440"/>
        <w:gridCol w:w="2880"/>
        <w:gridCol w:w="5328"/>
      </w:tblGrid>
      <w:tr>
        <w:trPr>
          <w:cantSplit/>
          <w:tblHeader w:val="true"/>
        </w:trPr>
        <w:tc>
          <w:tcPr>
            <w:tcW w:type="dxa" w:w="3216"/>
            <w:vAlign w:val="center"/>
            <w:tcMar>
              <w:top w:w="90" w:type="dxa"/>
              <w:start w:w="120" w:type="dxa"/>
              <w:bottom w:w="90" w:type="dxa"/>
              <w:end w:w="120" w:type="dxa"/>
            </w:tcMar>
            <w:shd w:fill="EAF4F0"/>
          </w:tcPr>
          <w:p>
            <w:pPr>
              <w:spacing w:after="0" w:line="264" w:lineRule="auto"/>
            </w:pPr>
            <w:r/>
            <w:r>
              <w:rPr>
                <w:rFonts w:ascii="Arial" w:hAnsi="Arial"/>
                <w:b/>
                <w:color w:val="0B574A"/>
                <w:sz w:val="20"/>
              </w:rPr>
              <w:t>Priority</w:t>
            </w:r>
          </w:p>
        </w:tc>
        <w:tc>
          <w:tcPr>
            <w:tcW w:type="dxa" w:w="3216"/>
            <w:vAlign w:val="center"/>
            <w:tcMar>
              <w:top w:w="90" w:type="dxa"/>
              <w:start w:w="120" w:type="dxa"/>
              <w:bottom w:w="90" w:type="dxa"/>
              <w:end w:w="120" w:type="dxa"/>
            </w:tcMar>
            <w:shd w:fill="EAF4F0"/>
          </w:tcPr>
          <w:p>
            <w:pPr>
              <w:spacing w:after="0" w:line="264" w:lineRule="auto"/>
            </w:pPr>
            <w:r/>
            <w:r>
              <w:rPr>
                <w:rFonts w:ascii="Arial" w:hAnsi="Arial"/>
                <w:b/>
                <w:color w:val="0B574A"/>
                <w:sz w:val="20"/>
              </w:rPr>
              <w:t>Control</w:t>
            </w:r>
          </w:p>
        </w:tc>
        <w:tc>
          <w:tcPr>
            <w:tcW w:type="dxa" w:w="3216"/>
            <w:vAlign w:val="center"/>
            <w:tcMar>
              <w:top w:w="90" w:type="dxa"/>
              <w:start w:w="120" w:type="dxa"/>
              <w:bottom w:w="90" w:type="dxa"/>
              <w:end w:w="120" w:type="dxa"/>
            </w:tcMar>
            <w:shd w:fill="EAF4F0"/>
          </w:tcPr>
          <w:p>
            <w:pPr>
              <w:spacing w:after="0" w:line="264" w:lineRule="auto"/>
            </w:pPr>
            <w:r/>
            <w:r>
              <w:rPr>
                <w:rFonts w:ascii="Arial" w:hAnsi="Arial"/>
                <w:b/>
                <w:color w:val="0B574A"/>
                <w:sz w:val="20"/>
              </w:rPr>
              <w:t>Status / next step</w:t>
            </w:r>
          </w:p>
        </w:tc>
      </w:tr>
      <w:tr>
        <w:trPr>
          <w:cantSplit/>
        </w:trPr>
        <w:tc>
          <w:tcPr>
            <w:tcW w:type="dxa" w:w="1440"/>
            <w:vAlign w:val="center"/>
            <w:tcMar>
              <w:top w:w="90" w:type="dxa"/>
              <w:start w:w="120" w:type="dxa"/>
              <w:bottom w:w="90" w:type="dxa"/>
              <w:end w:w="120" w:type="dxa"/>
            </w:tcMar>
          </w:tcPr>
          <w:p>
            <w:pPr>
              <w:spacing w:after="0" w:line="264" w:lineRule="auto"/>
            </w:pPr>
            <w:r/>
            <w:r>
              <w:rPr>
                <w:rFonts w:ascii="Arial" w:hAnsi="Arial"/>
                <w:b w:val="0"/>
                <w:color w:val="202020"/>
                <w:sz w:val="20"/>
              </w:rPr>
              <w:t>High</w:t>
            </w:r>
          </w:p>
        </w:tc>
        <w:tc>
          <w:tcPr>
            <w:tcW w:type="dxa" w:w="2880"/>
            <w:vAlign w:val="center"/>
            <w:tcMar>
              <w:top w:w="90" w:type="dxa"/>
              <w:start w:w="120" w:type="dxa"/>
              <w:bottom w:w="90" w:type="dxa"/>
              <w:end w:w="120" w:type="dxa"/>
            </w:tcMar>
          </w:tcPr>
          <w:p>
            <w:pPr>
              <w:spacing w:after="0" w:line="264" w:lineRule="auto"/>
            </w:pPr>
            <w:r/>
            <w:r>
              <w:rPr>
                <w:rFonts w:ascii="Arial" w:hAnsi="Arial"/>
                <w:b w:val="0"/>
                <w:color w:val="202020"/>
                <w:sz w:val="20"/>
              </w:rPr>
              <w:t>Complete controlled encryption migration</w:t>
            </w:r>
          </w:p>
        </w:tc>
        <w:tc>
          <w:tcPr>
            <w:tcW w:type="dxa" w:w="5328"/>
            <w:vAlign w:val="center"/>
            <w:tcMar>
              <w:top w:w="90" w:type="dxa"/>
              <w:start w:w="120" w:type="dxa"/>
              <w:bottom w:w="90" w:type="dxa"/>
              <w:end w:w="120" w:type="dxa"/>
            </w:tcMar>
          </w:tcPr>
          <w:p>
            <w:pPr>
              <w:spacing w:after="0" w:line="264" w:lineRule="auto"/>
            </w:pPr>
            <w:r/>
            <w:r>
              <w:rPr>
                <w:rFonts w:ascii="Arial" w:hAnsi="Arial"/>
                <w:b w:val="0"/>
                <w:color w:val="202020"/>
                <w:sz w:val="20"/>
              </w:rPr>
              <w:t>Implemented; sensitive queue payloads are encrypted and plaintext queue copies have been removed.</w:t>
            </w:r>
          </w:p>
        </w:tc>
      </w:tr>
      <w:tr>
        <w:trPr>
          <w:cantSplit/>
        </w:trPr>
        <w:tc>
          <w:tcPr>
            <w:tcW w:type="dxa" w:w="1440"/>
            <w:vAlign w:val="center"/>
            <w:tcMar>
              <w:top w:w="90" w:type="dxa"/>
              <w:start w:w="120" w:type="dxa"/>
              <w:bottom w:w="90" w:type="dxa"/>
              <w:end w:w="120" w:type="dxa"/>
            </w:tcMar>
          </w:tcPr>
          <w:p>
            <w:pPr>
              <w:spacing w:after="0" w:line="264" w:lineRule="auto"/>
            </w:pPr>
            <w:r/>
            <w:r>
              <w:rPr>
                <w:rFonts w:ascii="Arial" w:hAnsi="Arial"/>
                <w:b w:val="0"/>
                <w:color w:val="202020"/>
                <w:sz w:val="20"/>
              </w:rPr>
              <w:t>High</w:t>
            </w:r>
          </w:p>
        </w:tc>
        <w:tc>
          <w:tcPr>
            <w:tcW w:type="dxa" w:w="2880"/>
            <w:vAlign w:val="center"/>
            <w:tcMar>
              <w:top w:w="90" w:type="dxa"/>
              <w:start w:w="120" w:type="dxa"/>
              <w:bottom w:w="90" w:type="dxa"/>
              <w:end w:w="120" w:type="dxa"/>
            </w:tcMar>
          </w:tcPr>
          <w:p>
            <w:pPr>
              <w:spacing w:after="0" w:line="264" w:lineRule="auto"/>
            </w:pPr>
            <w:r/>
            <w:r>
              <w:rPr>
                <w:rFonts w:ascii="Arial" w:hAnsi="Arial"/>
                <w:b w:val="0"/>
                <w:color w:val="202020"/>
                <w:sz w:val="20"/>
              </w:rPr>
              <w:t>OpenAI governance approval</w:t>
            </w:r>
          </w:p>
        </w:tc>
        <w:tc>
          <w:tcPr>
            <w:tcW w:type="dxa" w:w="5328"/>
            <w:vAlign w:val="center"/>
            <w:tcMar>
              <w:top w:w="90" w:type="dxa"/>
              <w:start w:w="120" w:type="dxa"/>
              <w:bottom w:w="90" w:type="dxa"/>
              <w:end w:w="120" w:type="dxa"/>
            </w:tcMar>
          </w:tcPr>
          <w:p>
            <w:pPr>
              <w:spacing w:after="0" w:line="264" w:lineRule="auto"/>
            </w:pPr>
            <w:r/>
            <w:r>
              <w:rPr>
                <w:rFonts w:ascii="Arial" w:hAnsi="Arial"/>
                <w:b w:val="0"/>
                <w:color w:val="202020"/>
                <w:sz w:val="20"/>
              </w:rPr>
              <w:t>MLFA should approve the processor relationship and determine ZDR/MAM eligibility.</w:t>
            </w:r>
          </w:p>
        </w:tc>
      </w:tr>
      <w:tr>
        <w:trPr>
          <w:cantSplit/>
        </w:trPr>
        <w:tc>
          <w:tcPr>
            <w:tcW w:type="dxa" w:w="1440"/>
            <w:vAlign w:val="center"/>
            <w:tcMar>
              <w:top w:w="90" w:type="dxa"/>
              <w:start w:w="120" w:type="dxa"/>
              <w:bottom w:w="90" w:type="dxa"/>
              <w:end w:w="120" w:type="dxa"/>
            </w:tcMar>
          </w:tcPr>
          <w:p>
            <w:pPr>
              <w:spacing w:after="0" w:line="264" w:lineRule="auto"/>
            </w:pPr>
            <w:r/>
            <w:r>
              <w:rPr>
                <w:rFonts w:ascii="Arial" w:hAnsi="Arial"/>
                <w:b w:val="0"/>
                <w:color w:val="202020"/>
                <w:sz w:val="20"/>
              </w:rPr>
              <w:t>High</w:t>
            </w:r>
          </w:p>
        </w:tc>
        <w:tc>
          <w:tcPr>
            <w:tcW w:type="dxa" w:w="2880"/>
            <w:vAlign w:val="center"/>
            <w:tcMar>
              <w:top w:w="90" w:type="dxa"/>
              <w:start w:w="120" w:type="dxa"/>
              <w:bottom w:w="90" w:type="dxa"/>
              <w:end w:w="120" w:type="dxa"/>
            </w:tcMar>
          </w:tcPr>
          <w:p>
            <w:pPr>
              <w:spacing w:after="0" w:line="264" w:lineRule="auto"/>
            </w:pPr>
            <w:r/>
            <w:r>
              <w:rPr>
                <w:rFonts w:ascii="Arial" w:hAnsi="Arial"/>
                <w:b w:val="0"/>
                <w:color w:val="202020"/>
                <w:sz w:val="20"/>
              </w:rPr>
              <w:t>Scope Graph mailbox access</w:t>
            </w:r>
          </w:p>
        </w:tc>
        <w:tc>
          <w:tcPr>
            <w:tcW w:type="dxa" w:w="5328"/>
            <w:vAlign w:val="center"/>
            <w:tcMar>
              <w:top w:w="90" w:type="dxa"/>
              <w:start w:w="120" w:type="dxa"/>
              <w:bottom w:w="90" w:type="dxa"/>
              <w:end w:w="120" w:type="dxa"/>
            </w:tcMar>
          </w:tcPr>
          <w:p>
            <w:pPr>
              <w:spacing w:after="0" w:line="264" w:lineRule="auto"/>
            </w:pPr>
            <w:r/>
            <w:r>
              <w:rPr>
                <w:rFonts w:ascii="Arial" w:hAnsi="Arial"/>
                <w:b w:val="0"/>
                <w:color w:val="202020"/>
                <w:sz w:val="20"/>
              </w:rPr>
              <w:t>Use Exchange Online RBAC for Applications so backend permissions apply only to approved Hub mailboxes.</w:t>
            </w:r>
          </w:p>
        </w:tc>
      </w:tr>
      <w:tr>
        <w:trPr>
          <w:cantSplit/>
        </w:trPr>
        <w:tc>
          <w:tcPr>
            <w:tcW w:type="dxa" w:w="1440"/>
            <w:vAlign w:val="center"/>
            <w:tcMar>
              <w:top w:w="90" w:type="dxa"/>
              <w:start w:w="120" w:type="dxa"/>
              <w:bottom w:w="90" w:type="dxa"/>
              <w:end w:w="120" w:type="dxa"/>
            </w:tcMar>
          </w:tcPr>
          <w:p>
            <w:pPr>
              <w:spacing w:after="0" w:line="264" w:lineRule="auto"/>
            </w:pPr>
            <w:r/>
            <w:r>
              <w:rPr>
                <w:rFonts w:ascii="Arial" w:hAnsi="Arial"/>
                <w:b w:val="0"/>
                <w:color w:val="202020"/>
                <w:sz w:val="20"/>
              </w:rPr>
              <w:t>High</w:t>
            </w:r>
          </w:p>
        </w:tc>
        <w:tc>
          <w:tcPr>
            <w:tcW w:type="dxa" w:w="2880"/>
            <w:vAlign w:val="center"/>
            <w:tcMar>
              <w:top w:w="90" w:type="dxa"/>
              <w:start w:w="120" w:type="dxa"/>
              <w:bottom w:w="90" w:type="dxa"/>
              <w:end w:w="120" w:type="dxa"/>
            </w:tcMar>
          </w:tcPr>
          <w:p>
            <w:pPr>
              <w:spacing w:after="0" w:line="264" w:lineRule="auto"/>
            </w:pPr>
            <w:r/>
            <w:r>
              <w:rPr>
                <w:rFonts w:ascii="Arial" w:hAnsi="Arial"/>
                <w:b w:val="0"/>
                <w:color w:val="202020"/>
                <w:sz w:val="20"/>
              </w:rPr>
              <w:t>Data retention and backup policy</w:t>
            </w:r>
          </w:p>
        </w:tc>
        <w:tc>
          <w:tcPr>
            <w:tcW w:type="dxa" w:w="5328"/>
            <w:vAlign w:val="center"/>
            <w:tcMar>
              <w:top w:w="90" w:type="dxa"/>
              <w:start w:w="120" w:type="dxa"/>
              <w:bottom w:w="90" w:type="dxa"/>
              <w:end w:w="120" w:type="dxa"/>
            </w:tcMar>
          </w:tcPr>
          <w:p>
            <w:pPr>
              <w:spacing w:after="0" w:line="264" w:lineRule="auto"/>
            </w:pPr>
            <w:r/>
            <w:r>
              <w:rPr>
                <w:rFonts w:ascii="Arial" w:hAnsi="Arial"/>
                <w:b w:val="0"/>
                <w:color w:val="202020"/>
                <w:sz w:val="20"/>
              </w:rPr>
              <w:t>Approve per-inbox retention, verify Railway backup retention, and perform a restore test.</w:t>
            </w:r>
          </w:p>
        </w:tc>
      </w:tr>
      <w:tr>
        <w:trPr>
          <w:cantSplit/>
        </w:trPr>
        <w:tc>
          <w:tcPr>
            <w:tcW w:type="dxa" w:w="1440"/>
            <w:vAlign w:val="center"/>
            <w:tcMar>
              <w:top w:w="90" w:type="dxa"/>
              <w:start w:w="120" w:type="dxa"/>
              <w:bottom w:w="90" w:type="dxa"/>
              <w:end w:w="120" w:type="dxa"/>
            </w:tcMar>
          </w:tcPr>
          <w:p>
            <w:pPr>
              <w:spacing w:after="0" w:line="264" w:lineRule="auto"/>
            </w:pPr>
            <w:r/>
            <w:r>
              <w:rPr>
                <w:rFonts w:ascii="Arial" w:hAnsi="Arial"/>
                <w:b w:val="0"/>
                <w:color w:val="202020"/>
                <w:sz w:val="20"/>
              </w:rPr>
              <w:t>Medium</w:t>
            </w:r>
          </w:p>
        </w:tc>
        <w:tc>
          <w:tcPr>
            <w:tcW w:type="dxa" w:w="2880"/>
            <w:vAlign w:val="center"/>
            <w:tcMar>
              <w:top w:w="90" w:type="dxa"/>
              <w:start w:w="120" w:type="dxa"/>
              <w:bottom w:w="90" w:type="dxa"/>
              <w:end w:w="120" w:type="dxa"/>
            </w:tcMar>
          </w:tcPr>
          <w:p>
            <w:pPr>
              <w:spacing w:after="0" w:line="264" w:lineRule="auto"/>
            </w:pPr>
            <w:r/>
            <w:r>
              <w:rPr>
                <w:rFonts w:ascii="Arial" w:hAnsi="Arial"/>
                <w:b w:val="0"/>
                <w:color w:val="202020"/>
                <w:sz w:val="20"/>
              </w:rPr>
              <w:t>Sensitive log minimization</w:t>
            </w:r>
          </w:p>
        </w:tc>
        <w:tc>
          <w:tcPr>
            <w:tcW w:type="dxa" w:w="5328"/>
            <w:vAlign w:val="center"/>
            <w:tcMar>
              <w:top w:w="90" w:type="dxa"/>
              <w:start w:w="120" w:type="dxa"/>
              <w:bottom w:w="90" w:type="dxa"/>
              <w:end w:w="120" w:type="dxa"/>
            </w:tcMar>
          </w:tcPr>
          <w:p>
            <w:pPr>
              <w:spacing w:after="0" w:line="264" w:lineRule="auto"/>
            </w:pPr>
            <w:r/>
            <w:r>
              <w:rPr>
                <w:rFonts w:ascii="Arial" w:hAnsi="Arial"/>
                <w:b w:val="0"/>
                <w:color w:val="202020"/>
                <w:sz w:val="20"/>
              </w:rPr>
              <w:t>Ensure subjects, bodies, credentials, tokens, and classification narratives are not written to operational logs.</w:t>
            </w:r>
          </w:p>
        </w:tc>
      </w:tr>
      <w:tr>
        <w:trPr>
          <w:cantSplit/>
        </w:trPr>
        <w:tc>
          <w:tcPr>
            <w:tcW w:type="dxa" w:w="1440"/>
            <w:vAlign w:val="center"/>
            <w:tcMar>
              <w:top w:w="90" w:type="dxa"/>
              <w:start w:w="120" w:type="dxa"/>
              <w:bottom w:w="90" w:type="dxa"/>
              <w:end w:w="120" w:type="dxa"/>
            </w:tcMar>
          </w:tcPr>
          <w:p>
            <w:pPr>
              <w:spacing w:after="0" w:line="264" w:lineRule="auto"/>
            </w:pPr>
            <w:r/>
            <w:r>
              <w:rPr>
                <w:rFonts w:ascii="Arial" w:hAnsi="Arial"/>
                <w:b w:val="0"/>
                <w:color w:val="202020"/>
                <w:sz w:val="20"/>
              </w:rPr>
              <w:t>Medium</w:t>
            </w:r>
          </w:p>
        </w:tc>
        <w:tc>
          <w:tcPr>
            <w:tcW w:type="dxa" w:w="2880"/>
            <w:vAlign w:val="center"/>
            <w:tcMar>
              <w:top w:w="90" w:type="dxa"/>
              <w:start w:w="120" w:type="dxa"/>
              <w:bottom w:w="90" w:type="dxa"/>
              <w:end w:w="120" w:type="dxa"/>
            </w:tcMar>
          </w:tcPr>
          <w:p>
            <w:pPr>
              <w:spacing w:after="0" w:line="264" w:lineRule="auto"/>
            </w:pPr>
            <w:r/>
            <w:r>
              <w:rPr>
                <w:rFonts w:ascii="Arial" w:hAnsi="Arial"/>
                <w:b w:val="0"/>
                <w:color w:val="202020"/>
                <w:sz w:val="20"/>
              </w:rPr>
              <w:t>Credential hardening</w:t>
            </w:r>
          </w:p>
        </w:tc>
        <w:tc>
          <w:tcPr>
            <w:tcW w:type="dxa" w:w="5328"/>
            <w:vAlign w:val="center"/>
            <w:tcMar>
              <w:top w:w="90" w:type="dxa"/>
              <w:start w:w="120" w:type="dxa"/>
              <w:bottom w:w="90" w:type="dxa"/>
              <w:end w:w="120" w:type="dxa"/>
            </w:tcMar>
          </w:tcPr>
          <w:p>
            <w:pPr>
              <w:spacing w:after="0" w:line="264" w:lineRule="auto"/>
            </w:pPr>
            <w:r/>
            <w:r>
              <w:rPr>
                <w:rFonts w:ascii="Arial" w:hAnsi="Arial"/>
                <w:b w:val="0"/>
                <w:color w:val="202020"/>
                <w:sz w:val="20"/>
              </w:rPr>
              <w:t>Replace long-lived Microsoft client secrets with a certificate or federated credential when operationally ready.</w:t>
            </w:r>
          </w:p>
        </w:tc>
      </w:tr>
      <w:tr>
        <w:trPr>
          <w:cantSplit/>
        </w:trPr>
        <w:tc>
          <w:tcPr>
            <w:tcW w:type="dxa" w:w="1440"/>
            <w:vAlign w:val="center"/>
            <w:tcMar>
              <w:top w:w="90" w:type="dxa"/>
              <w:start w:w="120" w:type="dxa"/>
              <w:bottom w:w="90" w:type="dxa"/>
              <w:end w:w="120" w:type="dxa"/>
            </w:tcMar>
          </w:tcPr>
          <w:p>
            <w:pPr>
              <w:spacing w:after="0" w:line="264" w:lineRule="auto"/>
            </w:pPr>
            <w:r/>
            <w:r>
              <w:rPr>
                <w:rFonts w:ascii="Arial" w:hAnsi="Arial"/>
                <w:b w:val="0"/>
                <w:color w:val="202020"/>
                <w:sz w:val="20"/>
              </w:rPr>
              <w:t>Medium</w:t>
            </w:r>
          </w:p>
        </w:tc>
        <w:tc>
          <w:tcPr>
            <w:tcW w:type="dxa" w:w="2880"/>
            <w:vAlign w:val="center"/>
            <w:tcMar>
              <w:top w:w="90" w:type="dxa"/>
              <w:start w:w="120" w:type="dxa"/>
              <w:bottom w:w="90" w:type="dxa"/>
              <w:end w:w="120" w:type="dxa"/>
            </w:tcMar>
          </w:tcPr>
          <w:p>
            <w:pPr>
              <w:spacing w:after="0" w:line="264" w:lineRule="auto"/>
            </w:pPr>
            <w:r/>
            <w:r>
              <w:rPr>
                <w:rFonts w:ascii="Arial" w:hAnsi="Arial"/>
                <w:b w:val="0"/>
                <w:color w:val="202020"/>
                <w:sz w:val="20"/>
              </w:rPr>
              <w:t>CSP hardening</w:t>
            </w:r>
          </w:p>
        </w:tc>
        <w:tc>
          <w:tcPr>
            <w:tcW w:type="dxa" w:w="5328"/>
            <w:vAlign w:val="center"/>
            <w:tcMar>
              <w:top w:w="90" w:type="dxa"/>
              <w:start w:w="120" w:type="dxa"/>
              <w:bottom w:w="90" w:type="dxa"/>
              <w:end w:w="120" w:type="dxa"/>
            </w:tcMar>
          </w:tcPr>
          <w:p>
            <w:pPr>
              <w:spacing w:after="0" w:line="264" w:lineRule="auto"/>
            </w:pPr>
            <w:r/>
            <w:r>
              <w:rPr>
                <w:rFonts w:ascii="Arial" w:hAnsi="Arial"/>
                <w:b w:val="0"/>
                <w:color w:val="202020"/>
                <w:sz w:val="20"/>
              </w:rPr>
              <w:t>Remove unsafe-inline by moving inline JavaScript/styles to controlled assets or using nonces.</w:t>
            </w:r>
          </w:p>
        </w:tc>
      </w:tr>
      <w:tr>
        <w:trPr>
          <w:cantSplit/>
        </w:trPr>
        <w:tc>
          <w:tcPr>
            <w:tcW w:type="dxa" w:w="1440"/>
            <w:vAlign w:val="center"/>
            <w:tcMar>
              <w:top w:w="90" w:type="dxa"/>
              <w:start w:w="120" w:type="dxa"/>
              <w:bottom w:w="90" w:type="dxa"/>
              <w:end w:w="120" w:type="dxa"/>
            </w:tcMar>
          </w:tcPr>
          <w:p>
            <w:pPr>
              <w:spacing w:after="0" w:line="264" w:lineRule="auto"/>
            </w:pPr>
            <w:r/>
            <w:r>
              <w:rPr>
                <w:rFonts w:ascii="Arial" w:hAnsi="Arial"/>
                <w:b w:val="0"/>
                <w:color w:val="202020"/>
                <w:sz w:val="20"/>
              </w:rPr>
              <w:t>Medium</w:t>
            </w:r>
          </w:p>
        </w:tc>
        <w:tc>
          <w:tcPr>
            <w:tcW w:type="dxa" w:w="2880"/>
            <w:vAlign w:val="center"/>
            <w:tcMar>
              <w:top w:w="90" w:type="dxa"/>
              <w:start w:w="120" w:type="dxa"/>
              <w:bottom w:w="90" w:type="dxa"/>
              <w:end w:w="120" w:type="dxa"/>
            </w:tcMar>
          </w:tcPr>
          <w:p>
            <w:pPr>
              <w:spacing w:after="0" w:line="264" w:lineRule="auto"/>
            </w:pPr>
            <w:r/>
            <w:r>
              <w:rPr>
                <w:rFonts w:ascii="Arial" w:hAnsi="Arial"/>
                <w:b w:val="0"/>
                <w:color w:val="202020"/>
                <w:sz w:val="20"/>
              </w:rPr>
              <w:t>Service isolation</w:t>
            </w:r>
          </w:p>
        </w:tc>
        <w:tc>
          <w:tcPr>
            <w:tcW w:type="dxa" w:w="5328"/>
            <w:vAlign w:val="center"/>
            <w:tcMar>
              <w:top w:w="90" w:type="dxa"/>
              <w:start w:w="120" w:type="dxa"/>
              <w:bottom w:w="90" w:type="dxa"/>
              <w:end w:w="120" w:type="dxa"/>
            </w:tcMar>
          </w:tcPr>
          <w:p>
            <w:pPr>
              <w:spacing w:after="0" w:line="264" w:lineRule="auto"/>
            </w:pPr>
            <w:r/>
            <w:r>
              <w:rPr>
                <w:rFonts w:ascii="Arial" w:hAnsi="Arial"/>
                <w:b w:val="0"/>
                <w:color w:val="202020"/>
                <w:sz w:val="20"/>
              </w:rPr>
              <w:t>Separate web and worker execution after introducing a durable action-job boundary.</w:t>
            </w:r>
          </w:p>
        </w:tc>
      </w:tr>
      <w:tr>
        <w:trPr>
          <w:cantSplit/>
        </w:trPr>
        <w:tc>
          <w:tcPr>
            <w:tcW w:type="dxa" w:w="1440"/>
            <w:vAlign w:val="center"/>
            <w:tcMar>
              <w:top w:w="90" w:type="dxa"/>
              <w:start w:w="120" w:type="dxa"/>
              <w:bottom w:w="90" w:type="dxa"/>
              <w:end w:w="120" w:type="dxa"/>
            </w:tcMar>
          </w:tcPr>
          <w:p>
            <w:pPr>
              <w:spacing w:after="0" w:line="264" w:lineRule="auto"/>
            </w:pPr>
            <w:r/>
            <w:r>
              <w:rPr>
                <w:rFonts w:ascii="Arial" w:hAnsi="Arial"/>
                <w:b w:val="0"/>
                <w:color w:val="202020"/>
                <w:sz w:val="20"/>
              </w:rPr>
              <w:t>Assurance</w:t>
            </w:r>
          </w:p>
        </w:tc>
        <w:tc>
          <w:tcPr>
            <w:tcW w:type="dxa" w:w="2880"/>
            <w:vAlign w:val="center"/>
            <w:tcMar>
              <w:top w:w="90" w:type="dxa"/>
              <w:start w:w="120" w:type="dxa"/>
              <w:bottom w:w="90" w:type="dxa"/>
              <w:end w:w="120" w:type="dxa"/>
            </w:tcMar>
          </w:tcPr>
          <w:p>
            <w:pPr>
              <w:spacing w:after="0" w:line="264" w:lineRule="auto"/>
            </w:pPr>
            <w:r/>
            <w:r>
              <w:rPr>
                <w:rFonts w:ascii="Arial" w:hAnsi="Arial"/>
                <w:b w:val="0"/>
                <w:color w:val="202020"/>
                <w:sz w:val="20"/>
              </w:rPr>
              <w:t>Independent security assessment</w:t>
            </w:r>
          </w:p>
        </w:tc>
        <w:tc>
          <w:tcPr>
            <w:tcW w:type="dxa" w:w="5328"/>
            <w:vAlign w:val="center"/>
            <w:tcMar>
              <w:top w:w="90" w:type="dxa"/>
              <w:start w:w="120" w:type="dxa"/>
              <w:bottom w:w="90" w:type="dxa"/>
              <w:end w:w="120" w:type="dxa"/>
            </w:tcMar>
          </w:tcPr>
          <w:p>
            <w:pPr>
              <w:spacing w:after="0" w:line="264" w:lineRule="auto"/>
            </w:pPr>
            <w:r/>
            <w:r>
              <w:rPr>
                <w:rFonts w:ascii="Arial" w:hAnsi="Arial"/>
                <w:b w:val="0"/>
                <w:color w:val="202020"/>
                <w:sz w:val="20"/>
              </w:rPr>
              <w:t>Conduct an external review or penetration test before representing the Hub as security-certified.</w:t>
            </w:r>
          </w:p>
        </w:tc>
      </w:tr>
    </w:tbl>
    <w:p>
      <w:pPr>
        <w:spacing w:after="40"/>
      </w:pPr>
    </w:p>
    <w:tbl>
      <w:tblPr>
        <w:tblW w:type="auto" w:w="0"/>
        <w:jc w:val="left"/>
        <w:tblLayout w:type="fixed"/>
        <w:tblLook w:firstColumn="1" w:firstRow="1" w:lastColumn="0" w:lastRow="0" w:noHBand="0" w:noVBand="1" w:val="04A0"/>
        <w:tblBorders>
          <w:top w:val="single" w:sz="4" w:space="0" w:color="E5C980"/>
          <w:left w:val="single" w:sz="4" w:space="0" w:color="E5C980"/>
          <w:bottom w:val="single" w:sz="4" w:space="0" w:color="E5C980"/>
          <w:right w:val="single" w:sz="4" w:space="0" w:color="E5C980"/>
          <w:insideH w:val="single" w:sz="4" w:space="0" w:color="E5C980"/>
          <w:insideV w:val="single" w:sz="4" w:space="0" w:color="E5C980"/>
        </w:tblBorders>
      </w:tblPr>
      <w:tblGrid>
        <w:gridCol w:w="9648"/>
      </w:tblGrid>
      <w:tr>
        <w:trPr>
          <w:cantSplit/>
        </w:trPr>
        <w:tc>
          <w:tcPr>
            <w:tcW w:type="dxa" w:w="9648"/>
            <w:shd w:fill="FFF6E5"/>
            <w:tcMar>
              <w:top w:w="120" w:type="dxa"/>
              <w:start w:w="160" w:type="dxa"/>
              <w:bottom w:w="120" w:type="dxa"/>
              <w:end w:w="160" w:type="dxa"/>
            </w:tcMar>
          </w:tcPr>
          <w:p>
            <w:pPr>
              <w:spacing w:after="0" w:line="276" w:lineRule="auto"/>
            </w:pPr>
            <w:r/>
            <w:r>
              <w:rPr>
                <w:rFonts w:ascii="Arial" w:hAnsi="Arial"/>
                <w:b/>
                <w:color w:val="8A5B00"/>
                <w:sz w:val="21"/>
              </w:rPr>
              <w:t xml:space="preserve">No absolute “10/10” claim  </w:t>
            </w:r>
            <w:r>
              <w:rPr>
                <w:rFonts w:ascii="Arial" w:hAnsi="Arial"/>
                <w:color w:val="202020"/>
                <w:sz w:val="21"/>
              </w:rPr>
              <w:t>Security is an ongoing risk-management process. This document describes controls and remaining work; it is not an independent certification or a guarantee that compromise is impossible.</w:t>
            </w:r>
          </w:p>
        </w:tc>
      </w:tr>
    </w:tbl>
    <w:p>
      <w:pPr>
        <w:spacing w:after="0"/>
      </w:pPr>
    </w:p>
    <w:p>
      <w:pPr>
        <w:pStyle w:val="Heading1"/>
      </w:pPr>
      <w:r>
        <w:t>13. Questions for MLFA’s AI/security specialist</w:t>
      </w:r>
    </w:p>
    <w:p>
      <w:pPr>
        <w:pStyle w:val="ListBullet"/>
      </w:pPr>
      <w:r>
        <w:t>Does MLFA approve OpenAI as a data subprocessor for the legal, donor, and general correspondence handled by enabled inboxes?</w:t>
      </w:r>
    </w:p>
    <w:p>
      <w:pPr>
        <w:pStyle w:val="ListBullet"/>
      </w:pPr>
      <w:r>
        <w:t>Should MLFA pursue OpenAI Zero Data Retention or Modified Abuse Monitoring, and is the organization eligible?</w:t>
      </w:r>
    </w:p>
    <w:p>
      <w:pPr>
        <w:pStyle w:val="ListBullet"/>
      </w:pPr>
      <w:r>
        <w:t>Which inboxes or categories must always remain human-only and never be sent to OpenAI?</w:t>
      </w:r>
    </w:p>
    <w:p>
      <w:pPr>
        <w:pStyle w:val="ListBullet"/>
      </w:pPr>
      <w:r>
        <w:t>What retention period applies to pending workflow snapshots, audit records, and backups, including any legal-hold requirements?</w:t>
      </w:r>
    </w:p>
    <w:p>
      <w:pPr>
        <w:pStyle w:val="ListBullet"/>
      </w:pPr>
      <w:r>
        <w:t>Which Microsoft 365 mailboxes should the Graph application be permitted to access?</w:t>
      </w:r>
    </w:p>
    <w:p>
      <w:pPr>
        <w:pStyle w:val="ListBullet"/>
      </w:pPr>
      <w:r>
        <w:t>Who owns encryption-key recovery and annual rotation after Mariam’s internship ends?</w:t>
      </w:r>
    </w:p>
    <w:p>
      <w:pPr>
        <w:pStyle w:val="ListBullet"/>
      </w:pPr>
      <w:r>
        <w:t>What incident-notification and escalation procedure should apply if email content, credentials, or access logs are exposed?</w:t>
      </w:r>
    </w:p>
    <w:p>
      <w:pPr>
        <w:pStyle w:val="ListBullet"/>
      </w:pPr>
      <w:r>
        <w:t>When should an independent penetration test be scheduled?</w:t>
      </w:r>
    </w:p>
    <w:p>
      <w:pPr>
        <w:pStyle w:val="Heading1"/>
      </w:pPr>
      <w:r>
        <w:t>14. Key ownership and rotation</w:t>
      </w:r>
    </w:p>
    <w:p>
      <w:r>
        <w:t>The encryption key is operationally critical. MLFA should designate an owner and a backup owner. The current plan uses versioned keys such as QUEUE_ENCRYPTION_KEY_V1 and QUEUE_ENCRYPTION_KEY_V2. For annual rotation, the new key encrypts new records while the prior key remains available until every record using it has expired or been re-encrypted.</w:t>
      </w:r>
    </w:p>
    <w:p>
      <w:pPr>
        <w:pStyle w:val="ListBullet"/>
      </w:pPr>
      <w:r>
        <w:t>Store keys in sealed Railway variables and an MLFA-approved password manager.</w:t>
      </w:r>
    </w:p>
    <w:p>
      <w:pPr>
        <w:pStyle w:val="ListBullet"/>
      </w:pPr>
      <w:r>
        <w:t>Restrict who can reveal or edit production variables.</w:t>
      </w:r>
    </w:p>
    <w:p>
      <w:pPr>
        <w:pStyle w:val="ListBullet"/>
      </w:pPr>
      <w:r>
        <w:t>Record the key version—not the key itself—in PostgreSQL.</w:t>
      </w:r>
    </w:p>
    <w:p>
      <w:pPr>
        <w:pStyle w:val="ListBullet"/>
      </w:pPr>
      <w:r>
        <w:t>Test key recovery before deleting any old key.</w:t>
      </w:r>
    </w:p>
    <w:p>
      <w:pPr>
        <w:pStyle w:val="ListBullet"/>
      </w:pPr>
      <w:r>
        <w:t>If every copy of a key is lost, encrypted temporary snapshots using that key cannot be recovered; the original email should still exist in Microsoft 365.</w:t>
      </w:r>
    </w:p>
    <w:p>
      <w:pPr>
        <w:pStyle w:val="Heading1"/>
      </w:pPr>
      <w:r>
        <w:t>Sources and supporting documentation</w:t>
      </w:r>
    </w:p>
    <w:p>
      <w:pPr>
        <w:pStyle w:val="ListBullet"/>
      </w:pPr>
      <w:r>
        <w:rPr>
          <w:b/>
        </w:rPr>
        <w:t xml:space="preserve">OpenAI API data controls: </w:t>
      </w:r>
      <w:r>
        <w:t>https://platform.openai.com/docs/models/default-usage-policies-by-endpoint</w:t>
      </w:r>
    </w:p>
    <w:p>
      <w:pPr>
        <w:pStyle w:val="ListBullet"/>
      </w:pPr>
      <w:r>
        <w:rPr>
          <w:b/>
        </w:rPr>
        <w:t xml:space="preserve">Microsoft Entra Conditional Access and MFA: </w:t>
      </w:r>
      <w:r>
        <w:t>https://learn.microsoft.com/en-us/entra/identity/conditional-access/policy-all-users-mfa-strength</w:t>
      </w:r>
    </w:p>
    <w:p>
      <w:pPr>
        <w:pStyle w:val="ListBullet"/>
      </w:pPr>
      <w:r>
        <w:rPr>
          <w:b/>
        </w:rPr>
        <w:t xml:space="preserve">Exchange Online RBAC for Applications: </w:t>
      </w:r>
      <w:r>
        <w:t>https://learn.microsoft.com/en-us/exchange/permissions-exo/application-rbac</w:t>
      </w:r>
    </w:p>
    <w:p>
      <w:pPr>
        <w:pStyle w:val="ListBullet"/>
      </w:pPr>
      <w:r>
        <w:rPr>
          <w:b/>
        </w:rPr>
        <w:t xml:space="preserve">Railway PostgreSQL documentation: </w:t>
      </w:r>
      <w:r>
        <w:t>https://docs.railway.com/databases/postgresql</w:t>
      </w:r>
    </w:p>
    <w:p>
      <w:pPr>
        <w:pStyle w:val="ListBullet"/>
      </w:pPr>
      <w:r>
        <w:rPr>
          <w:b/>
        </w:rPr>
        <w:t xml:space="preserve">Railway volume backups: </w:t>
      </w:r>
      <w:r>
        <w:t>https://docs.railway.com/volumes/backups</w:t>
      </w:r>
    </w:p>
    <w:p>
      <w:pPr>
        <w:pStyle w:val="ListBullet"/>
      </w:pPr>
      <w:r>
        <w:rPr>
          <w:b/>
        </w:rPr>
        <w:t xml:space="preserve">Fernet authenticated encryption: </w:t>
      </w:r>
      <w:r>
        <w:t>https://cryptography.io/en/latest/fernet/</w:t>
      </w:r>
    </w:p>
    <w:p>
      <w:pPr>
        <w:spacing w:before="320" w:after="0"/>
      </w:pPr>
      <w:r>
        <w:rPr>
          <w:rFonts w:ascii="Arial" w:hAnsi="Arial"/>
          <w:i/>
          <w:color w:val="5F6368"/>
          <w:sz w:val="18"/>
        </w:rPr>
        <w:t>Document status: Current security architecture guide. Application-level queue encryption and temporary encrypted email-body storage are implemented.</w:t>
      </w:r>
    </w:p>
    <w:sectPr w:rsidR="00FC693F" w:rsidRPr="0006063C" w:rsidSect="00034616">
      <w:pgSz w:w="12240" w:h="15840"/>
      <w:pgMar w:top="1224" w:right="1296" w:bottom="1224"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720"/>
        </w:tabs>
        <w:ind w:left="720" w:hanging="360"/>
      </w:pPr>
    </w:lvl>
  </w:abstractNum>
  <w:num w:numId="10">
    <w:abstractNumId w:val="9"/>
  </w:num>
  <w:abstractNum w:abstractNumId="10">
    <w:multiLevelType w:val="singleLevel"/>
    <w:lvl w:ilvl="0">
      <w:start w:val="1"/>
      <w:numFmt w:val="decimal"/>
      <w:lvlText w:val="%1."/>
      <w:suff w:val="tab"/>
      <w:pPr>
        <w:tabs>
          <w:tab w:val="num" w:pos="720"/>
        </w:tabs>
        <w:ind w:left="720" w:hanging="360"/>
      </w:pPr>
    </w:lvl>
  </w:abstractNum>
  <w:num w:numId="11">
    <w:abstractNumId w:val="10"/>
  </w:num>
  <w:abstractNum w:abstractNumId="11">
    <w:multiLevelType w:val="singleLevel"/>
    <w:lvl w:ilvl="0">
      <w:start w:val="1"/>
      <w:numFmt w:val="decimal"/>
      <w:lvlText w:val="%1."/>
      <w:suff w:val="tab"/>
      <w:pPr>
        <w:tabs>
          <w:tab w:val="num" w:pos="720"/>
        </w:tabs>
        <w:ind w:left="720" w:hanging="360"/>
      </w:pPr>
    </w:lvl>
  </w:abstractNum>
  <w:num w:numId="12">
    <w:abstractNumId w:val="11"/>
  </w:num>
  <w:abstractNum w:abstractNumId="12">
    <w:multiLevelType w:val="singleLevel"/>
    <w:lvl w:ilvl="0">
      <w:start w:val="1"/>
      <w:numFmt w:val="decimal"/>
      <w:lvlText w:val="%1."/>
      <w:suff w:val="tab"/>
      <w:pPr>
        <w:tabs>
          <w:tab w:val="num" w:pos="720"/>
        </w:tabs>
        <w:ind w:left="720" w:hanging="36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20202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20202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MLFA Email Hub Security Architecture and Encryption Migration Plan</dc:title>
  <dc:subject>Security architecture, data flow, encryption rollout, and remaining controls</dc:subject>
  <dc:creator>MLFA Email Hub Project</dc:creator>
  <cp:keywords>MLFA, email hub, security, encryption, migration</cp:keywords>
  <dc:description>generated by python-docx</dc:description>
  <cp:lastModifiedBy>MLFA Email Hub Project</cp:lastModifiedBy>
  <cp:revision>1</cp:revision>
  <dcterms:created xsi:type="dcterms:W3CDTF">2013-12-23T23:15:00Z</dcterms:created>
  <dcterms:modified xsi:type="dcterms:W3CDTF">2013-12-23T23:15:00Z</dcterms:modified>
  <cp:category/>
</cp:coreProperties>
</file>