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Risk Matrix</w:t>
      </w:r>
    </w:p>
    <w:p>
      <w:r>
        <w:t>Scale: Likelihood and Impact rated Low / Medium / High. Severity = the combination, used to order mitigation priority (High×High is worked first).</w:t>
      </w:r>
    </w:p>
    <w:p>
      <w:pPr>
        <w:pStyle w:val="Heading2"/>
      </w:pPr>
      <w:r>
        <w:rPr>
          <w:color w:val="0B1F3A"/>
        </w:rPr>
        <w:t>Task 2 scenario — mobile trading app, pre-launch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Duplicate order/withdrawal from double-tap, retry, or app-kill mid-request (non-idempotent backend)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1440"/>
          </w:tcPr>
          <w:p>
            <w:r>
              <w:t>Idempotency keys on every money-movement call; explicit automated tests for double-submit and kill-mid-request; UI disables the action button on first tap.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Displayed balance drifts from the backend ledger under concurrency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1440"/>
          </w:tcPr>
          <w:p>
            <w:r>
              <w:t>Ledger reconciliation job + alerting; API contract tests asserting balance consistency after each operation; treat any drift as a Sev1.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 rollback/kill-switch if a money-bug ships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440"/>
          </w:tcPr>
          <w:p>
            <w:r>
              <w:t>Feature-flag gate on trading/withdrawals before launch; rehearse a rollback once pre-launch.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iOS/Android divergence on auth/session security (biometrics, secure storage)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440"/>
          </w:tcPr>
          <w:p>
            <w:r>
              <w:t>Explicit per-platform test pass on auth flows; never assume parity from one platform's result.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Price slippage between trade confirmation and execution shown as success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1440"/>
          </w:tcPr>
          <w:p>
            <w:r>
              <w:t>Explicit slippage-tolerance UX with clear error state; test the "price moved" path deliberately.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Session expiry mid-trade corrupts or silently drops the in-flight order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440"/>
          </w:tcPr>
          <w:p>
            <w:r>
              <w:t>Test expired-token-mid-request explicitly; ensure the client re-auths without resubmitting a stale order.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KYC/AML or data-residency non-compliance in a launch region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440"/>
          </w:tcPr>
          <w:p>
            <w:r>
              <w:t>Legal sign-off gated into the release checklist before regional rollout; not a QA-only decision.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Network loss mid-transaction leaves the user unsure whether it succeeded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440"/>
          </w:tcPr>
          <w:p>
            <w:r>
              <w:t>Deterministic post-reconnect state check (poll/query actual order status) rather than trusting the last local UI state.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No existing test suite means untested code paths ship silently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440"/>
          </w:tcPr>
          <w:p>
            <w:r>
              <w:t>Risk-based triage (this matrix) drives day-1 manual coverage on the highest-severity rows first, before any automation exists for them.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Crash or performance issue only surfaces after public release (no monitoring)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1440"/>
          </w:tcPr>
          <w:p>
            <w:r>
              <w:t>Crash reporting + dashboards live before launch, actively watched for the first 48 hours.</w:t>
            </w:r>
          </w:p>
        </w:tc>
      </w:tr>
    </w:tbl>
    <w:p/>
    <w:p>
      <w:pPr>
        <w:pStyle w:val="Heading2"/>
      </w:pPr>
      <w:r>
        <w:rPr>
          <w:color w:val="0B1F3A"/>
        </w:rPr>
        <w:t>Task 1 — trade.mb.io automation suite (secondary, operational risk)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Target app adds/strengthens auth gating on more public routes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1440"/>
          </w:tcPr>
          <w:p>
            <w:r>
              <w:t xml:space="preserve">Suite already scoped to what's verifiably public today; </w:t>
            </w:r>
            <w:r>
              <w:rPr>
                <w:rFonts w:ascii="Courier New" w:hAnsi="Courier New"/>
                <w:sz w:val="20"/>
              </w:rPr>
              <w:t>test.fixme</w:t>
            </w:r>
            <w:r>
              <w:t xml:space="preserve"> entries make future re-enablement a one-line change once/if routes reopen.</w:t>
            </w:r>
          </w:p>
        </w:tc>
      </w:tr>
      <w:tr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Live market data (prices, row counts) is inherently volatile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Low</w:t>
            </w:r>
          </w:p>
        </w:tc>
        <w:tc>
          <w:tcPr>
            <w:tcW w:type="dxa" w:w="1440"/>
          </w:tcPr>
          <w:p>
            <w:r>
              <w:t>Assertions target structure and presence (row count &gt; 0, price matches a currency pattern), never specific live values.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Third-party analytics/ad network calls made during page load add noise/flakiness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Low</w:t>
            </w:r>
          </w:p>
        </w:tc>
        <w:tc>
          <w:tcPr>
            <w:tcW w:type="dxa" w:w="1440"/>
          </w:tcPr>
          <w:p>
            <w:r>
              <w:t>Assertions and route interception scoped to same-origin/first-party endpoints only (</w:t>
            </w:r>
            <w:r>
              <w:rPr>
                <w:rFonts w:ascii="Courier New" w:hAnsi="Courier New"/>
                <w:sz w:val="20"/>
              </w:rPr>
              <w:t>core-api.mb.io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/api/mbio-coins</w:t>
            </w:r>
            <w:r>
              <w:t>).</w:t>
            </w:r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CSS-module class names are regenerated on every deploy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1440"/>
          </w:tcPr>
          <w:p>
            <w:r>
              <w:t>Locators use ARIA roles, visible text, and stable app-assigned ids/attributes (</w:t>
            </w:r>
            <w:r>
              <w:rPr>
                <w:rFonts w:ascii="Courier New" w:hAnsi="Courier New"/>
                <w:sz w:val="20"/>
              </w:rPr>
              <w:t>data-index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#trade-header-option-open-button</w:t>
            </w:r>
            <w:r>
              <w:t>) instead of hashed classes.</w:t>
            </w:r>
          </w:p>
        </w:tc>
      </w:tr>
      <w:tr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 xml:space="preserve">Suite is a guest on someone else's production infrastructure - heavy local parallelism (many workers x browsers hitting trade.mb.io at once) can itself induce transient hiccups (observed once: a Trade-menu link briefly rendered with an empty </w:t>
            </w:r>
            <w:r>
              <w:rPr>
                <w:rFonts w:ascii="Courier New" w:hAnsi="Courier New"/>
                <w:sz w:val="20"/>
              </w:rPr>
              <w:t>href</w:t>
            </w:r>
            <w:r>
              <w:t xml:space="preserve"> under a </w:t>
            </w:r>
            <w:r>
              <w:rPr>
                <w:rFonts w:ascii="Courier New" w:hAnsi="Courier New"/>
                <w:sz w:val="20"/>
              </w:rPr>
              <w:t>--repeat-each=2</w:t>
            </w:r>
            <w:r>
              <w:t xml:space="preserve"> full-matrix run; 10/10 clean in isolation)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20"/>
              </w:rPr>
              <w:t>retries: 2</w:t>
            </w:r>
            <w:r>
              <w:t xml:space="preserve"> in CI (</w:t>
            </w:r>
            <w:r>
              <w:rPr>
                <w:rFonts w:ascii="Courier New" w:hAnsi="Courier New"/>
                <w:sz w:val="20"/>
              </w:rPr>
              <w:t>playwright.config.ts</w:t>
            </w:r>
            <w:r>
              <w:t>) absorbs genuine transient noise; the affected assertion also waits for a non-empty href before comparing, rather than asserting instantly. Not a defect in the app or the test logic - a reminder that "the target is a live shared system" is itself a standing constraint on how hard this suite should hammer it.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