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Test Plan</w:t>
      </w:r>
    </w:p>
    <w:p>
      <w:r>
        <w:t>This repository covers two distinct testing contexts from the challenge brief. Part A is the concrete test plan behind the automation in this repo (Task 1, trade.mb.io). Part B applies the same discipline to the hypothetical scenario in Task 2 (a fintech mobile trading app two weeks from launch), since the brief's "test plan / release readiness checklist / risk matrix" deliverables sit directly under that scenario.</w:t>
      </w:r>
    </w:p>
    <w:p>
      <w:r>
        <w:br/>
      </w:r>
    </w:p>
    <w:p>
      <w:pPr>
        <w:pStyle w:val="Heading2"/>
      </w:pPr>
      <w:r>
        <w:rPr>
          <w:color w:val="0B1F3A"/>
        </w:rPr>
        <w:t>Part A — trade.mb.io Automation (Task 1)</w:t>
      </w:r>
    </w:p>
    <w:p>
      <w:pPr>
        <w:pStyle w:val="Heading3"/>
      </w:pPr>
      <w:r>
        <w:rPr>
          <w:color w:val="0B1F3A"/>
        </w:rPr>
        <w:t>1. Objective</w:t>
      </w:r>
    </w:p>
    <w:p>
      <w:r>
        <w:t>Provide automated, deterministic regression coverage for the public, unauthenticated surface of trade.mb.io, structured so a QA team could extend it as the product grows, without ever creating accounts or touching real user data.</w:t>
      </w:r>
    </w:p>
    <w:p>
      <w:pPr>
        <w:pStyle w:val="Heading3"/>
      </w:pPr>
      <w:r>
        <w:rPr>
          <w:color w:val="0B1F3A"/>
        </w:rPr>
        <w:t>2. Scope</w:t>
      </w:r>
    </w:p>
    <w:p>
      <w:r>
        <w:rPr>
          <w:b/>
        </w:rPr>
        <w:t>In scope</w:t>
      </w:r>
      <w:r>
        <w:t xml:space="preserve"> (verified against the live site, see </w:t>
      </w:r>
      <w:r>
        <w:t>README &gt; Assumptions</w:t>
      </w:r>
      <w:r>
        <w:t>):</w:t>
      </w:r>
    </w:p>
    <w:p>
      <w:pPr>
        <w:pStyle w:val="ListBullet"/>
      </w:pPr>
      <w:r>
        <w:t>Header navigation: item visibility, link destinations, the "Trade" mega-menu, auth entry points (Log In / Sign Up).</w:t>
      </w:r>
    </w:p>
    <w:p>
      <w:pPr>
        <w:pStyle w:val="ListBullet"/>
      </w:pPr>
      <w:r>
        <w:t>Responsive behaviour of the header at desktop widths (1280/1440/1920) and a mobile breakpoint (375).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  <w:sz w:val="20"/>
        </w:rPr>
        <w:t>/markets</w:t>
      </w:r>
      <w:r>
        <w:t xml:space="preserve"> spot-market table: rendering, category tabs, column/data-field integrity.</w:t>
      </w:r>
    </w:p>
    <w:p>
      <w:pPr>
        <w:pStyle w:val="ListBullet"/>
      </w:pPr>
      <w:r>
        <w:t>The mobile-only app-download banner (the one real "marketing banner" reachable without login).</w:t>
      </w:r>
    </w:p>
    <w:p>
      <w:pPr>
        <w:pStyle w:val="ListBullet"/>
      </w:pPr>
      <w:r>
        <w:t>Negative paths: unknown routes (404), broken-link detection, mobile viewport regression, pricing-API failure handling.</w:t>
      </w:r>
    </w:p>
    <w:p>
      <w:pPr>
        <w:pStyle w:val="ListBullet"/>
      </w:pPr>
      <w:r>
        <w:t>One same-origin API contract (</w:t>
      </w:r>
      <w:r>
        <w:rPr>
          <w:rFonts w:ascii="Courier New" w:hAnsi="Courier New"/>
          <w:sz w:val="20"/>
        </w:rPr>
        <w:t>/cmc/v1/assets</w:t>
      </w:r>
      <w:r>
        <w:t>) as bonus network validation.</w:t>
      </w:r>
    </w:p>
    <w:p>
      <w:r>
        <w:rPr>
          <w:b/>
        </w:rPr>
        <w:t>Out of scope, with reason:</w:t>
      </w:r>
    </w:p>
    <w:p>
      <w:pPr>
        <w:pStyle w:val="ListBullet"/>
      </w:pPr>
      <w:r>
        <w:rPr>
          <w:rFonts w:ascii="Courier New" w:hAnsi="Courier New"/>
          <w:sz w:val="20"/>
        </w:rPr>
        <w:t>/</w:t>
      </w:r>
      <w:r>
        <w:t xml:space="preserve"> (homepage), </w:t>
      </w:r>
      <w:r>
        <w:rPr>
          <w:rFonts w:ascii="Courier New" w:hAnsi="Courier New"/>
          <w:sz w:val="20"/>
        </w:rPr>
        <w:t>/trade/:pair</w:t>
      </w:r>
      <w:r>
        <w:t xml:space="preserve">, </w:t>
      </w:r>
      <w:r>
        <w:rPr>
          <w:rFonts w:ascii="Courier New" w:hAnsi="Courier New"/>
          <w:sz w:val="20"/>
        </w:rPr>
        <w:t>/explore/*</w:t>
      </w:r>
      <w:r>
        <w:t xml:space="preserve">, </w:t>
      </w:r>
      <w:r>
        <w:rPr>
          <w:rFonts w:ascii="Courier New" w:hAnsi="Courier New"/>
          <w:sz w:val="20"/>
        </w:rPr>
        <w:t>/price/:symbol</w:t>
      </w:r>
      <w:r>
        <w:t xml:space="preserve"> — all now require authentication. The brief explicitly forbids creating an account, so these are untestable within the rules as written.</w:t>
      </w:r>
    </w:p>
    <w:p>
      <w:pPr>
        <w:pStyle w:val="ListBullet"/>
      </w:pPr>
      <w:r>
        <w:t xml:space="preserve">About Us &gt; Why MultiBank content, and direct App Store/Google Play badge links — confirmed (via the app's own i18n bundle and routing) to live only inside that gated homepage template today. Represented in the suite as </w:t>
      </w:r>
      <w:r>
        <w:rPr>
          <w:rFonts w:ascii="Courier New" w:hAnsi="Courier New"/>
          <w:sz w:val="20"/>
        </w:rPr>
        <w:t>test.fixme(...)</w:t>
      </w:r>
      <w:r>
        <w:t xml:space="preserve"> with the reasoning recorded inline, not faked.</w:t>
      </w:r>
    </w:p>
    <w:p>
      <w:pPr>
        <w:pStyle w:val="ListBullet"/>
      </w:pPr>
      <w:r>
        <w:t>Any authenticated flow: deposits, orders, withdrawals, KYC — explicitly excluded by the brief.</w:t>
      </w:r>
    </w:p>
    <w:p>
      <w:pPr>
        <w:pStyle w:val="Heading3"/>
      </w:pPr>
      <w:r>
        <w:rPr>
          <w:color w:val="0B1F3A"/>
        </w:rPr>
        <w:t>3. Test levels</w:t>
      </w:r>
    </w:p>
    <w:p>
      <w:pPr>
        <w:pStyle w:val="ListBullet"/>
      </w:pPr>
      <w:r>
        <w:rPr>
          <w:b/>
        </w:rPr>
        <w:t>UI/E2E</w:t>
      </w:r>
      <w:r>
        <w:t xml:space="preserve"> (Playwright, real browsers) — the entire suite. No unit or component level exists because there is no application source to unit-test; this is black-box testing of a deployed product.</w:t>
      </w:r>
    </w:p>
    <w:p>
      <w:pPr>
        <w:pStyle w:val="ListBullet"/>
      </w:pPr>
      <w:r>
        <w:rPr>
          <w:b/>
        </w:rPr>
        <w:t>Network/contract</w:t>
      </w:r>
      <w:r>
        <w:t xml:space="preserve"> — one bonus suite asserting on the actual JSON response of the markets API, not just its rendered effect.</w:t>
      </w:r>
    </w:p>
    <w:p>
      <w:pPr>
        <w:pStyle w:val="Heading3"/>
      </w:pPr>
      <w:r>
        <w:rPr>
          <w:color w:val="0B1F3A"/>
        </w:rPr>
        <w:t>4. Environments</w:t>
      </w:r>
    </w:p>
    <w:p>
      <w:pPr>
        <w:pStyle w:val="ListBullet"/>
      </w:pPr>
      <w:r>
        <w:t xml:space="preserve">Target: </w:t>
      </w:r>
      <w:r>
        <w:rPr>
          <w:rFonts w:ascii="Courier New" w:hAnsi="Courier New"/>
          <w:sz w:val="20"/>
        </w:rPr>
        <w:t>https://trade.mb.io</w:t>
      </w:r>
      <w:r>
        <w:t xml:space="preserve"> (production), overridable via </w:t>
      </w:r>
      <w:r>
        <w:rPr>
          <w:rFonts w:ascii="Courier New" w:hAnsi="Courier New"/>
          <w:sz w:val="20"/>
        </w:rPr>
        <w:t>BASE_URL</w:t>
      </w:r>
      <w:r>
        <w:t xml:space="preserve"> for a staging environment.</w:t>
      </w:r>
    </w:p>
    <w:p>
      <w:pPr>
        <w:pStyle w:val="ListBullet"/>
      </w:pPr>
      <w:r>
        <w:t xml:space="preserve">Browsers: Chromium, Firefox, WebKit (desktop viewports), each a first-class Playwright project — see </w:t>
      </w:r>
      <w:r>
        <w:rPr>
          <w:rFonts w:ascii="Courier New" w:hAnsi="Courier New"/>
          <w:sz w:val="20"/>
        </w:rPr>
        <w:t>playwright.config.ts</w:t>
      </w:r>
      <w:r>
        <w:t>.</w:t>
      </w:r>
    </w:p>
    <w:p>
      <w:pPr>
        <w:pStyle w:val="ListBullet"/>
      </w:pPr>
      <w:r>
        <w:t>Mobile is covered via explicit viewport resizing inside tests (375×667), not a separate device project, since the app's breakpoint (~1280px) is what actually drives behaviour, not device emulation specifics.</w:t>
      </w:r>
    </w:p>
    <w:p>
      <w:pPr>
        <w:pStyle w:val="Heading3"/>
      </w:pPr>
      <w:r>
        <w:rPr>
          <w:color w:val="0B1F3A"/>
        </w:rPr>
        <w:t>5. Entry / exit criteria</w:t>
      </w:r>
    </w:p>
    <w:p>
      <w:pPr>
        <w:pStyle w:val="ListBullet"/>
      </w:pPr>
      <w:r>
        <w:rPr>
          <w:b/>
        </w:rPr>
        <w:t>Entry:</w:t>
      </w:r>
      <w:r>
        <w:t xml:space="preserve"> </w:t>
      </w:r>
      <w:r>
        <w:rPr>
          <w:rFonts w:ascii="Courier New" w:hAnsi="Courier New"/>
          <w:sz w:val="20"/>
        </w:rPr>
        <w:t>npm ci &amp;&amp; npx playwright install</w:t>
      </w:r>
      <w:r>
        <w:t xml:space="preserve"> completes; target host responds to </w:t>
      </w:r>
      <w:r>
        <w:rPr>
          <w:rFonts w:ascii="Courier New" w:hAnsi="Courier New"/>
          <w:sz w:val="20"/>
        </w:rPr>
        <w:t>/markets</w:t>
      </w:r>
      <w:r>
        <w:t xml:space="preserve"> with HTTP 200.</w:t>
      </w:r>
    </w:p>
    <w:p>
      <w:pPr>
        <w:pStyle w:val="ListBullet"/>
      </w:pPr>
      <w:r>
        <w:rPr>
          <w:b/>
        </w:rPr>
        <w:t>Exit:</w:t>
      </w:r>
      <w:r>
        <w:t xml:space="preserve"> </w:t>
      </w:r>
      <w:r>
        <w:rPr>
          <w:rFonts w:ascii="Courier New" w:hAnsi="Courier New"/>
          <w:sz w:val="20"/>
        </w:rPr>
        <w:t>npm test</w:t>
      </w:r>
      <w:r>
        <w:t xml:space="preserve"> reports zero unexpected failures and zero flaky tests across all three browser projects. </w:t>
      </w:r>
      <w:r>
        <w:rPr>
          <w:rFonts w:ascii="Courier New" w:hAnsi="Courier New"/>
          <w:sz w:val="20"/>
        </w:rPr>
        <w:t>test.fixme</w:t>
      </w:r>
      <w:r>
        <w:t xml:space="preserve"> items are expected and do not block a green run.</w:t>
      </w:r>
    </w:p>
    <w:p>
      <w:pPr>
        <w:pStyle w:val="Heading3"/>
      </w:pPr>
      <w:r>
        <w:rPr>
          <w:color w:val="0B1F3A"/>
        </w:rPr>
        <w:t>6. Tooling</w:t>
      </w:r>
    </w:p>
    <w:p>
      <w:r>
        <w:t>Playwright Test + TypeScript, Page Object Model (</w:t>
      </w:r>
      <w:r>
        <w:rPr>
          <w:rFonts w:ascii="Courier New" w:hAnsi="Courier New"/>
          <w:sz w:val="20"/>
        </w:rPr>
        <w:t>src/pages</w:t>
      </w:r>
      <w:r>
        <w:t xml:space="preserve">, </w:t>
      </w:r>
      <w:r>
        <w:rPr>
          <w:rFonts w:ascii="Courier New" w:hAnsi="Courier New"/>
          <w:sz w:val="20"/>
        </w:rPr>
        <w:t>src/components</w:t>
      </w:r>
      <w:r>
        <w:t>), data-driven fixtures (</w:t>
      </w:r>
      <w:r>
        <w:rPr>
          <w:rFonts w:ascii="Courier New" w:hAnsi="Courier New"/>
          <w:sz w:val="20"/>
        </w:rPr>
        <w:t>src/data</w:t>
      </w:r>
      <w:r>
        <w:t>), GitHub Actions matrix CI (</w:t>
      </w:r>
      <w:r>
        <w:rPr>
          <w:rFonts w:ascii="Courier New" w:hAnsi="Courier New"/>
          <w:sz w:val="20"/>
        </w:rPr>
        <w:t>.github/workflows/playwright.yml</w:t>
      </w:r>
      <w:r>
        <w:t>).</w:t>
      </w:r>
    </w:p>
    <w:p>
      <w:pPr>
        <w:pStyle w:val="Heading3"/>
      </w:pPr>
      <w:r>
        <w:rPr>
          <w:color w:val="0B1F3A"/>
        </w:rPr>
        <w:t>7. Traceability — brief requirement → test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Brief category</w:t>
            </w:r>
          </w:p>
        </w:tc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Spec file</w:t>
            </w:r>
          </w:p>
        </w:tc>
      </w:tr>
      <w:tr>
        <w:tc>
          <w:tcPr>
            <w:tcW w:type="dxa" w:w="4320"/>
          </w:tcPr>
          <w:p>
            <w:r>
              <w:t>Navigation &amp; Layout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tests/navigation-layout.spec.ts</w:t>
            </w:r>
          </w:p>
        </w:tc>
      </w:tr>
      <w:tr>
        <w:tc>
          <w:tcPr>
            <w:tcW w:type="dxa" w:w="4320"/>
          </w:tcPr>
          <w:p>
            <w:r>
              <w:t>Trading Functionality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tests/trading-functionality.spec.ts</w:t>
            </w:r>
          </w:p>
        </w:tc>
      </w:tr>
      <w:tr>
        <w:tc>
          <w:tcPr>
            <w:tcW w:type="dxa" w:w="4320"/>
          </w:tcPr>
          <w:p>
            <w:r>
              <w:t>Content &amp; Links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tests/content-links.spec.ts</w:t>
            </w:r>
          </w:p>
        </w:tc>
      </w:tr>
      <w:tr>
        <w:tc>
          <w:tcPr>
            <w:tcW w:type="dxa" w:w="4320"/>
          </w:tcPr>
          <w:p>
            <w:r>
              <w:t>Negative / Edge Cases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tests/edge-cases.spec.ts</w:t>
            </w:r>
          </w:p>
        </w:tc>
      </w:tr>
      <w:tr>
        <w:tc>
          <w:tcPr>
            <w:tcW w:type="dxa" w:w="4320"/>
          </w:tcPr>
          <w:p>
            <w:r>
              <w:t>Bonus: API/network validation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20"/>
              </w:rPr>
              <w:t>tests/api-validation.spec.ts</w:t>
            </w:r>
          </w:p>
        </w:tc>
      </w:tr>
    </w:tbl>
    <w:p/>
    <w:p>
      <w:r>
        <w:br/>
      </w:r>
    </w:p>
    <w:p>
      <w:pPr>
        <w:pStyle w:val="Heading2"/>
      </w:pPr>
      <w:r>
        <w:rPr>
          <w:color w:val="0B1F3A"/>
        </w:rPr>
        <w:t>Part B — Mobile Trading App Pre-Launch (Task 2 scenario)</w:t>
      </w:r>
    </w:p>
    <w:p>
      <w:r>
        <w:t>Context: joined a fintech startup as the first QA hire; iOS + Android trading app; two weeks to public launch; no existing suite; real user funds. Full narrative reasoning is in TASK2_QA_STRATEGY.docx — this section formalizes it into a plan.</w:t>
      </w:r>
    </w:p>
    <w:p>
      <w:pPr>
        <w:pStyle w:val="Heading3"/>
      </w:pPr>
      <w:r>
        <w:rPr>
          <w:color w:val="0B1F3A"/>
        </w:rPr>
        <w:t>1. Objective</w:t>
      </w:r>
    </w:p>
    <w:p>
      <w:r>
        <w:t>Reach a defensible "safe to launch" state in two weeks by concentrating effort on money-correctness and account-security flows first, while establishing the minimum regression scaffolding the team can keep after launch.</w:t>
      </w:r>
    </w:p>
    <w:p>
      <w:pPr>
        <w:pStyle w:val="Heading3"/>
      </w:pPr>
      <w:r>
        <w:rPr>
          <w:color w:val="0B1F3A"/>
        </w:rPr>
        <w:t>2. Scope</w:t>
      </w:r>
    </w:p>
    <w:p>
      <w:pPr>
        <w:pStyle w:val="ListBullet"/>
      </w:pPr>
      <w:r>
        <w:rPr>
          <w:b/>
        </w:rPr>
        <w:t>In scope for launch gating:</w:t>
      </w:r>
      <w:r>
        <w:t xml:space="preserve"> funding/deposit, trade placement/execution, withdrawal, balance display accuracy, auth/session handling, KYC gate, platform parity (iOS vs Android) on all of the above.</w:t>
      </w:r>
    </w:p>
    <w:p>
      <w:pPr>
        <w:pStyle w:val="ListBullet"/>
      </w:pPr>
      <w:r>
        <w:rPr>
          <w:b/>
        </w:rPr>
        <w:t>In scope, lower priority:</w:t>
      </w:r>
      <w:r>
        <w:t xml:space="preserve"> settings, notifications, static/marketing screens, referral flows.</w:t>
      </w:r>
    </w:p>
    <w:p>
      <w:pPr>
        <w:pStyle w:val="ListBullet"/>
      </w:pPr>
      <w:r>
        <w:rPr>
          <w:b/>
        </w:rPr>
        <w:t>Explicitly out of scope for the 2-week window:</w:t>
      </w:r>
      <w:r>
        <w:t xml:space="preserve"> full localization testing, non-critical platforms (tablet layouts, web), performance/load testing beyond a sanity pass — documented as post-launch follow-ups, not silently dropped.</w:t>
      </w:r>
    </w:p>
    <w:p>
      <w:pPr>
        <w:pStyle w:val="Heading3"/>
      </w:pPr>
      <w:r>
        <w:rPr>
          <w:color w:val="0B1F3A"/>
        </w:rPr>
        <w:t>3. Test levels (pyramid)</w:t>
      </w:r>
    </w:p>
    <w:p>
      <w:pPr>
        <w:pStyle w:val="ListNumber"/>
      </w:pPr>
      <w:r>
        <w:rPr>
          <w:b/>
        </w:rPr>
        <w:t>Unit</w:t>
      </w:r>
      <w:r>
        <w:t xml:space="preserve"> — fee calculation, balance math, rounding/precision, order validation logic. Owned by engineering, gated in CI on every commit.</w:t>
      </w:r>
    </w:p>
    <w:p>
      <w:pPr>
        <w:pStyle w:val="ListNumber"/>
      </w:pPr>
      <w:r>
        <w:rPr>
          <w:b/>
        </w:rPr>
        <w:t>API/contract</w:t>
      </w:r>
      <w:r>
        <w:t xml:space="preserve"> — every money-movement endpoint tested directly against a sandboxed backend/ledger: happy path + negative cases (insufficient funds, expired token, duplicate/idempotent submission, market closed).</w:t>
      </w:r>
    </w:p>
    <w:p>
      <w:pPr>
        <w:pStyle w:val="ListNumber"/>
      </w:pPr>
      <w:r>
        <w:rPr>
          <w:b/>
        </w:rPr>
        <w:t>E2E (UI)</w:t>
      </w:r>
      <w:r>
        <w:t xml:space="preserve"> — a small, curated critical-path suite (onboarding → fund → trade → withdraw → view history) run on real devices/emulators for both platforms, on one older and one current OS version.</w:t>
      </w:r>
    </w:p>
    <w:p>
      <w:pPr>
        <w:pStyle w:val="ListNumber"/>
      </w:pPr>
      <w:r>
        <w:rPr>
          <w:b/>
        </w:rPr>
        <w:t>Manual exploratory</w:t>
      </w:r>
      <w:r>
        <w:t xml:space="preserve"> — day-one and pre-release, focused on the top 3 risk flows, performed personally before automation exists to cover them.</w:t>
      </w:r>
    </w:p>
    <w:p>
      <w:pPr>
        <w:pStyle w:val="Heading3"/>
      </w:pPr>
      <w:r>
        <w:rPr>
          <w:color w:val="0B1F3A"/>
        </w:rPr>
        <w:t>4. Environments</w:t>
      </w:r>
    </w:p>
    <w:p>
      <w:pPr>
        <w:pStyle w:val="ListBullet"/>
      </w:pPr>
      <w:r>
        <w:t>iOS: current + previous major OS version, at least one physical device (not simulator-only, for biometrics/keychain behaviour).</w:t>
      </w:r>
    </w:p>
    <w:p>
      <w:pPr>
        <w:pStyle w:val="ListBullet"/>
      </w:pPr>
      <w:r>
        <w:t>Android: current + previous major OS version, one physical device (fragmentation risk is higher than iOS).</w:t>
      </w:r>
    </w:p>
    <w:p>
      <w:pPr>
        <w:pStyle w:val="ListBullet"/>
      </w:pPr>
      <w:r>
        <w:t>Backend: dedicated sandbox environment with a reset-able seeded ledger — never production financial systems or real funds, ever, in automated tests.</w:t>
      </w:r>
    </w:p>
    <w:p>
      <w:pPr>
        <w:pStyle w:val="Heading3"/>
      </w:pPr>
      <w:r>
        <w:rPr>
          <w:color w:val="0B1F3A"/>
        </w:rPr>
        <w:t>5. Entry / exit criteria for the launch build</w:t>
      </w:r>
    </w:p>
    <w:p>
      <w:pPr>
        <w:pStyle w:val="ListBullet"/>
      </w:pPr>
      <w:r>
        <w:rPr>
          <w:b/>
        </w:rPr>
        <w:t>Entry:</w:t>
      </w:r>
      <w:r>
        <w:t xml:space="preserve"> feature-complete build on the release branch; sandbox environment stable; crash-reporting wired up.</w:t>
      </w:r>
    </w:p>
    <w:p>
      <w:pPr>
        <w:pStyle w:val="ListBullet"/>
      </w:pPr>
      <w:r>
        <w:rPr>
          <w:b/>
        </w:rPr>
        <w:t>Exit (see Release Readiness Checklist, RELEASE_READINESS_CHECKLIST.docx):</w:t>
      </w:r>
      <w:r>
        <w:t xml:space="preserve"> all Sev1/Sev2 defects closed, automated suite green on both platforms, manual smoke pass complete on real devices, rollback/kill-switch verified.</w:t>
      </w:r>
    </w:p>
    <w:p>
      <w:pPr>
        <w:pStyle w:val="Heading3"/>
      </w:pPr>
      <w:r>
        <w:rPr>
          <w:color w:val="0B1F3A"/>
        </w:rPr>
        <w:t>6. Timeline against the 2-week runway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Days</w:t>
            </w:r>
          </w:p>
        </w:tc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Manual exploratory pass on top-risk flows; inventory existing tooling/docs; align with eng on known weak spots.</w:t>
            </w:r>
          </w:p>
        </w:tc>
      </w:tr>
      <w:tr>
        <w:tc>
          <w:tcPr>
            <w:tcW w:type="dxa" w:w="4320"/>
          </w:tcPr>
          <w:p>
            <w:r>
              <w:t>3–6</w:t>
            </w:r>
          </w:p>
        </w:tc>
        <w:tc>
          <w:tcPr>
            <w:tcW w:type="dxa" w:w="4320"/>
          </w:tcPr>
          <w:p>
            <w:r>
              <w:t>API/contract tests for money-movement endpoints; start unit-test backfill with eng on critical logic.</w:t>
            </w:r>
          </w:p>
        </w:tc>
      </w:tr>
      <w:tr>
        <w:tc>
          <w:tcPr>
            <w:tcW w:type="dxa" w:w="4320"/>
          </w:tcPr>
          <w:p>
            <w:r>
              <w:t>7–9</w:t>
            </w:r>
          </w:p>
        </w:tc>
        <w:tc>
          <w:tcPr>
            <w:tcW w:type="dxa" w:w="4320"/>
          </w:tcPr>
          <w:p>
            <w:r>
              <w:t>Thin E2E suite for the critical path, both platforms; security pass (token storage, TLS pinning, logging).</w:t>
            </w:r>
          </w:p>
        </w:tc>
      </w:tr>
      <w:tr>
        <w:tc>
          <w:tcPr>
            <w:tcW w:type="dxa" w:w="4320"/>
          </w:tcPr>
          <w:p>
            <w:r>
              <w:t>10–11</w:t>
            </w:r>
          </w:p>
        </w:tc>
        <w:tc>
          <w:tcPr>
            <w:tcW w:type="dxa" w:w="4320"/>
          </w:tcPr>
          <w:p>
            <w:r>
              <w:t>Regression pass, bug triage with eng, retest fixes.</w:t>
            </w:r>
          </w:p>
        </w:tc>
      </w:tr>
      <w:tr>
        <w:tc>
          <w:tcPr>
            <w:tcW w:type="dxa" w:w="4320"/>
          </w:tcPr>
          <w:p>
            <w:r>
              <w:t>12–13</w:t>
            </w:r>
          </w:p>
        </w:tc>
        <w:tc>
          <w:tcPr>
            <w:tcW w:type="dxa" w:w="4320"/>
          </w:tcPr>
          <w:p>
            <w:r>
              <w:t>Release candidate cut; full manual smoke on real devices; release readiness checklist walkthrough.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Go/no-go call; staged rollout if available; first 48h monitoring plan active.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