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Insurance on Utilization and Outcomes of Leadless Pacemakers: A Nationwide Analysis From 2016 to 2020</w:t>
      </w:r>
    </w:p>
    <w:p>
      <w:pPr>
        <w:pStyle w:val="Subtitle"/>
      </w:pPr>
      <w:r>
        <w:t xml:space="preserve">Analysis for Broad Peak</w:t>
      </w:r>
    </w:p>
    <w:p>
      <w:pPr>
        <w:pStyle w:val="Author"/>
      </w:pPr>
      <w:r>
        <w:t xml:space="preserve">Mariam Shahabi</w:t>
      </w:r>
    </w:p>
    <w:bookmarkStart w:id="23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Papers: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Alhuarrat et al. 2023</w:t>
        </w:r>
      </w:hyperlink>
    </w:p>
    <w:p>
      <w:pPr>
        <w:pStyle w:val="Compact"/>
        <w:numPr>
          <w:ilvl w:val="1"/>
          <w:numId w:val="1002"/>
        </w:numPr>
      </w:pPr>
      <w:hyperlink r:id="rId21">
        <w:r>
          <w:rPr>
            <w:rStyle w:val="Hyperlink"/>
          </w:rPr>
          <w:t xml:space="preserve">Agarwal et al. 2025</w:t>
        </w:r>
      </w:hyperlink>
    </w:p>
    <w:p>
      <w:pPr>
        <w:pStyle w:val="Compact"/>
        <w:numPr>
          <w:ilvl w:val="1"/>
          <w:numId w:val="1002"/>
        </w:numPr>
      </w:pPr>
      <w:hyperlink r:id="rId22">
        <w:r>
          <w:rPr>
            <w:rStyle w:val="Hyperlink"/>
          </w:rPr>
          <w:t xml:space="preserve">Nguyen et al. 2025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analyze the impact of insurance on in-hospital mortality, complications, and resource utilization in individuals undergoing pacemaker implantation in U.S. hospitals from 2016 to 2020, adjusting for demographic, socioeconomic, clinical, and hospital-related factors.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using the National Inpatient Sample (NIS) database from 2016 to 2020, a representative sample of all-payer inpatient hospitalizations in the U.S.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Patient Selection</w:t>
      </w:r>
      <w:r>
        <w:t xml:space="preserve">: Included all inpatient admissions for patients 18 years or older with a primary or secondary procedure code of leadless pacemaker implantation, identified using the ICD-10 diagnosis code 02HK3NZ. Patients were then stratified by insurance status as Private, Medicare, or Medicaid.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3"/>
        </w:numPr>
      </w:pPr>
      <w:r>
        <w:t xml:space="preserve">In-hospital Mortality</w:t>
      </w:r>
    </w:p>
    <w:p>
      <w:pPr>
        <w:numPr>
          <w:ilvl w:val="1"/>
          <w:numId w:val="1003"/>
        </w:numPr>
      </w:pPr>
      <w:r>
        <w:t xml:space="preserve">Length of Stay (days)</w:t>
      </w:r>
    </w:p>
    <w:p>
      <w:pPr>
        <w:numPr>
          <w:ilvl w:val="1"/>
          <w:numId w:val="1003"/>
        </w:numPr>
      </w:pPr>
      <w:r>
        <w:t xml:space="preserve">Inflation-adjusted Total Charge ($) [adjusted to 2020 dollars, using CPI data by the U.S. Bureau of Labor Statistics]</w:t>
      </w:r>
    </w:p>
    <w:p>
      <w:pPr>
        <w:numPr>
          <w:ilvl w:val="1"/>
          <w:numId w:val="1003"/>
        </w:numPr>
      </w:pPr>
      <w:r>
        <w:t xml:space="preserve">Acute Kidney Injury (AKI)</w:t>
      </w:r>
    </w:p>
    <w:p>
      <w:pPr>
        <w:numPr>
          <w:ilvl w:val="1"/>
          <w:numId w:val="1003"/>
        </w:numPr>
      </w:pPr>
      <w:r>
        <w:t xml:space="preserve">Any Complication (including vascular, pericardial, pneumothorax, infectious, or device-related complications)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Analysis</w:t>
      </w:r>
      <w:r>
        <w:t xml:space="preserve">: Univariable and multivariable analyses were conducted to evaluate the association between insurance and inpatient outcomes within the leadless pacemaker cohort: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5"/>
        </w:numPr>
      </w:pPr>
      <w:r>
        <w:t xml:space="preserve">Continuous variables: Design-based Kruskal-Wallis test.</w:t>
      </w:r>
    </w:p>
    <w:p>
      <w:pPr>
        <w:numPr>
          <w:ilvl w:val="2"/>
          <w:numId w:val="1005"/>
        </w:numPr>
      </w:pPr>
      <w:r>
        <w:t xml:space="preserve">Categorical variables: Pearson’s X² test with Rao &amp; Scott adjustment to account for survey design.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6"/>
        </w:numPr>
      </w:pPr>
      <w:r>
        <w:t xml:space="preserve">Logistic regression for binary outcomes (e.g., in-hospital mortality, AKI).</w:t>
      </w:r>
    </w:p>
    <w:p>
      <w:pPr>
        <w:numPr>
          <w:ilvl w:val="2"/>
          <w:numId w:val="1006"/>
        </w:numPr>
      </w:pPr>
      <w:r>
        <w:t xml:space="preserve">Linear regression for continuous outcomes (e.g., length of stay, total charges).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Adjustments:</w:t>
      </w:r>
      <w:r>
        <w:t xml:space="preserve"> </w:t>
      </w:r>
      <w:r>
        <w:t xml:space="preserve">Models controlled for the following covariates:</w:t>
      </w:r>
    </w:p>
    <w:p>
      <w:pPr>
        <w:numPr>
          <w:ilvl w:val="2"/>
          <w:numId w:val="1007"/>
        </w:numPr>
      </w:pPr>
      <w:r>
        <w:rPr>
          <w:b/>
          <w:bCs/>
        </w:rPr>
        <w:t xml:space="preserve">Demographics and Socioeconomic Factors</w:t>
      </w:r>
      <w:r>
        <w:t xml:space="preserve">: Age, Sex, Race, Residential income, Expected primary payer.</w:t>
      </w:r>
    </w:p>
    <w:p>
      <w:pPr>
        <w:numPr>
          <w:ilvl w:val="2"/>
          <w:numId w:val="1007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Charlson comorbidity index, Admission Type, Chronic Kidney Disease, Hypertension, Diabetes Mellitus, Obesity, Chronic Pulmonary Disease, Liver Disease, Peripheral Vascular Disease, Congestive Heart Failure, Myocardial Infarction.</w:t>
      </w:r>
    </w:p>
    <w:p>
      <w:pPr>
        <w:numPr>
          <w:ilvl w:val="2"/>
          <w:numId w:val="1007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region, Hospital bedsize, Hospital location and teaching status.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3"/>
    <w:bookmarkStart w:id="24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22,515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Private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2,290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Medicaid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18,550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1,375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18,810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17,175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9,660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8,190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12,855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1,375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10,360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16,495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13,970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2,315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1,300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1,395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1,075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3.16 (2.25)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 (2.24)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 (2.35)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 (2.24)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 (2.26)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4,510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5,910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4,900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4,390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4,740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3,940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8,380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6,980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4,900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14,585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11,910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3,350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18,660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15,205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2,220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1,850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20,280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995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16,685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7,995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19,070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16,165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8,790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7,405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3,915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2,300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11,225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4"/>
    <w:bookmarkStart w:id="25" w:name="univariable-analysis"/>
    <w:p>
      <w:pPr>
        <w:pStyle w:val="Heading2"/>
      </w:pPr>
      <w:r>
        <w:t xml:space="preserve">Univariable Analysis: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22,515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Private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2,290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Medicaid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18,550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1,075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805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(4, 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(3,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128,135 (89,465, 210,264)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133,874 (93,450, 249,474)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179,489 (110,931, 328,416)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125,893 (88,080, 200,806)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126,292 (78,845, 248,876)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6,790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5,550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Pericardial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Pneumothorax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Infectious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Device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Complication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adjustment; Design-based KruskalWallis test</w:t>
            </w:r>
          </w:p>
        </w:tc>
      </w:tr>
    </w:tbl>
    <w:bookmarkEnd w:id="25"/>
    <w:bookmarkStart w:id="29" w:name="multivariable-logistic-regression"/>
    <w:p>
      <w:pPr>
        <w:pStyle w:val="Heading2"/>
      </w:pPr>
      <w:r>
        <w:t xml:space="preserve">Multivariable Logistic Regression:</w:t>
      </w:r>
    </w:p>
    <w:bookmarkStart w:id="26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1.02, 2.64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2.80, 7.02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1.42, 3.14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1.33, 2.90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1.58, 2.77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2.49, 3.84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1.56, 2.20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any-complication"/>
    <w:p>
      <w:pPr>
        <w:pStyle w:val="Heading3"/>
      </w:pPr>
      <w:r>
        <w:t xml:space="preserve">Any Complication: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0.94, 5.64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1.56, 8.68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End w:id="29"/>
    <w:bookmarkStart w:id="32" w:name="multivariable-linear-regression"/>
    <w:p>
      <w:pPr>
        <w:pStyle w:val="Heading2"/>
      </w:pPr>
      <w:r>
        <w:t xml:space="preserve">Multivariable Linear Regression:</w:t>
      </w:r>
    </w:p>
    <w:bookmarkStart w:id="30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-5.7, -2.6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-0.46, 1.1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2.7, 6.5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-0.41, 3.4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-0.24, 3.1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-0.48, 1.9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-0.51, 1.8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-0.30, 8.3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-3.4, 0.46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-3.6, 2.5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-0.78, 2.1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-0.82, 1.5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-2.4, 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-2.8, -0.70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-1.4, 1.8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-4.3, 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-2.5, -0.68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-1.6, 0.20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-0.31, 4.5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-0.54, 2.3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0"/>
    <w:bookmarkStart w:id="31" w:name="inflation-adjusted-total-charge"/>
    <w:p>
      <w:pPr>
        <w:pStyle w:val="Heading3"/>
      </w:pPr>
      <w:r>
        <w:t xml:space="preserve">Inflation-adjusted Total 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&gt;=65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-88,158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-119,568, -56,747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1,885, 32,011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40,673, 123,642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13,333, 94,527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5,713, 73,475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-9,983, 32,156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-19,697, 23,205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7,627, 63,776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-45,714, 100,423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-30,539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-68,691, 7,613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-84,232, 121,897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6,212, 61,264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1,019, 43,870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44,866, 108,509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-29,622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-49,081, -10,163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-31,620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-56,076, -7,164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-12,697, 53,319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21,241, 82,186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-43,730, 12,176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2,876, 17,251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-24,372, 23,165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-90,723, -29,868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-34,443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-51,754, -17,132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-34,898, 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6,124, 49,639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1,029, 81,715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-13,893, 35,224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18,847, 53,102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-20,004, 34,302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cademic.oup.com/europace/article/25/9/euad269/7274340" TargetMode="External" /><Relationship Type="http://schemas.openxmlformats.org/officeDocument/2006/relationships/hyperlink" Id="rId22" Target="https://pubmed.ncbi.nlm.nih.gov/39996401/" TargetMode="External" /><Relationship Type="http://schemas.openxmlformats.org/officeDocument/2006/relationships/hyperlink" Id="rId21" Target="https://pubmed.ncbi.nlm.nih.gov/4000054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cademic.oup.com/europace/article/25/9/euad269/7274340" TargetMode="External" /><Relationship Type="http://schemas.openxmlformats.org/officeDocument/2006/relationships/hyperlink" Id="rId22" Target="https://pubmed.ncbi.nlm.nih.gov/39996401/" TargetMode="External" /><Relationship Type="http://schemas.openxmlformats.org/officeDocument/2006/relationships/hyperlink" Id="rId21" Target="https://pubmed.ncbi.nlm.nih.gov/4000054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Insurance on Utilization and Outcomes of Leadless Pacemakers: A Nationwide Analysis From 2016 to 2020</dc:title>
  <dc:creator>Mariam Shahabi</dc:creator>
  <cp:keywords/>
  <dcterms:created xsi:type="dcterms:W3CDTF">2026-10-08T16:19:13Z</dcterms:created>
  <dcterms:modified xsi:type="dcterms:W3CDTF">2026-10-08T16:19:13Z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Broad Peak</vt:lpwstr>
  </property>
  <property fmtid="{D5CDD505-2E9C-101B-9397-08002B2CF9AE}" pid="12" name="toc-title">
    <vt:lpwstr>Table of contents</vt:lpwstr>
  </property>
</Properties>
</file>