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Obesity on Perioperative Outcomes at Robotic-assisted, Laparoscopic and Open Partial Nephrectomy</w:t>
      </w:r>
    </w:p>
    <w:p>
      <w:pPr>
        <w:pStyle w:val="Subtitle"/>
      </w:pPr>
      <w:r>
        <w:t xml:space="preserve">Analysis for RCOP NIS September 2025 Surgery 17</w:t>
      </w:r>
    </w:p>
    <w:p>
      <w:pPr>
        <w:pStyle w:val="Author"/>
      </w:pPr>
      <w:r>
        <w:t xml:space="preserve">Mariam Shahabi</w:t>
      </w:r>
    </w:p>
    <w:bookmarkStart w:id="23" w:name="preamble"/>
    <w:p>
      <w:pPr>
        <w:pStyle w:val="Heading2"/>
      </w:pPr>
      <w:r>
        <w:t xml:space="preserve">Preamble:</w:t>
      </w:r>
    </w:p>
    <w:p>
      <w:pPr>
        <w:numPr>
          <w:ilvl w:val="0"/>
          <w:numId w:val="1001"/>
        </w:numPr>
      </w:pPr>
      <w:r>
        <w:rPr>
          <w:b/>
          <w:bCs/>
        </w:rPr>
        <w:t xml:space="preserve">Reference Papers:</w:t>
      </w:r>
    </w:p>
    <w:p>
      <w:pPr>
        <w:numPr>
          <w:ilvl w:val="1"/>
          <w:numId w:val="1002"/>
        </w:numPr>
      </w:pPr>
      <w:hyperlink r:id="rId20">
        <w:r>
          <w:rPr>
            <w:rStyle w:val="Hyperlink"/>
          </w:rPr>
          <w:t xml:space="preserve">Ghani et al. 2014</w:t>
        </w:r>
      </w:hyperlink>
    </w:p>
    <w:p>
      <w:pPr>
        <w:numPr>
          <w:ilvl w:val="1"/>
          <w:numId w:val="1002"/>
        </w:numPr>
      </w:pPr>
      <w:hyperlink r:id="rId21">
        <w:r>
          <w:rPr>
            <w:rStyle w:val="Hyperlink"/>
          </w:rPr>
          <w:t xml:space="preserve">Knipper et al. 2019</w:t>
        </w:r>
      </w:hyperlink>
    </w:p>
    <w:p>
      <w:pPr>
        <w:numPr>
          <w:ilvl w:val="1"/>
          <w:numId w:val="1002"/>
        </w:numPr>
      </w:pPr>
      <w:hyperlink r:id="rId22">
        <w:r>
          <w:rPr>
            <w:rStyle w:val="Hyperlink"/>
          </w:rPr>
          <w:t xml:space="preserve">Di Bello et al.2025</w:t>
        </w:r>
      </w:hyperlink>
    </w:p>
    <w:p>
      <w:pPr>
        <w:numPr>
          <w:ilvl w:val="0"/>
          <w:numId w:val="1001"/>
        </w:numPr>
      </w:pPr>
      <w:r>
        <w:rPr>
          <w:b/>
          <w:bCs/>
        </w:rPr>
        <w:t xml:space="preserve">Study Objective</w:t>
      </w:r>
      <w:r>
        <w:t xml:space="preserve">: To evaluate the impact of obesity on clinical outcomes and resource utilization on patients with renal cell carcinoma undergoing robotic, laparoscopic, or open partial nephrectomy (PN).</w:t>
      </w:r>
    </w:p>
    <w:p>
      <w:pPr>
        <w:numPr>
          <w:ilvl w:val="0"/>
          <w:numId w:val="1001"/>
        </w:numPr>
      </w:pPr>
      <w:r>
        <w:rPr>
          <w:b/>
          <w:bCs/>
        </w:rPr>
        <w:t xml:space="preserve">Data Source</w:t>
      </w:r>
      <w:r>
        <w:t xml:space="preserve">: Cross-sectional analysis using the National Inpatient Sample (NIS) database from 2018 to 2020, a representative sample of all-payer inpatient hospitalizations in the U.S.</w:t>
      </w:r>
    </w:p>
    <w:p>
      <w:pPr>
        <w:numPr>
          <w:ilvl w:val="0"/>
          <w:numId w:val="1001"/>
        </w:numPr>
      </w:pPr>
      <w:r>
        <w:rPr>
          <w:b/>
          <w:bCs/>
        </w:rPr>
        <w:t xml:space="preserve">Patient Selection</w:t>
      </w:r>
      <w:r>
        <w:t xml:space="preserve">: The study cohort included all hospital admissions of patients aged ≥ 18 years with a primary diagnosis of nonmetastatic RCC and a primary or secondary procedure code for robotic, laparoscopic, or open partial nephrectomy. To ensure accurate attribution of outcomes to the index hospital, patients who were transferred into or out of the hospital were excluded.</w:t>
      </w:r>
    </w:p>
    <w:p>
      <w:pPr>
        <w:numPr>
          <w:ilvl w:val="0"/>
          <w:numId w:val="1001"/>
        </w:numPr>
      </w:pPr>
      <w:r>
        <w:rPr>
          <w:b/>
          <w:bCs/>
        </w:rPr>
        <w:t xml:space="preserve">Outcomes of Interest</w:t>
      </w:r>
      <w:r>
        <w:t xml:space="preserve">:</w:t>
      </w:r>
    </w:p>
    <w:p>
      <w:pPr>
        <w:numPr>
          <w:ilvl w:val="1"/>
          <w:numId w:val="1003"/>
        </w:numPr>
      </w:pPr>
      <w:r>
        <w:t xml:space="preserve">In-hospital Mortality</w:t>
      </w:r>
    </w:p>
    <w:p>
      <w:pPr>
        <w:numPr>
          <w:ilvl w:val="1"/>
          <w:numId w:val="1003"/>
        </w:numPr>
      </w:pPr>
      <w:r>
        <w:t xml:space="preserve">Non-Home Discharge</w:t>
      </w:r>
    </w:p>
    <w:p>
      <w:pPr>
        <w:numPr>
          <w:ilvl w:val="1"/>
          <w:numId w:val="1003"/>
        </w:numPr>
      </w:pPr>
      <w:r>
        <w:t xml:space="preserve">Length of Stay (LOS) in days</w:t>
      </w:r>
    </w:p>
    <w:p>
      <w:pPr>
        <w:numPr>
          <w:ilvl w:val="1"/>
          <w:numId w:val="1003"/>
        </w:numPr>
      </w:pPr>
      <w:r>
        <w:t xml:space="preserve">Inflation-adjusted Total Charges (converted to 2020 U.S. dollars using Consumer Price Index data)</w:t>
      </w:r>
    </w:p>
    <w:p>
      <w:pPr>
        <w:numPr>
          <w:ilvl w:val="0"/>
          <w:numId w:val="1001"/>
        </w:numPr>
      </w:pPr>
      <w:r>
        <w:rPr>
          <w:b/>
          <w:bCs/>
        </w:rPr>
        <w:t xml:space="preserve">Statistical Analysis</w:t>
      </w:r>
      <w:r>
        <w:t xml:space="preserve">: Univariable and multivariable analyses were conducted to assess the association between hospital location/teaching status and the outcomes of interest:</w:t>
      </w:r>
    </w:p>
    <w:p>
      <w:pPr>
        <w:numPr>
          <w:ilvl w:val="1"/>
          <w:numId w:val="1004"/>
        </w:numPr>
      </w:pPr>
      <w:r>
        <w:rPr>
          <w:b/>
          <w:bCs/>
        </w:rPr>
        <w:t xml:space="preserve">Univariable Analysis:</w:t>
      </w:r>
    </w:p>
    <w:p>
      <w:pPr>
        <w:numPr>
          <w:ilvl w:val="2"/>
          <w:numId w:val="1005"/>
        </w:numPr>
      </w:pPr>
      <w:r>
        <w:t xml:space="preserve">Continuous variables: Design-based Kruskal-Wallis test.</w:t>
      </w:r>
    </w:p>
    <w:p>
      <w:pPr>
        <w:numPr>
          <w:ilvl w:val="2"/>
          <w:numId w:val="1005"/>
        </w:numPr>
      </w:pPr>
      <w:r>
        <w:t xml:space="preserve">Categorical variables: Pearson’s X² test with Rao &amp; Scott adjustment to account for survey design.</w:t>
      </w:r>
    </w:p>
    <w:p>
      <w:pPr>
        <w:numPr>
          <w:ilvl w:val="1"/>
          <w:numId w:val="1004"/>
        </w:numPr>
      </w:pPr>
      <w:r>
        <w:rPr>
          <w:b/>
          <w:bCs/>
        </w:rPr>
        <w:t xml:space="preserve">Multivariable Analysis:</w:t>
      </w:r>
    </w:p>
    <w:p>
      <w:pPr>
        <w:numPr>
          <w:ilvl w:val="2"/>
          <w:numId w:val="1006"/>
        </w:numPr>
      </w:pPr>
      <w:r>
        <w:t xml:space="preserve">Logistic regression for binary outcomes (e.g., mortality, complications).</w:t>
      </w:r>
    </w:p>
    <w:p>
      <w:pPr>
        <w:numPr>
          <w:ilvl w:val="2"/>
          <w:numId w:val="1006"/>
        </w:numPr>
      </w:pPr>
      <w:r>
        <w:t xml:space="preserve">Linear regression for continuous outcomes (e.g., length of stay, total charges).</w:t>
      </w:r>
    </w:p>
    <w:p>
      <w:pPr>
        <w:numPr>
          <w:ilvl w:val="1"/>
          <w:numId w:val="1004"/>
        </w:numPr>
      </w:pPr>
      <w:r>
        <w:rPr>
          <w:b/>
          <w:bCs/>
        </w:rPr>
        <w:t xml:space="preserve">Adjustments:</w:t>
      </w:r>
      <w:r>
        <w:t xml:space="preserve"> </w:t>
      </w:r>
      <w:r>
        <w:t xml:space="preserve">Models controlled for the following covariates:</w:t>
      </w:r>
    </w:p>
    <w:p>
      <w:pPr>
        <w:numPr>
          <w:ilvl w:val="2"/>
          <w:numId w:val="1007"/>
        </w:numPr>
      </w:pPr>
      <w:r>
        <w:rPr>
          <w:b/>
          <w:bCs/>
        </w:rPr>
        <w:t xml:space="preserve">Demographics and Socioeconomic Factors</w:t>
      </w:r>
      <w:r>
        <w:t xml:space="preserve">: Age, Sex, Race, Residential income, Expected primary payer.</w:t>
      </w:r>
    </w:p>
    <w:p>
      <w:pPr>
        <w:numPr>
          <w:ilvl w:val="2"/>
          <w:numId w:val="1007"/>
        </w:numPr>
      </w:pPr>
      <w:r>
        <w:rPr>
          <w:b/>
          <w:bCs/>
        </w:rPr>
        <w:t xml:space="preserve">Clinical Factors:</w:t>
      </w:r>
      <w:r>
        <w:t xml:space="preserve"> </w:t>
      </w:r>
      <w:r>
        <w:t xml:space="preserve">A summary measure of comorbidity (Elixhauser comorbidity index).</w:t>
      </w:r>
    </w:p>
    <w:p>
      <w:pPr>
        <w:numPr>
          <w:ilvl w:val="2"/>
          <w:numId w:val="1007"/>
        </w:numPr>
      </w:pPr>
      <w:r>
        <w:rPr>
          <w:b/>
          <w:bCs/>
        </w:rPr>
        <w:t xml:space="preserve">Hospital-Level Factors:</w:t>
      </w:r>
      <w:r>
        <w:t xml:space="preserve"> </w:t>
      </w:r>
      <w:r>
        <w:t xml:space="preserve">Hospital region and Hospital bedsize.</w:t>
      </w:r>
    </w:p>
    <w:p>
      <w:pPr>
        <w:numPr>
          <w:ilvl w:val="0"/>
          <w:numId w:val="1001"/>
        </w:numPr>
      </w:pPr>
      <w:r>
        <w:rPr>
          <w:b/>
          <w:bCs/>
        </w:rPr>
        <w:t xml:space="preserve">Software:</w:t>
      </w:r>
      <w:r>
        <w:t xml:space="preserve"> </w:t>
      </w:r>
      <w:r>
        <w:t xml:space="preserve">All statistical analyses were performed using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3"/>
    <w:bookmarkStart w:id="24"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40,300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Non-obese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30,030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Obese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10,270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14,645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25,650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19,655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28,160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20,775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ZIP Code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9,175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9,990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19,860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14,625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14,780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11,260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8,085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9,365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15,175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24,645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18,295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3.08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Route of Partial Nephrectomy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8,485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6,195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Laparoscopic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Robotic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28,085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20,945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7,140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9,915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6,070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25,205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7,460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Deficiency 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 and Electrolyte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4"/>
    <w:bookmarkStart w:id="25" w:name="univariable-analysis"/>
    <w:p>
      <w:pPr>
        <w:pStyle w:val="Heading2"/>
      </w:pPr>
      <w:r>
        <w:t xml:space="preserve">Univariable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40,300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Non-obese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30,030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Obese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10,270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(2.00,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Charges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62,547 (43,849, 93,103)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61,030 (42,658, 91,375)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66,842 (47,505, 97,698)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Major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Infection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Wound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Bleeding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3,970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Ileus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Venous Thromboembolism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5"/>
    <w:bookmarkStart w:id="29" w:name="multivariable-logistic-regression"/>
    <w:p>
      <w:pPr>
        <w:pStyle w:val="Heading2"/>
      </w:pPr>
      <w:r>
        <w:t xml:space="preserve">Multivariable Logistic Regression:</w:t>
      </w:r>
    </w:p>
    <w:bookmarkStart w:id="26"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0.05, 4.34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ZIP Code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0.14, 7.01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Route of Partial Nephrectomy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Laparoscopic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Robotic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7,491,035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892,711, 62,859,768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35,631,074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15,517,017, 81,818,139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21,554,584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7,128,004, 65,179,552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any-complication"/>
    <w:p>
      <w:pPr>
        <w:pStyle w:val="Heading3"/>
      </w:pPr>
      <w:r>
        <w:t xml:space="preserve">Any Complication: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ZIP Code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Route of Partial Nephrectomy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Laparoscopic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Robotic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Start w:id="28" w:name="non-home-discharge"/>
    <w:p>
      <w:pPr>
        <w:pStyle w:val="Heading3"/>
      </w:pPr>
      <w:r>
        <w:t xml:space="preserve">Non-Home Discharge: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ZIP Code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0.51, 8.78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Route of Partial Nephrectomy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Laparoscopic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Robotic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0.04, 5.08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0.73, 5.61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0.43, 5.89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8"/>
    <w:bookmarkEnd w:id="29"/>
    <w:bookmarkStart w:id="32" w:name="multivariable-linear-regression"/>
    <w:p>
      <w:pPr>
        <w:pStyle w:val="Heading2"/>
      </w:pPr>
      <w:r>
        <w:t xml:space="preserve">Multivariable Linear Regression:</w:t>
      </w:r>
    </w:p>
    <w:bookmarkStart w:id="30"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ZIP Code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Route of Partial Nephrectomy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Laparoscopic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Robotic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0"/>
    <w:bookmarkStart w:id="31" w:name="inflation-adjusted-total-charge"/>
    <w:p>
      <w:pPr>
        <w:pStyle w:val="Heading3"/>
      </w:pPr>
      <w:r>
        <w:t xml:space="preserve">Inflation-adjusted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2,072, 6,827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-1,237, 18,383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-3,528, 3,957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7,665, 17,164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-4,152, 10,610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ZIP Code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-1,774, 5,108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-2,584, 4,251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-1,078, 7,213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-3,316, 4,773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45, 6,484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-4,675, 5,776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Route of Partial Nephrectomy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Laparoscopic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-2,594, 8,262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Robotic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-1,422, 5,879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-492, 10,057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5,415, 14,658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27,708, 40,501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-4,066, 5,593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-14,192, -3,011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4,376, 6,257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Obese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-3,765, 2,090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link.springer.com/article/10.1245/s10434-025-17398-3" TargetMode="External" /><Relationship Type="http://schemas.openxmlformats.org/officeDocument/2006/relationships/hyperlink" Id="rId21" Target="https://pubmed.ncbi.nlm.nih.gov/31336110/" TargetMode="External" /><Relationship Type="http://schemas.openxmlformats.org/officeDocument/2006/relationships/hyperlink" Id="rId20" Target="https://www.auajournals.org/doi/10.1016/j.juro.2013.10.099" TargetMode="External" /></Relationships>
</file>

<file path=word/_rels/footnotes.xml.rels><?xml version="1.0" encoding="UTF-8"?><Relationships xmlns="http://schemas.openxmlformats.org/package/2006/relationships"><Relationship Type="http://schemas.openxmlformats.org/officeDocument/2006/relationships/hyperlink" Id="rId22" Target="https://link.springer.com/article/10.1245/s10434-025-17398-3" TargetMode="External" /><Relationship Type="http://schemas.openxmlformats.org/officeDocument/2006/relationships/hyperlink" Id="rId21" Target="https://pubmed.ncbi.nlm.nih.gov/31336110/" TargetMode="External" /><Relationship Type="http://schemas.openxmlformats.org/officeDocument/2006/relationships/hyperlink" Id="rId20" Target="https://www.auajournals.org/doi/10.1016/j.juro.2013.10.0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Obesity on Perioperative Outcomes at Robotic-assisted, Laparoscopic and Open Partial Nephrectomy</dc:title>
  <dc:creator>Mariam Shahabi</dc:creator>
  <cp:keywords/>
  <dcterms:created xsi:type="dcterms:W3CDTF">2025-09-26T11:39:19Z</dcterms:created>
  <dcterms:modified xsi:type="dcterms:W3CDTF">2025-09-26T11:39:19Z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September 2025 Surgery 17</vt:lpwstr>
  </property>
  <property fmtid="{D5CDD505-2E9C-101B-9397-08002B2CF9AE}" pid="12" name="toc-title">
    <vt:lpwstr>Table of contents</vt:lpwstr>
  </property>
</Properties>
</file>