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30-day Readmissions in Patients With Heart Failure and Chronic Kidney Disease: Insights From the 2016–2017 Nationwide Readmissions Database</w:t>
      </w:r>
    </w:p>
    <w:p>
      <w:pPr>
        <w:pStyle w:val="Subtitle"/>
      </w:pPr>
      <w:r>
        <w:t xml:space="preserve">Analysis for NRD June A16</w:t>
      </w:r>
    </w:p>
    <w:p>
      <w:pPr>
        <w:pStyle w:val="Author"/>
      </w:pPr>
      <w:r>
        <w:t xml:space="preserve">Mariam Shahabi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Nowrouzi et al., 2022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Minhas et al., 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heart failure and chronic kidney disease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Heart failure (HF), identified using ICD-10-CM codes for HF (isHF pattern, including I501, I5021, I5023, I5031, I5033, I5041, I5043</w:t>
      </w:r>
      <w:r>
        <w:t xml:space="preserve"> </w:t>
      </w:r>
      <w:r>
        <w:t xml:space="preserve">)</w:t>
      </w:r>
    </w:p>
    <w:p>
      <w:pPr>
        <w:numPr>
          <w:ilvl w:val="1"/>
          <w:numId w:val="1003"/>
        </w:numPr>
      </w:pPr>
      <w:r>
        <w:t xml:space="preserve">Evidence of Chronic Kidney Disease (CKD), derived from secondary diagnosis fields using ICD-10-CM patterns N181, N182, N183, N1830, N1831, N1832, N184, N185, N186, N189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planned or injury-related returns unrelated to HF hospitalizations.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Cost: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 (ZIPINC_QRTL)</w:t>
      </w:r>
    </w:p>
    <w:p>
      <w:pPr>
        <w:numPr>
          <w:ilvl w:val="2"/>
          <w:numId w:val="1013"/>
        </w:numPr>
      </w:pPr>
      <w:r>
        <w:t xml:space="preserve">Weekend admission (AWEEKEND)</w:t>
      </w:r>
    </w:p>
    <w:p>
      <w:pPr>
        <w:numPr>
          <w:ilvl w:val="1"/>
          <w:numId w:val="1012"/>
        </w:numPr>
      </w:pPr>
      <w:r>
        <w:t xml:space="preserve">CKD Stages:</w:t>
      </w:r>
    </w:p>
    <w:p>
      <w:pPr>
        <w:numPr>
          <w:ilvl w:val="2"/>
          <w:numId w:val="1014"/>
        </w:numPr>
      </w:pPr>
      <w:r>
        <w:t xml:space="preserve">CKD Stage 1: N181</w:t>
      </w:r>
    </w:p>
    <w:p>
      <w:pPr>
        <w:numPr>
          <w:ilvl w:val="2"/>
          <w:numId w:val="1014"/>
        </w:numPr>
      </w:pPr>
      <w:r>
        <w:t xml:space="preserve">CKD Stage 2: N182</w:t>
      </w:r>
    </w:p>
    <w:p>
      <w:pPr>
        <w:numPr>
          <w:ilvl w:val="2"/>
          <w:numId w:val="1014"/>
        </w:numPr>
      </w:pPr>
      <w:r>
        <w:t xml:space="preserve">CKD Stage 3: N183, N1830, N1831, N1832</w:t>
      </w:r>
    </w:p>
    <w:p>
      <w:pPr>
        <w:numPr>
          <w:ilvl w:val="2"/>
          <w:numId w:val="1014"/>
        </w:numPr>
      </w:pPr>
      <w:r>
        <w:t xml:space="preserve">CKD Stage 4: N184</w:t>
      </w:r>
    </w:p>
    <w:p>
      <w:pPr>
        <w:numPr>
          <w:ilvl w:val="2"/>
          <w:numId w:val="1014"/>
        </w:numPr>
      </w:pPr>
      <w:r>
        <w:t xml:space="preserve">CKD Stage 5: N185</w:t>
      </w:r>
    </w:p>
    <w:p>
      <w:pPr>
        <w:numPr>
          <w:ilvl w:val="2"/>
          <w:numId w:val="1014"/>
        </w:numPr>
      </w:pPr>
      <w:r>
        <w:t xml:space="preserve">ESRD: N186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5"/>
        </w:numPr>
      </w:pPr>
      <w:r>
        <w:t xml:space="preserve">Standard comorbidities (from Elixhauser Index), using binary indicators:</w:t>
      </w:r>
    </w:p>
    <w:p>
      <w:pPr>
        <w:numPr>
          <w:ilvl w:val="2"/>
          <w:numId w:val="1015"/>
        </w:numPr>
      </w:pPr>
      <w:r>
        <w:t xml:space="preserve">Peripheral vascular disease</w:t>
      </w:r>
    </w:p>
    <w:p>
      <w:pPr>
        <w:numPr>
          <w:ilvl w:val="2"/>
          <w:numId w:val="1015"/>
        </w:numPr>
      </w:pPr>
      <w:r>
        <w:t xml:space="preserve">Chronic pulmonary disease</w:t>
      </w:r>
    </w:p>
    <w:p>
      <w:pPr>
        <w:numPr>
          <w:ilvl w:val="2"/>
          <w:numId w:val="1015"/>
        </w:numPr>
      </w:pPr>
      <w:r>
        <w:t xml:space="preserve">Diabetes mellitus</w:t>
      </w:r>
    </w:p>
    <w:p>
      <w:pPr>
        <w:numPr>
          <w:ilvl w:val="2"/>
          <w:numId w:val="1015"/>
        </w:numPr>
      </w:pPr>
      <w:r>
        <w:t xml:space="preserve">Hypertension</w:t>
      </w:r>
    </w:p>
    <w:p>
      <w:pPr>
        <w:numPr>
          <w:ilvl w:val="2"/>
          <w:numId w:val="1015"/>
        </w:numPr>
      </w:pPr>
      <w:r>
        <w:t xml:space="preserve">Renal failure</w:t>
      </w:r>
    </w:p>
    <w:p>
      <w:pPr>
        <w:numPr>
          <w:ilvl w:val="2"/>
          <w:numId w:val="1015"/>
        </w:numPr>
      </w:pPr>
      <w:r>
        <w:t xml:space="preserve">Obesity</w:t>
      </w:r>
    </w:p>
    <w:p>
      <w:pPr>
        <w:numPr>
          <w:ilvl w:val="2"/>
          <w:numId w:val="1015"/>
        </w:numPr>
      </w:pPr>
      <w:r>
        <w:t xml:space="preserve">Alcohol abuse</w:t>
      </w:r>
    </w:p>
    <w:p>
      <w:pPr>
        <w:numPr>
          <w:ilvl w:val="1"/>
          <w:numId w:val="1012"/>
        </w:numPr>
      </w:pPr>
      <w:r>
        <w:t xml:space="preserve">Additional clinical risk factors (non-Elixhauser)</w:t>
      </w:r>
    </w:p>
    <w:p>
      <w:pPr>
        <w:numPr>
          <w:ilvl w:val="2"/>
          <w:numId w:val="1016"/>
        </w:numPr>
      </w:pPr>
      <w:r>
        <w:t xml:space="preserve">Smoking</w:t>
      </w:r>
    </w:p>
    <w:p>
      <w:pPr>
        <w:numPr>
          <w:ilvl w:val="2"/>
          <w:numId w:val="1016"/>
        </w:numPr>
      </w:pPr>
      <w:r>
        <w:t xml:space="preserve">HIV</w:t>
      </w:r>
    </w:p>
    <w:p>
      <w:pPr>
        <w:numPr>
          <w:ilvl w:val="2"/>
          <w:numId w:val="1016"/>
        </w:numPr>
      </w:pPr>
      <w:r>
        <w:t xml:space="preserve">Previous Myocardial Infarction</w:t>
      </w:r>
    </w:p>
    <w:p>
      <w:pPr>
        <w:numPr>
          <w:ilvl w:val="2"/>
          <w:numId w:val="1016"/>
        </w:numPr>
      </w:pPr>
      <w:r>
        <w:t xml:space="preserve">Atrial fibrillation</w:t>
      </w:r>
    </w:p>
    <w:p>
      <w:pPr>
        <w:numPr>
          <w:ilvl w:val="2"/>
          <w:numId w:val="1016"/>
        </w:numPr>
      </w:pPr>
      <w:r>
        <w:t xml:space="preserve">Hyperlipidemia</w:t>
      </w:r>
    </w:p>
    <w:p>
      <w:pPr>
        <w:numPr>
          <w:ilvl w:val="2"/>
          <w:numId w:val="1016"/>
        </w:numPr>
      </w:pPr>
      <w:r>
        <w:t xml:space="preserve">Previous stroke</w:t>
      </w:r>
    </w:p>
    <w:p>
      <w:pPr>
        <w:numPr>
          <w:ilvl w:val="1"/>
          <w:numId w:val="1012"/>
        </w:numPr>
      </w:pPr>
      <w:r>
        <w:t xml:space="preserve">Acute complications identified via ICD-10 code matching:</w:t>
      </w:r>
    </w:p>
    <w:p>
      <w:pPr>
        <w:numPr>
          <w:ilvl w:val="2"/>
          <w:numId w:val="1017"/>
        </w:numPr>
      </w:pPr>
      <w:r>
        <w:t xml:space="preserve">Acute Kidney Injury (AKI)</w:t>
      </w:r>
    </w:p>
    <w:p>
      <w:pPr>
        <w:numPr>
          <w:ilvl w:val="2"/>
          <w:numId w:val="1017"/>
        </w:numPr>
      </w:pPr>
      <w:r>
        <w:t xml:space="preserve">Cardiogenic Shock (CS)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8"/>
        </w:numPr>
      </w:pPr>
      <w:r>
        <w:t xml:space="preserve">Hospital bed size (Small, Medium, Large)</w:t>
      </w:r>
    </w:p>
    <w:p>
      <w:pPr>
        <w:numPr>
          <w:ilvl w:val="2"/>
          <w:numId w:val="1018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9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9"/>
        </w:numPr>
      </w:pPr>
      <w:r>
        <w:t xml:space="preserve">Length of stay (continuous variable)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0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1"/>
        </w:numPr>
      </w:pPr>
      <w:r>
        <w:t xml:space="preserve">All analyses incorporated NRD’s complex sampling design using discharge weights (DISCWT), strata (NRD_STRATUM), and clustering (HOSP_NRD) via the survey and srvyr packages.</w:t>
      </w:r>
    </w:p>
    <w:p>
      <w:pPr>
        <w:numPr>
          <w:ilvl w:val="1"/>
          <w:numId w:val="1020"/>
        </w:numPr>
      </w:pPr>
      <w:r>
        <w:t xml:space="preserve">Descriptive Statistics:</w:t>
      </w:r>
    </w:p>
    <w:p>
      <w:pPr>
        <w:numPr>
          <w:ilvl w:val="2"/>
          <w:numId w:val="1022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22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3"/>
        </w:numPr>
      </w:pPr>
      <w:r>
        <w:t xml:space="preserve">With 30-day readmission</w:t>
      </w:r>
    </w:p>
    <w:p>
      <w:pPr>
        <w:numPr>
          <w:ilvl w:val="3"/>
          <w:numId w:val="1023"/>
        </w:numPr>
      </w:pPr>
      <w:r>
        <w:t xml:space="preserve">Without readmission</w:t>
      </w:r>
    </w:p>
    <w:p>
      <w:pPr>
        <w:numPr>
          <w:ilvl w:val="2"/>
          <w:numId w:val="1022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0"/>
        </w:numPr>
      </w:pPr>
      <w:r>
        <w:t xml:space="preserve">Multivariable Regression:</w:t>
      </w:r>
    </w:p>
    <w:p>
      <w:pPr>
        <w:numPr>
          <w:ilvl w:val="2"/>
          <w:numId w:val="1024"/>
        </w:numPr>
      </w:pPr>
      <w:r>
        <w:t xml:space="preserve">A survey-weighted Cox proportional hazards model estimated predictors of 30-day readmission.</w:t>
      </w:r>
    </w:p>
    <w:p>
      <w:pPr>
        <w:numPr>
          <w:ilvl w:val="2"/>
          <w:numId w:val="1024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4"/>
        </w:numPr>
      </w:pPr>
      <w:r>
        <w:t xml:space="preserve">Reference levels were explicitly set (e.g., Male, CKD Stage).</w:t>
      </w:r>
    </w:p>
    <w:p>
      <w:pPr>
        <w:numPr>
          <w:ilvl w:val="2"/>
          <w:numId w:val="1024"/>
        </w:numPr>
      </w:pPr>
      <w:r>
        <w:t xml:space="preserve">Results were exponentiated to yield hazard ratios (HRs)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2"/>
    <w:bookmarkStart w:id="27" w:name="descriptive-statistics"/>
    <w:p>
      <w:pPr>
        <w:pStyle w:val="Heading2"/>
      </w:pPr>
      <w:r>
        <w:t xml:space="preserve">Descriptive Statistics:</w:t>
      </w:r>
    </w:p>
    <w:bookmarkStart w:id="23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Readmission (n): 75370</w:t>
      </w:r>
    </w:p>
    <w:p>
      <w:pPr>
        <w:numPr>
          <w:ilvl w:val="0"/>
          <w:numId w:val="1025"/>
        </w:numPr>
      </w:pPr>
      <w:r>
        <w:t xml:space="preserve">Readmission Rate (%): 20.92%</w:t>
      </w:r>
    </w:p>
    <w:p>
      <w:pPr>
        <w:numPr>
          <w:ilvl w:val="0"/>
          <w:numId w:val="1025"/>
        </w:numPr>
      </w:pPr>
      <w:r>
        <w:t xml:space="preserve">Readmission Rate (95% CI): 20.65% to 21.19%</w:t>
      </w:r>
    </w:p>
    <w:bookmarkEnd w:id="23"/>
    <w:bookmarkStart w:id="24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6"/>
        </w:numPr>
      </w:pPr>
      <w:r>
        <w:t xml:space="preserve">Deaths (n): 12453</w:t>
      </w:r>
    </w:p>
    <w:p>
      <w:pPr>
        <w:numPr>
          <w:ilvl w:val="0"/>
          <w:numId w:val="1026"/>
        </w:numPr>
      </w:pPr>
      <w:r>
        <w:t xml:space="preserve">Death Rate (%): 3.46%</w:t>
      </w:r>
    </w:p>
    <w:p>
      <w:pPr>
        <w:numPr>
          <w:ilvl w:val="0"/>
          <w:numId w:val="1026"/>
        </w:numPr>
      </w:pPr>
      <w:r>
        <w:t xml:space="preserve">Death Rate (95% CI): 3.34% to 3.58%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7"/>
        </w:numPr>
      </w:pPr>
      <w:r>
        <w:t xml:space="preserve">Deaths (n): 5233</w:t>
      </w:r>
    </w:p>
    <w:p>
      <w:pPr>
        <w:numPr>
          <w:ilvl w:val="0"/>
          <w:numId w:val="1027"/>
        </w:numPr>
      </w:pPr>
      <w:r>
        <w:t xml:space="preserve">Death Rate (%): 6.97%</w:t>
      </w:r>
    </w:p>
    <w:p>
      <w:pPr>
        <w:numPr>
          <w:ilvl w:val="0"/>
          <w:numId w:val="1027"/>
        </w:numPr>
      </w:pPr>
      <w:r>
        <w:t xml:space="preserve">Death Rate (95% CI): 6.67% to 7.27%</w:t>
      </w:r>
    </w:p>
    <w:bookmarkEnd w:id="24"/>
    <w:bookmarkStart w:id="25" w:name="Xc92795d218a18a08b782549db35c1e78e1207d9"/>
    <w:p>
      <w:pPr>
        <w:pStyle w:val="Heading3"/>
      </w:pPr>
      <w:r>
        <w:t xml:space="preserve">Resource Utilization During Index Admission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8"/>
        </w:numPr>
      </w:pPr>
      <w:r>
        <w:t xml:space="preserve">Median Length of Stay (IQR), days: 4 (IQR: 3–7)</w:t>
      </w:r>
    </w:p>
    <w:p>
      <w:pPr>
        <w:numPr>
          <w:ilvl w:val="0"/>
          <w:numId w:val="1028"/>
        </w:numPr>
      </w:pPr>
      <w:r>
        <w:t xml:space="preserve">Median Total Charges (IQR): $29,531 (IQR: $17,147–$54,195)</w:t>
      </w:r>
    </w:p>
    <w:bookmarkEnd w:id="25"/>
    <w:bookmarkStart w:id="26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9"/>
        </w:numPr>
      </w:pPr>
      <w:r>
        <w:t xml:space="preserve">Median Length of Stay (IQR), days: 4 (IQR: 3–7)</w:t>
      </w:r>
    </w:p>
    <w:p>
      <w:pPr>
        <w:numPr>
          <w:ilvl w:val="0"/>
          <w:numId w:val="1029"/>
        </w:numPr>
      </w:pPr>
      <w:r>
        <w:t xml:space="preserve">Median Total Charges (IQR): $32,448 (IQR: $17,854–$62,786)</w:t>
      </w:r>
    </w:p>
    <w:bookmarkEnd w:id="26"/>
    <w:bookmarkEnd w:id="27"/>
    <w:bookmarkStart w:id="28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284,887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75,371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360,258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156,645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41,591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198,236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128,242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33,780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162,022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88,329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26,324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114,653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75,312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19,693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95,005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68,574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85,329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48,981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60,594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216,948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56,855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273,803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67,939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18,516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86,454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50,781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12,908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63,689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154,518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41,220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195,738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79,588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21,243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100,831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77,301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20,352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97,653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177,862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47,269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225,131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29,724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7,749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37,474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77,567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18,812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96,379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153,387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43,145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196,533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22,577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7,683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30,261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72,817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94,233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8,592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2,336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10,928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156,045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40,662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196,707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Transient ischemic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51,021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1,109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12,684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3,084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15,768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136,636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34,019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170,655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46,547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12,885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59,432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4,591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5,831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28,096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37,601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6,038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7,937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1,590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47,762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60,943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138,482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35,909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174,391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65,690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17,579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83,269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113,846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33,876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147,721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13,074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4,182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17,256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7,422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1,382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8,804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121,860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154,290 (43%)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Xc3dd9450622ca6a79fdfe146281f7a6f8e6031c"/>
    <w:p>
      <w:pPr>
        <w:pStyle w:val="Heading3"/>
      </w:pPr>
      <w:r>
        <w:t xml:space="preserve">Multivariable Predictors of 30-Day Readmission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(2990) clusters.</w:t>
      </w:r>
      <w:r>
        <w:br/>
      </w:r>
      <w:r>
        <w:rPr>
          <w:rStyle w:val="VerbatimChar"/>
        </w:rPr>
        <w:t xml:space="preserve">subset(nrd_design, IndexEvent == 1)</w:t>
      </w:r>
      <w:r>
        <w:br/>
      </w:r>
      <w:r>
        <w:rPr>
          <w:rStyle w:val="VerbatimChar"/>
        </w:rPr>
        <w:t xml:space="preserve">Sampling variables:</w:t>
      </w:r>
      <w:r>
        <w:br/>
      </w:r>
      <w:r>
        <w:rPr>
          <w:rStyle w:val="VerbatimChar"/>
        </w:rPr>
        <w:t xml:space="preserve">  - ids: HOSP_NRD </w:t>
      </w:r>
      <w:r>
        <w:br/>
      </w:r>
      <w:r>
        <w:rPr>
          <w:rStyle w:val="VerbatimChar"/>
        </w:rPr>
        <w:t xml:space="preserve">  - strata: NRD_STRATUM </w:t>
      </w:r>
      <w:r>
        <w:br/>
      </w:r>
      <w:r>
        <w:rPr>
          <w:rStyle w:val="VerbatimChar"/>
        </w:rPr>
        <w:t xml:space="preserve">  - weights: DISCWT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Index 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Transient ischemic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bookmarkEnd w:id="29"/>
    <w:bookmarkEnd w:id="30"/>
    <w:bookmarkStart w:id="31" w:name="top-causes-of-readmissions"/>
    <w:p>
      <w:pPr>
        <w:pStyle w:val="Heading2"/>
      </w:pPr>
      <w:r>
        <w:t xml:space="preserve">Top Causes of Readmissions</w:t>
      </w:r>
    </w:p>
    <w:p>
      <w:pPr>
        <w:pStyle w:val="FirstParagraph"/>
      </w:pPr>
      <w:r>
        <w:t xml:space="preserve">Top 10 causes of 30-day re-admissions among CKD patients who had an index hospitalization for heart failure.</w:t>
      </w:r>
    </w:p>
    <w:p>
      <w:pPr>
        <w:pStyle w:val="TableCaption"/>
      </w:pPr>
      <w:r>
        <w:t xml:space="preserve">Top 10 Diagnoses by Weighted Proportion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10 Diagnoses by Weighted Proportion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0.1148964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0.0588748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0.0416590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0.0209110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0.0203388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0.0193433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0.0163273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ajconline.org/article/S0002-9149(23)00359-4/fulltext" TargetMode="External" /><Relationship Type="http://schemas.openxmlformats.org/officeDocument/2006/relationships/hyperlink" Id="rId20" Target="https://www.jtcvsopen.org/article/S2666-2736(22)00350-3/fullte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ajconline.org/article/S0002-9149(23)00359-4/fulltext" TargetMode="External" /><Relationship Type="http://schemas.openxmlformats.org/officeDocument/2006/relationships/hyperlink" Id="rId20" Target="https://www.jtcvsopen.org/article/S2666-2736(22)00350-3/fullte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30-day Readmissions in Patients With Heart Failure and Chronic Kidney Disease: Insights From the 2016–2017 Nationwide Readmissions Database</dc:title>
  <dc:creator>Mariam Shahabi</dc:creator>
  <cp:keywords/>
  <dcterms:created xsi:type="dcterms:W3CDTF">2025-07-31T06:01:27Z</dcterms:created>
  <dcterms:modified xsi:type="dcterms:W3CDTF">2025-07-31T06:01:27Z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NRD June A16</vt:lpwstr>
  </property>
  <property fmtid="{D5CDD505-2E9C-101B-9397-08002B2CF9AE}" pid="12" name="toc-title">
    <vt:lpwstr>Table of contents</vt:lpwstr>
  </property>
</Properties>
</file>