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 of Chronic Kidney Disease on Clinical Outcomes and Resource Utilization in Hematopoietic Stem Cell Transplantation: Insights from the Nationwide Readmissions Database</w:t>
      </w:r>
    </w:p>
    <w:p>
      <w:pPr>
        <w:pStyle w:val="Subtitle"/>
      </w:pPr>
      <w:r>
        <w:t xml:space="preserve">Analysis for NRD Sep B5</w:t>
      </w:r>
    </w:p>
    <w:p>
      <w:pPr>
        <w:pStyle w:val="Author"/>
      </w:pPr>
      <w:r>
        <w:t xml:space="preserve">Mariam Shahabi</w:t>
      </w:r>
    </w:p>
    <w:p>
      <w:pPr>
        <w:pStyle w:val="Author"/>
      </w:pPr>
      <w:r>
        <w:t xml:space="preserve">Aimen Shafiq</w:t>
      </w:r>
    </w:p>
    <w:bookmarkStart w:id="23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Reference Studies:</w:t>
      </w:r>
    </w:p>
    <w:p>
      <w:pPr>
        <w:numPr>
          <w:ilvl w:val="1"/>
          <w:numId w:val="1002"/>
        </w:numPr>
      </w:pPr>
      <w:hyperlink r:id="rId20">
        <w:r>
          <w:rPr>
            <w:rStyle w:val="Hyperlink"/>
          </w:rPr>
          <w:t xml:space="preserve">Zhang et al., 2024</w:t>
        </w:r>
      </w:hyperlink>
    </w:p>
    <w:p>
      <w:pPr>
        <w:numPr>
          <w:ilvl w:val="1"/>
          <w:numId w:val="1002"/>
        </w:numPr>
      </w:pPr>
      <w:hyperlink r:id="rId21">
        <w:r>
          <w:rPr>
            <w:rStyle w:val="Hyperlink"/>
          </w:rPr>
          <w:t xml:space="preserve">Dhakal et al., 2019</w:t>
        </w:r>
      </w:hyperlink>
    </w:p>
    <w:p>
      <w:pPr>
        <w:numPr>
          <w:ilvl w:val="1"/>
          <w:numId w:val="1002"/>
        </w:numPr>
      </w:pPr>
      <w:hyperlink r:id="rId22">
        <w:r>
          <w:rPr>
            <w:rStyle w:val="Hyperlink"/>
          </w:rPr>
          <w:t xml:space="preserve">Din et al., 2024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Study Objective:</w:t>
      </w:r>
    </w:p>
    <w:p>
      <w:pPr>
        <w:numPr>
          <w:ilvl w:val="0"/>
          <w:numId w:val="1000"/>
        </w:numPr>
      </w:pPr>
      <w:r>
        <w:t xml:space="preserve">To study the impact of chronic kidney disease on 30-day all-cause hospital readmission among adults undergoing hematopoietic stem cell transplant (HSCT) using a nationally representative dataset. This study also evaluates the clinical and economic burden of readmission in the HSCT population, including in-hospital mortality, length of stay (LOS), and hospital charges.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Source:</w:t>
      </w:r>
    </w:p>
    <w:p>
      <w:pPr>
        <w:numPr>
          <w:ilvl w:val="0"/>
          <w:numId w:val="1000"/>
        </w:numPr>
      </w:pPr>
      <w:r>
        <w:t xml:space="preserve">A retrospective cohort study using the 2016–2017 Nationwide Readmissions Database (NRD), developed by the Healthcare Cost and Utilization Project (HCUP). The NRD enables tracking of individual patients across hospitalizations within a given year via synthetic identifiers, capturing discharges from U.S. community hospitals and supporting survey-weighted national estimates through complex sampling design.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Cohort Definition:</w:t>
      </w:r>
    </w:p>
    <w:p>
      <w:pPr>
        <w:numPr>
          <w:ilvl w:val="0"/>
          <w:numId w:val="1000"/>
        </w:numPr>
      </w:pPr>
      <w:r>
        <w:t xml:space="preserve">Index hospitalizations were included if they met all of the following criteria:</w:t>
      </w:r>
    </w:p>
    <w:p>
      <w:pPr>
        <w:numPr>
          <w:ilvl w:val="1"/>
          <w:numId w:val="1003"/>
        </w:numPr>
      </w:pPr>
      <w:r>
        <w:t xml:space="preserve">Adults aged ≥18 years</w:t>
      </w:r>
    </w:p>
    <w:p>
      <w:pPr>
        <w:numPr>
          <w:ilvl w:val="1"/>
          <w:numId w:val="1003"/>
        </w:numPr>
      </w:pPr>
      <w:r>
        <w:t xml:space="preserve">Procedural diagnosis of autogenic or allogenic HSCT, identified by ICD-10 codes.</w:t>
      </w:r>
    </w:p>
    <w:p>
      <w:pPr>
        <w:numPr>
          <w:ilvl w:val="1"/>
          <w:numId w:val="1003"/>
        </w:numPr>
      </w:pPr>
      <w:r>
        <w:t xml:space="preserve">Non-elective admission</w:t>
      </w:r>
    </w:p>
    <w:p>
      <w:pPr>
        <w:numPr>
          <w:ilvl w:val="1"/>
          <w:numId w:val="1003"/>
        </w:numPr>
      </w:pPr>
      <w:r>
        <w:t xml:space="preserve">Index discharge by the end of November to allow for a complete 30-day follow-up period</w:t>
      </w:r>
    </w:p>
    <w:p>
      <w:pPr>
        <w:numPr>
          <w:ilvl w:val="1"/>
          <w:numId w:val="1003"/>
        </w:numPr>
      </w:pPr>
      <w:r>
        <w:t xml:space="preserve">Complete data on LOS and NRD_DAYSTOEVENT, required to compute discharge dates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Outcomes of Interest:</w:t>
      </w:r>
    </w:p>
    <w:p>
      <w:pPr>
        <w:numPr>
          <w:ilvl w:val="1"/>
          <w:numId w:val="1004"/>
        </w:numPr>
      </w:pPr>
      <w:r>
        <w:t xml:space="preserve">Primary Outcome:</w:t>
      </w:r>
    </w:p>
    <w:p>
      <w:pPr>
        <w:pStyle w:val="Compact"/>
        <w:numPr>
          <w:ilvl w:val="2"/>
          <w:numId w:val="1005"/>
        </w:numPr>
      </w:pPr>
      <w:r>
        <w:t xml:space="preserve">Binary indicator of 30-day readmission (Yes/No)</w:t>
      </w:r>
    </w:p>
    <w:p>
      <w:pPr>
        <w:numPr>
          <w:ilvl w:val="1"/>
          <w:numId w:val="1004"/>
        </w:numPr>
      </w:pPr>
      <w:r>
        <w:t xml:space="preserve">Secondary Outcomes:</w:t>
      </w:r>
    </w:p>
    <w:p>
      <w:pPr>
        <w:numPr>
          <w:ilvl w:val="2"/>
          <w:numId w:val="1006"/>
        </w:numPr>
      </w:pPr>
      <w:r>
        <w:t xml:space="preserve">In-hospital mortality (binary)</w:t>
      </w:r>
    </w:p>
    <w:p>
      <w:pPr>
        <w:numPr>
          <w:ilvl w:val="2"/>
          <w:numId w:val="1006"/>
        </w:numPr>
      </w:pPr>
      <w:r>
        <w:t xml:space="preserve">Length of stay (LOS, in days)</w:t>
      </w:r>
    </w:p>
    <w:p>
      <w:pPr>
        <w:numPr>
          <w:ilvl w:val="2"/>
          <w:numId w:val="1006"/>
        </w:numPr>
      </w:pPr>
      <w:r>
        <w:t xml:space="preserve">Total hospitalization charges (inflation-adjusted to 2017 USD)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 Definitions:</w:t>
      </w:r>
    </w:p>
    <w:p>
      <w:pPr>
        <w:numPr>
          <w:ilvl w:val="1"/>
          <w:numId w:val="1007"/>
        </w:numPr>
      </w:pPr>
      <w:r>
        <w:t xml:space="preserve">Readmission:</w:t>
      </w:r>
    </w:p>
    <w:p>
      <w:pPr>
        <w:numPr>
          <w:ilvl w:val="2"/>
          <w:numId w:val="1008"/>
        </w:numPr>
      </w:pPr>
      <w:r>
        <w:t xml:space="preserve">Defined using NRD’s linkage variables. Readmissions were identified only among patients with qualifying index events.</w:t>
      </w:r>
    </w:p>
    <w:p>
      <w:pPr>
        <w:numPr>
          <w:ilvl w:val="2"/>
          <w:numId w:val="1008"/>
        </w:numPr>
      </w:pPr>
      <w:r>
        <w:t xml:space="preserve">Trauma-related hospitalizations were excluded only from the readmission pool to avoid planned or injury-related returns unrelated to HSCT.</w:t>
      </w:r>
    </w:p>
    <w:p>
      <w:pPr>
        <w:numPr>
          <w:ilvl w:val="1"/>
          <w:numId w:val="1007"/>
        </w:numPr>
      </w:pPr>
      <w:r>
        <w:t xml:space="preserve">Mortality:</w:t>
      </w:r>
    </w:p>
    <w:p>
      <w:pPr>
        <w:pStyle w:val="Compact"/>
        <w:numPr>
          <w:ilvl w:val="2"/>
          <w:numId w:val="1009"/>
        </w:numPr>
      </w:pPr>
      <w:r>
        <w:t xml:space="preserve">In-hospital death recorded during index or readmission (DIED = 1)</w:t>
      </w:r>
    </w:p>
    <w:p>
      <w:pPr>
        <w:numPr>
          <w:ilvl w:val="1"/>
          <w:numId w:val="1007"/>
        </w:numPr>
      </w:pPr>
      <w:r>
        <w:t xml:space="preserve">LOS:</w:t>
      </w:r>
    </w:p>
    <w:p>
      <w:pPr>
        <w:pStyle w:val="Compact"/>
        <w:numPr>
          <w:ilvl w:val="2"/>
          <w:numId w:val="1010"/>
        </w:numPr>
      </w:pPr>
      <w:r>
        <w:t xml:space="preserve">Reported in days; modeled as count outcome</w:t>
      </w:r>
    </w:p>
    <w:p>
      <w:pPr>
        <w:numPr>
          <w:ilvl w:val="1"/>
          <w:numId w:val="1007"/>
        </w:numPr>
      </w:pPr>
      <w:r>
        <w:t xml:space="preserve">Cost:</w:t>
      </w:r>
    </w:p>
    <w:p>
      <w:pPr>
        <w:pStyle w:val="Compact"/>
        <w:numPr>
          <w:ilvl w:val="2"/>
          <w:numId w:val="1011"/>
        </w:numPr>
      </w:pPr>
      <w:r>
        <w:t xml:space="preserve">Derived from HCUP’s TOTCHG variable and adjusted to 2017 dollars using Consumer Price Index (CPI) data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Covariates and Variable Construction:</w:t>
      </w:r>
    </w:p>
    <w:p>
      <w:pPr>
        <w:numPr>
          <w:ilvl w:val="1"/>
          <w:numId w:val="1012"/>
        </w:numPr>
      </w:pPr>
      <w:r>
        <w:t xml:space="preserve">Study-specific covariates:</w:t>
      </w:r>
    </w:p>
    <w:p>
      <w:pPr>
        <w:numPr>
          <w:ilvl w:val="2"/>
          <w:numId w:val="1013"/>
        </w:numPr>
      </w:pPr>
      <w:r>
        <w:t xml:space="preserve">CKD/no CKD</w:t>
      </w:r>
    </w:p>
    <w:p>
      <w:pPr>
        <w:numPr>
          <w:ilvl w:val="2"/>
          <w:numId w:val="1013"/>
        </w:numPr>
      </w:pPr>
      <w:r>
        <w:t xml:space="preserve">HSCT type (auto-HSCT vs allo-HSCT)</w:t>
      </w:r>
    </w:p>
    <w:p>
      <w:pPr>
        <w:numPr>
          <w:ilvl w:val="2"/>
          <w:numId w:val="1013"/>
        </w:numPr>
      </w:pPr>
      <w:r>
        <w:t xml:space="preserve">Sepsis or infection (during index admission)</w:t>
      </w:r>
    </w:p>
    <w:p>
      <w:pPr>
        <w:numPr>
          <w:ilvl w:val="2"/>
          <w:numId w:val="1013"/>
        </w:numPr>
      </w:pPr>
      <w:r>
        <w:t xml:space="preserve">Graft vs host disease</w:t>
      </w:r>
    </w:p>
    <w:p>
      <w:pPr>
        <w:numPr>
          <w:ilvl w:val="2"/>
          <w:numId w:val="1013"/>
        </w:numPr>
      </w:pPr>
      <w:r>
        <w:t xml:space="preserve">Acute kidney injury</w:t>
      </w:r>
    </w:p>
    <w:p>
      <w:pPr>
        <w:numPr>
          <w:ilvl w:val="1"/>
          <w:numId w:val="1012"/>
        </w:numPr>
      </w:pPr>
      <w:r>
        <w:t xml:space="preserve">Demographic &amp; Socioeconomic Factors:</w:t>
      </w:r>
    </w:p>
    <w:p>
      <w:pPr>
        <w:numPr>
          <w:ilvl w:val="2"/>
          <w:numId w:val="1014"/>
        </w:numPr>
      </w:pPr>
      <w:r>
        <w:t xml:space="preserve">Sex (FEMALE; ref = Male)</w:t>
      </w:r>
    </w:p>
    <w:p>
      <w:pPr>
        <w:numPr>
          <w:ilvl w:val="2"/>
          <w:numId w:val="1014"/>
        </w:numPr>
      </w:pPr>
      <w:r>
        <w:t xml:space="preserve">Primary expected payer (Insurance; Medicare, Medicaid, Private, Other)</w:t>
      </w:r>
    </w:p>
    <w:p>
      <w:pPr>
        <w:numPr>
          <w:ilvl w:val="2"/>
          <w:numId w:val="1014"/>
        </w:numPr>
      </w:pPr>
      <w:r>
        <w:t xml:space="preserve">ZIP-based median income quartile (ZIPINC_QRTL)</w:t>
      </w:r>
    </w:p>
    <w:p>
      <w:pPr>
        <w:numPr>
          <w:ilvl w:val="2"/>
          <w:numId w:val="1014"/>
        </w:numPr>
      </w:pPr>
      <w:r>
        <w:t xml:space="preserve">Weekend admission (AWEEKEND)</w:t>
      </w:r>
    </w:p>
    <w:p>
      <w:pPr>
        <w:numPr>
          <w:ilvl w:val="1"/>
          <w:numId w:val="1012"/>
        </w:numPr>
      </w:pPr>
      <w:r>
        <w:t xml:space="preserve">Clinical Characteristics:</w:t>
      </w:r>
    </w:p>
    <w:p>
      <w:pPr>
        <w:numPr>
          <w:ilvl w:val="2"/>
          <w:numId w:val="1015"/>
        </w:numPr>
      </w:pPr>
      <w:r>
        <w:t xml:space="preserve">Standard comorbidities (from Elixhauser Index), using binary indicators:</w:t>
      </w:r>
    </w:p>
    <w:p>
      <w:pPr>
        <w:numPr>
          <w:ilvl w:val="2"/>
          <w:numId w:val="1015"/>
        </w:numPr>
      </w:pPr>
      <w:r>
        <w:t xml:space="preserve">Peripheral vascular disease</w:t>
      </w:r>
    </w:p>
    <w:p>
      <w:pPr>
        <w:numPr>
          <w:ilvl w:val="2"/>
          <w:numId w:val="1015"/>
        </w:numPr>
      </w:pPr>
      <w:r>
        <w:t xml:space="preserve">Diabetes mellitus</w:t>
      </w:r>
    </w:p>
    <w:p>
      <w:pPr>
        <w:numPr>
          <w:ilvl w:val="2"/>
          <w:numId w:val="1015"/>
        </w:numPr>
      </w:pPr>
      <w:r>
        <w:t xml:space="preserve">Hypertension</w:t>
      </w:r>
      <w:r>
        <w:br/>
      </w:r>
    </w:p>
    <w:p>
      <w:pPr>
        <w:numPr>
          <w:ilvl w:val="2"/>
          <w:numId w:val="1015"/>
        </w:numPr>
      </w:pPr>
      <w:r>
        <w:t xml:space="preserve">Obesity</w:t>
      </w:r>
    </w:p>
    <w:p>
      <w:pPr>
        <w:numPr>
          <w:ilvl w:val="2"/>
          <w:numId w:val="1015"/>
        </w:numPr>
      </w:pPr>
      <w:r>
        <w:t xml:space="preserve">Alcohol abuse</w:t>
      </w:r>
    </w:p>
    <w:p>
      <w:pPr>
        <w:numPr>
          <w:ilvl w:val="1"/>
          <w:numId w:val="1012"/>
        </w:numPr>
      </w:pPr>
      <w:r>
        <w:t xml:space="preserve">Additional clinical risk factors (non-Elixhauser)</w:t>
      </w:r>
    </w:p>
    <w:p>
      <w:pPr>
        <w:numPr>
          <w:ilvl w:val="2"/>
          <w:numId w:val="1016"/>
        </w:numPr>
      </w:pPr>
      <w:r>
        <w:t xml:space="preserve">Smoking</w:t>
      </w:r>
    </w:p>
    <w:p>
      <w:pPr>
        <w:numPr>
          <w:ilvl w:val="2"/>
          <w:numId w:val="1016"/>
        </w:numPr>
      </w:pPr>
      <w:r>
        <w:t xml:space="preserve">HIV</w:t>
      </w:r>
    </w:p>
    <w:p>
      <w:pPr>
        <w:numPr>
          <w:ilvl w:val="2"/>
          <w:numId w:val="1016"/>
        </w:numPr>
      </w:pPr>
      <w:r>
        <w:t xml:space="preserve">Previous Myocardial Infarction</w:t>
      </w:r>
    </w:p>
    <w:p>
      <w:pPr>
        <w:numPr>
          <w:ilvl w:val="2"/>
          <w:numId w:val="1016"/>
        </w:numPr>
      </w:pPr>
      <w:r>
        <w:t xml:space="preserve">Hyperlipidemia</w:t>
      </w:r>
    </w:p>
    <w:p>
      <w:pPr>
        <w:numPr>
          <w:ilvl w:val="2"/>
          <w:numId w:val="1016"/>
        </w:numPr>
      </w:pPr>
      <w:r>
        <w:t xml:space="preserve">Previous stroke</w:t>
      </w:r>
    </w:p>
    <w:p>
      <w:pPr>
        <w:numPr>
          <w:ilvl w:val="1"/>
          <w:numId w:val="1012"/>
        </w:numPr>
      </w:pPr>
      <w:r>
        <w:t xml:space="preserve">Acute complications identified via ICD-10 code matching:</w:t>
      </w:r>
    </w:p>
    <w:p>
      <w:pPr>
        <w:pStyle w:val="Compact"/>
        <w:numPr>
          <w:ilvl w:val="2"/>
          <w:numId w:val="1017"/>
        </w:numPr>
      </w:pPr>
      <w:r>
        <w:t xml:space="preserve">Acute Kidney Injury (AKI)</w:t>
      </w:r>
    </w:p>
    <w:p>
      <w:pPr>
        <w:numPr>
          <w:ilvl w:val="1"/>
          <w:numId w:val="1012"/>
        </w:numPr>
      </w:pPr>
      <w:r>
        <w:t xml:space="preserve">Hospital Characteristics:</w:t>
      </w:r>
    </w:p>
    <w:p>
      <w:pPr>
        <w:numPr>
          <w:ilvl w:val="2"/>
          <w:numId w:val="1018"/>
        </w:numPr>
      </w:pPr>
      <w:r>
        <w:t xml:space="preserve">Hospital bed size (Small, Medium, Large)</w:t>
      </w:r>
    </w:p>
    <w:p>
      <w:pPr>
        <w:numPr>
          <w:ilvl w:val="2"/>
          <w:numId w:val="1018"/>
        </w:numPr>
      </w:pPr>
      <w:r>
        <w:t xml:space="preserve">Urban/rural teaching status (Metropolitan, teaching vs non-teaching, etc.)</w:t>
      </w:r>
    </w:p>
    <w:p>
      <w:pPr>
        <w:numPr>
          <w:ilvl w:val="1"/>
          <w:numId w:val="1012"/>
        </w:numPr>
      </w:pPr>
      <w:r>
        <w:t xml:space="preserve">Disposition and Severity:</w:t>
      </w:r>
    </w:p>
    <w:p>
      <w:pPr>
        <w:numPr>
          <w:ilvl w:val="2"/>
          <w:numId w:val="1019"/>
        </w:numPr>
      </w:pPr>
      <w:r>
        <w:t xml:space="preserve">Non-home discharge (e.g., SNF, hospice, other facilities, or death)</w:t>
      </w:r>
    </w:p>
    <w:p>
      <w:pPr>
        <w:numPr>
          <w:ilvl w:val="2"/>
          <w:numId w:val="1019"/>
        </w:numPr>
      </w:pPr>
      <w:r>
        <w:t xml:space="preserve">Length of stay (continuous variable)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Statistical Methods:</w:t>
      </w:r>
    </w:p>
    <w:p>
      <w:pPr>
        <w:numPr>
          <w:ilvl w:val="1"/>
          <w:numId w:val="1020"/>
        </w:numPr>
      </w:pPr>
      <w:r>
        <w:t xml:space="preserve">Survey Design and Weighting:</w:t>
      </w:r>
    </w:p>
    <w:p>
      <w:pPr>
        <w:pStyle w:val="Compact"/>
        <w:numPr>
          <w:ilvl w:val="2"/>
          <w:numId w:val="1021"/>
        </w:numPr>
      </w:pPr>
      <w:r>
        <w:t xml:space="preserve">All analyses incorporated NRD’s complex sampling design using discharge weights (DISCWT), strata (NRD_STRATUM), and clustering (HOSP_NRD) via the survey and srvyr packages.</w:t>
      </w:r>
    </w:p>
    <w:p>
      <w:pPr>
        <w:numPr>
          <w:ilvl w:val="1"/>
          <w:numId w:val="1020"/>
        </w:numPr>
      </w:pPr>
      <w:r>
        <w:t xml:space="preserve">Descriptive Statistics:</w:t>
      </w:r>
    </w:p>
    <w:p>
      <w:pPr>
        <w:numPr>
          <w:ilvl w:val="2"/>
          <w:numId w:val="1022"/>
        </w:numPr>
      </w:pPr>
      <w:r>
        <w:t xml:space="preserve">Weighted baseline characteristics of index hospitalizations were summarized and stratified by 30-day readmission status to compare patients who were readmitted versus those who were not.</w:t>
      </w:r>
    </w:p>
    <w:p>
      <w:pPr>
        <w:numPr>
          <w:ilvl w:val="2"/>
          <w:numId w:val="1022"/>
        </w:numPr>
      </w:pPr>
      <w:r>
        <w:t xml:space="preserve">Stratification was performed using a derived binary variable, which categorized patients as:</w:t>
      </w:r>
    </w:p>
    <w:p>
      <w:pPr>
        <w:numPr>
          <w:ilvl w:val="3"/>
          <w:numId w:val="1023"/>
        </w:numPr>
      </w:pPr>
      <w:r>
        <w:t xml:space="preserve">With CKD</w:t>
      </w:r>
    </w:p>
    <w:p>
      <w:pPr>
        <w:numPr>
          <w:ilvl w:val="3"/>
          <w:numId w:val="1023"/>
        </w:numPr>
      </w:pPr>
      <w:r>
        <w:t xml:space="preserve">Without CKD</w:t>
      </w:r>
    </w:p>
    <w:p>
      <w:pPr>
        <w:numPr>
          <w:ilvl w:val="2"/>
          <w:numId w:val="1022"/>
        </w:numPr>
      </w:pPr>
      <w:r>
        <w:t xml:space="preserve">P-values from design-based statistical tests (Rao–Scott adjusted chi-square for categorical variables; design-based Kruskal–Wallis test for continuous variables).</w:t>
      </w:r>
    </w:p>
    <w:p>
      <w:pPr>
        <w:numPr>
          <w:ilvl w:val="1"/>
          <w:numId w:val="1020"/>
        </w:numPr>
      </w:pPr>
      <w:r>
        <w:t xml:space="preserve">Multivariable Regression:</w:t>
      </w:r>
    </w:p>
    <w:p>
      <w:pPr>
        <w:numPr>
          <w:ilvl w:val="2"/>
          <w:numId w:val="1024"/>
        </w:numPr>
      </w:pPr>
      <w:r>
        <w:t xml:space="preserve">A survey-weighted Cox proportional hazards model estimated predictors of 30-day readmission.</w:t>
      </w:r>
    </w:p>
    <w:p>
      <w:pPr>
        <w:numPr>
          <w:ilvl w:val="2"/>
          <w:numId w:val="1024"/>
        </w:numPr>
      </w:pPr>
      <w:r>
        <w:t xml:space="preserve">The model included demographic, clinical, hospital-level, and index-stay factors.</w:t>
      </w:r>
    </w:p>
    <w:p>
      <w:pPr>
        <w:numPr>
          <w:ilvl w:val="2"/>
          <w:numId w:val="1024"/>
        </w:numPr>
      </w:pPr>
      <w:r>
        <w:t xml:space="preserve">Reference levels were explicitly set (e.g., Male, HSCT type).</w:t>
      </w:r>
    </w:p>
    <w:p>
      <w:pPr>
        <w:numPr>
          <w:ilvl w:val="2"/>
          <w:numId w:val="1024"/>
        </w:numPr>
      </w:pPr>
      <w:r>
        <w:t xml:space="preserve">Results were exponentiated to yield hazard ratios (HRs) with 95% confidence intervals.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Software:</w:t>
      </w:r>
      <w:r>
        <w:br/>
      </w:r>
      <w:r>
        <w:t xml:space="preserve">All analyses were conducted in R Statistical Language (Version 4.5.0; R Foundation for Statistical Computing, Vienna, Austria).</w:t>
      </w:r>
    </w:p>
    <w:bookmarkEnd w:id="23"/>
    <w:bookmarkStart w:id="24" w:name="descriptive-statistics"/>
    <w:p>
      <w:pPr>
        <w:pStyle w:val="Heading2"/>
      </w:pPr>
      <w:r>
        <w:t xml:space="preserve">Descriptive Statistics:</w:t>
      </w:r>
    </w:p>
    <w:bookmarkEnd w:id="24"/>
    <w:bookmarkStart w:id="26" w:name="baseline-table"/>
    <w:p>
      <w:pPr>
        <w:pStyle w:val="Heading2"/>
      </w:pPr>
      <w:r>
        <w:t xml:space="preserve">Baseline table: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Without CKD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47,132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 CKD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7,707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54,839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25,638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4,665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30,303 (55%)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21,494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3,043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24,536 (45%)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9,912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2,018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11,930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11,663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1,903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13,566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12,752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2,000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14,752 (27%)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12,183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1,675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13,858 (26%)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4,892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5,673 (10%)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34,062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5,404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39,466 (72%)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8,178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1,522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9,700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5,637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1,034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6,671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39,636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6,173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45,809 (84%)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Non-metropolitan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1,859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499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2,358 (4.3%)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21,812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2,077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23,888 (44%)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4,866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604 (7.8%)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5,470 (10.0%)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17,972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4,803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22,775 (42%)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2,407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218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2,625 (4.8%)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42,765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6,676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49,441 (90%)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4,367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1,031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5,398 (9.8%)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3.09 (1.91)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5.71 (2.08)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3.46 (2.14)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HSCT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Allogenic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6,975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438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7,413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Autogenic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40,157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7,269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47,426 (86%)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CKD Stage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CKD, Stage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CKD, Stage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614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CKD, Stage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2,904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2,904 (50%)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CKD, Stage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737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737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CKD, Stage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ESRD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1,326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1,326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 or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4,071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851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4,922 (9.0%)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Graft-versus-host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932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1,045 (1.9%)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Non-home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6,262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2,072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8,335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Congestive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4,753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2,509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7,262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8,655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3,051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11,706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arrhythmias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10,680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2,869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13,549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Valvular heart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4,273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5,487 (10%)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2,035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510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2,545 (4.6%)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3,869 (8.2%)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556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4,425 (8.1%)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3,280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1,189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4,469 (8.1%)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24,191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447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24,638 (45%)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15,101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3,636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18,737 (34%)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Previous stroke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1,790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674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2,464 (4.5%)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 abuse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1,181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1,381 (2.5%)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AIDS/HIV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Previous 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2,029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654 (8.5%)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2,684 (4.9%)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6,630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1,402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8,033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6,843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1,094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7,938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kidney injury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4,962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3,106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8,068 (15%)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Mean (SD); 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Design-based KruskalWallis test; Pearson's X^2: Rao &amp; Scott adjustment</w:t>
            </w:r>
          </w:p>
        </w:tc>
      </w:tr>
    </w:tbl>
    <w:bookmarkStart w:id="25" w:name="outcomes-of-index-hospitalization"/>
    <w:p>
      <w:pPr>
        <w:pStyle w:val="Heading3"/>
      </w:pPr>
      <w:r>
        <w:t xml:space="preserve">Outcomes of Index Hospitalization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54,839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Without CKD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47,132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 CKD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7,707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30-Day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4,467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3,519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949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Mortality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1,312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956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356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Charges ($)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235,127 (274,366)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237,756 (276,537)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218,895 (260,003)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Discharged to Non-Home Setting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8,335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6,262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2,072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Mean (SD)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X^2: Rao &amp; Scott adjustment; Design-based KruskalWallis test</w:t>
            </w:r>
          </w:p>
        </w:tc>
      </w:tr>
    </w:tbl>
    <w:bookmarkEnd w:id="25"/>
    <w:bookmarkEnd w:id="26"/>
    <w:bookmarkStart w:id="29" w:name="X7d0a1c2a05e84965e19936ca624ae03f9f9afcd"/>
    <w:p>
      <w:pPr>
        <w:pStyle w:val="Heading2"/>
      </w:pPr>
      <w:r>
        <w:t xml:space="preserve">Readmission Hospitalization Characteristics</w:t>
      </w:r>
    </w:p>
    <w:bookmarkStart w:id="27" w:name="Xa37a556a6d20fd6b07c73bea42073aeff147ee8"/>
    <w:p>
      <w:pPr>
        <w:pStyle w:val="Heading3"/>
      </w:pPr>
      <w:r>
        <w:t xml:space="preserve">In-Hospital Mortality Among Readmitted Patients</w:t>
      </w:r>
    </w:p>
    <w:p>
      <w:pPr>
        <w:pStyle w:val="FirstParagraph"/>
      </w:pPr>
      <w:r>
        <w:t xml:space="preserve">Readmission hospitalizations resulted in:</w:t>
      </w:r>
    </w:p>
    <w:p>
      <w:pPr>
        <w:numPr>
          <w:ilvl w:val="0"/>
          <w:numId w:val="1025"/>
        </w:numPr>
      </w:pPr>
      <w:r>
        <w:t xml:space="preserve">Deaths (n): 159</w:t>
      </w:r>
    </w:p>
    <w:p>
      <w:pPr>
        <w:numPr>
          <w:ilvl w:val="0"/>
          <w:numId w:val="1025"/>
        </w:numPr>
      </w:pPr>
      <w:r>
        <w:t xml:space="preserve">Death Rate (%): 3.59%</w:t>
      </w:r>
    </w:p>
    <w:p>
      <w:pPr>
        <w:numPr>
          <w:ilvl w:val="0"/>
          <w:numId w:val="1025"/>
        </w:numPr>
      </w:pPr>
      <w:r>
        <w:t xml:space="preserve">Death Rate (95% CI): 2.78% to 4.39%</w:t>
      </w:r>
    </w:p>
    <w:bookmarkEnd w:id="27"/>
    <w:bookmarkStart w:id="28" w:name="resource-utilization-during-readmission"/>
    <w:p>
      <w:pPr>
        <w:pStyle w:val="Heading3"/>
      </w:pPr>
      <w:r>
        <w:t xml:space="preserve">Resource Utilization During Readmission</w:t>
      </w:r>
    </w:p>
    <w:p>
      <w:pPr>
        <w:pStyle w:val="FirstParagraph"/>
      </w:pPr>
      <w:r>
        <w:t xml:space="preserve">Readmission hospitalizations resulted in:</w:t>
      </w:r>
    </w:p>
    <w:p>
      <w:pPr>
        <w:numPr>
          <w:ilvl w:val="0"/>
          <w:numId w:val="1026"/>
        </w:numPr>
      </w:pPr>
      <w:r>
        <w:t xml:space="preserve">Mean Length of Stay (days): 6.12</w:t>
      </w:r>
    </w:p>
    <w:p>
      <w:pPr>
        <w:numPr>
          <w:ilvl w:val="0"/>
          <w:numId w:val="1026"/>
        </w:numPr>
      </w:pPr>
      <w:r>
        <w:t xml:space="preserve">Mean Length of Stay (95% CI): 5.81 to 6.44</w:t>
      </w:r>
    </w:p>
    <w:p>
      <w:pPr>
        <w:numPr>
          <w:ilvl w:val="0"/>
          <w:numId w:val="1026"/>
        </w:numPr>
      </w:pPr>
      <w:r>
        <w:t xml:space="preserve">Mean Charge ($): 69717</w:t>
      </w:r>
    </w:p>
    <w:p>
      <w:pPr>
        <w:numPr>
          <w:ilvl w:val="0"/>
          <w:numId w:val="1026"/>
        </w:numPr>
      </w:pPr>
      <w:r>
        <w:t xml:space="preserve">Mean Charge (95% CI): 61334 to 78099</w:t>
      </w:r>
    </w:p>
    <w:bookmarkEnd w:id="28"/>
    <w:bookmarkEnd w:id="29"/>
    <w:bookmarkStart w:id="31" w:name="multivariable-analyses"/>
    <w:p>
      <w:pPr>
        <w:pStyle w:val="Heading2"/>
      </w:pPr>
      <w:r>
        <w:t xml:space="preserve">Multivariable Analyses</w:t>
      </w:r>
    </w:p>
    <w:bookmarkStart w:id="30" w:name="Xc3dd9450622ca6a79fdfe146281f7a6f8e6031c"/>
    <w:p>
      <w:pPr>
        <w:pStyle w:val="Heading3"/>
      </w:pPr>
      <w:r>
        <w:t xml:space="preserve">Multivariable Predictors of 30-Day Readmission</w:t>
      </w:r>
    </w:p>
    <w:p>
      <w:pPr>
        <w:pStyle w:val="SourceCode"/>
      </w:pPr>
      <w:r>
        <w:rPr>
          <w:rStyle w:val="VerbatimChar"/>
        </w:rPr>
        <w:t xml:space="preserve">Stratified 1 - level Cluster Sampling design (with replacement)</w:t>
      </w:r>
      <w:r>
        <w:br/>
      </w:r>
      <w:r>
        <w:rPr>
          <w:rStyle w:val="VerbatimChar"/>
        </w:rPr>
        <w:t xml:space="preserve">With (657) clusters.</w:t>
      </w:r>
      <w:r>
        <w:br/>
      </w:r>
      <w:r>
        <w:rPr>
          <w:rStyle w:val="VerbatimChar"/>
        </w:rPr>
        <w:t xml:space="preserve">subset(nrd_design, IndexEvent == 1)</w:t>
      </w:r>
      <w:r>
        <w:br/>
      </w:r>
      <w:r>
        <w:rPr>
          <w:rStyle w:val="VerbatimChar"/>
        </w:rPr>
        <w:t xml:space="preserve">Sampling variables:</w:t>
      </w:r>
      <w:r>
        <w:br/>
      </w:r>
      <w:r>
        <w:rPr>
          <w:rStyle w:val="VerbatimChar"/>
        </w:rPr>
        <w:t xml:space="preserve">  - ids: HOSP_NRD </w:t>
      </w:r>
      <w:r>
        <w:br/>
      </w:r>
      <w:r>
        <w:rPr>
          <w:rStyle w:val="VerbatimChar"/>
        </w:rPr>
        <w:t xml:space="preserve">  - strata: NRD_STRATUM </w:t>
      </w:r>
      <w:r>
        <w:br/>
      </w:r>
      <w:r>
        <w:rPr>
          <w:rStyle w:val="VerbatimChar"/>
        </w:rPr>
        <w:t xml:space="preserve">  - weights: DISCWT 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Non-metropolitan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HSCT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Allogenic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Autogenic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1.07, 1.46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CKD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CKD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CKD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 or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Graft-versus-host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Non-home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kidney injury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HR = Hazard Ratio</w:t>
            </w:r>
          </w:p>
        </w:tc>
      </w:tr>
    </w:tbl>
    <w:bookmarkEnd w:id="30"/>
    <w:bookmarkEnd w:id="31"/>
    <w:bookmarkStart w:id="32" w:name="top-causes-of-readmissions"/>
    <w:p>
      <w:pPr>
        <w:pStyle w:val="Heading2"/>
      </w:pPr>
      <w:r>
        <w:t xml:space="preserve">Top Causes of Readmissions</w:t>
      </w:r>
    </w:p>
    <w:p>
      <w:pPr>
        <w:pStyle w:val="FirstParagraph"/>
      </w:pPr>
      <w:r>
        <w:t xml:space="preserve">Top 10 causes of 30-day re-admissions among adults undergoing HSCT.</w:t>
      </w:r>
    </w:p>
    <w:p>
      <w:pPr>
        <w:pStyle w:val="TableCaption"/>
      </w:pPr>
      <w:r>
        <w:t xml:space="preserve">Top 10 Diagnoses by Weighted Proportion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p 10 Diagnoses by Weighted Propor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Diagnosis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Proportion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0.0923237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0.0493068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0.0351600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0.0343349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0.0263086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0.0221314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0.0220254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0.0173456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0.0169915</w:t>
            </w:r>
          </w:p>
        </w:tc>
      </w:tr>
    </w:tbl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jamanetwork.com/journals/jamanetworkopen/fullarticle/2737307" TargetMode="External" /><Relationship Type="http://schemas.openxmlformats.org/officeDocument/2006/relationships/hyperlink" Id="rId20" Target="https://onlinelibrary.wiley.com/doi/10.1002/pon.70032" TargetMode="External" /><Relationship Type="http://schemas.openxmlformats.org/officeDocument/2006/relationships/hyperlink" Id="rId22" Target="https://www.mdpi.com/2673-3943/5/3/1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jamanetwork.com/journals/jamanetworkopen/fullarticle/2737307" TargetMode="External" /><Relationship Type="http://schemas.openxmlformats.org/officeDocument/2006/relationships/hyperlink" Id="rId20" Target="https://onlinelibrary.wiley.com/doi/10.1002/pon.70032" TargetMode="External" /><Relationship Type="http://schemas.openxmlformats.org/officeDocument/2006/relationships/hyperlink" Id="rId22" Target="https://www.mdpi.com/2673-3943/5/3/1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Chronic Kidney Disease on Clinical Outcomes and Resource Utilization in Hematopoietic Stem Cell Transplantation: Insights from the Nationwide Readmissions Database</dc:title>
  <dc:creator>Mariam Shahabi; Aimen Shafiq</dc:creator>
  <cp:keywords/>
  <dcterms:created xsi:type="dcterms:W3CDTF">2025-11-02T10:31:34Z</dcterms:created>
  <dcterms:modified xsi:type="dcterms:W3CDTF">2025-11-02T10:31:34Z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Analysis for NRD Sep B5</vt:lpwstr>
  </property>
  <property fmtid="{D5CDD505-2E9C-101B-9397-08002B2CF9AE}" pid="12" name="toc-title">
    <vt:lpwstr>Table of contents</vt:lpwstr>
  </property>
</Properties>
</file>