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E2761"/>
          <w:sz w:val="44"/>
          <w:szCs w:val="44"/>
        </w:rPr>
        <w:t xml:space="preserve">HazeCast SG</w:t>
      </w:r>
    </w:p>
    <w:p>
      <w:pPr>
        <w:spacing w:after="240"/>
      </w:pPr>
      <w:r>
        <w:rPr>
          <w:rFonts w:ascii="Cambria" w:cs="Cambria" w:eastAsia="Cambria" w:hAnsi="Cambria"/>
          <w:color w:val="1C7293"/>
          <w:sz w:val="28"/>
          <w:szCs w:val="28"/>
        </w:rPr>
        <w:t xml:space="preserve">Model Design &amp; Feature Engineering — Methodology Note</w:t>
      </w:r>
    </w:p>
    <w:p>
      <w:pPr>
        <w:spacing w:after="400"/>
      </w:pPr>
      <w:r>
        <w:rPr>
          <w:i/>
          <w:iCs/>
          <w:color w:val="595959"/>
          <w:sz w:val="20"/>
          <w:szCs w:val="20"/>
        </w:rPr>
        <w:t xml:space="preserve">CS611 Machine Learning Engineering — group project. Prepared from the project's own repositories and decision log; not a new analysis.</w:t>
      </w:r>
    </w:p>
    <w:p>
      <w:pPr>
        <w:pStyle w:val="Heading2"/>
        <w:spacing w:after="120" w:before="280"/>
      </w:pPr>
      <w:r>
        <w:t xml:space="preserve">Scope and sources</w:t>
      </w:r>
    </w:p>
    <w:p>
      <w:pPr>
        <w:spacing w:after="160"/>
      </w:pPr>
      <w:r>
        <w:t xml:space="preserve">This note answers four questions about how HazeCast SG's models were actually built, as distinct from how a textbook would describe building them. Every claim below is sourced to one of three places, and each is labelled so you can tell which is which: </w:t>
      </w:r>
      <w:r>
        <w:rPr>
          <w:b/>
          <w:bCs/>
        </w:rPr>
        <w:t xml:space="preserve">code</w:t>
      </w:r>
      <w:r>
        <w:t xml:space="preserve"> — what the committed pipeline actually does (src/hazecast/*.py, both repositories); </w:t>
      </w:r>
      <w:r>
        <w:rPr>
          <w:b/>
          <w:bCs/>
        </w:rPr>
        <w:t xml:space="preserve">README / docstrings</w:t>
      </w:r>
      <w:r>
        <w:t xml:space="preserve"> — the team's own written rationale inside the repo; </w:t>
      </w:r>
      <w:r>
        <w:rPr>
          <w:b/>
          <w:bCs/>
        </w:rPr>
        <w:t xml:space="preserve">project log</w:t>
      </w:r>
      <w:r>
        <w:t xml:space="preserve"> — decisions and findings recorded in conversation but not committed as code or prose anywhere in the repo. Where a question has no answer in any of the three — most notably, whether an automated search tool was used for tuning — that gap is stated plainly rather than filled in.</w:t>
      </w:r>
    </w:p>
    <w:p>
      <w:pPr>
        <w:spacing w:after="200"/>
      </w:pPr>
      <w:r>
        <w:rPr>
          <w:i/>
          <w:iCs/>
          <w:color w:val="595959"/>
          <w:sz w:val="20"/>
          <w:szCs w:val="20"/>
        </w:rPr>
        <w:t xml:space="preserve">Repositories referenced: limes0606/hazecast-sg (daily model, main branch) and mariamustafadoola-gif/Haze-Cast-SG, branch brandon-hourly-model (hourly model). Both are read in full below; nothing here is inferred from outside either repository.</w:t>
      </w:r>
    </w:p>
    <w:p>
      <w:pPr>
        <w:pStyle w:val="Heading1"/>
        <w:spacing w:after="160" w:before="360"/>
      </w:pPr>
      <w:r>
        <w:t xml:space="preserve">1. Why these three model families — and how the shortlist was decided</w:t>
      </w:r>
    </w:p>
    <w:p>
      <w:pPr>
        <w:spacing w:after="160"/>
      </w:pPr>
      <w:r>
        <w:t xml:space="preserve">HazeCast SG compares three model families, plus a persistence baseline, across two forecast targets (next-day, and 1/3/6/12-hour-ahead). The shortlist was not the product of a data-driven model search — it was set by the project brief and the team's own workload split, then narrowed by what the evaluation numbers showed once built.</w:t>
      </w:r>
    </w:p>
    <w:p>
      <w:pPr>
        <w:pStyle w:val="Heading2"/>
        <w:spacing w:after="120" w:before="280"/>
      </w:pPr>
      <w:r>
        <w:t xml:space="preserve">Persistence — the baseline, not a model</w:t>
      </w:r>
    </w:p>
    <w:p>
      <w:pPr>
        <w:spacing w:after="160"/>
      </w:pPr>
      <w:r>
        <w:t xml:space="preserve">Persistence simply carries today's (or this hour's) own reading forward as the forecast. It has no features and nothing is fitted. It is included because it is what an operator effectively already does by checking the latest reading before any model existed — every other candidate is judged against it, not against an absolute accuracy number, via the project's own dual bar described in Section 4.</w:t>
      </w:r>
    </w:p>
    <w:p>
      <w:pPr>
        <w:pStyle w:val="Heading2"/>
        <w:spacing w:after="120" w:before="280"/>
      </w:pPr>
      <w:r>
        <w:t xml:space="preserve">Linear regression</w:t>
      </w:r>
    </w:p>
    <w:p>
      <w:pPr>
        <w:spacing w:after="160"/>
      </w:pPr>
      <w:r>
        <w:t xml:space="preserve">A plain ordinary-least-squares regression on the full feature set. The team's workload split assigned this to one member from the outset, as the simple, interpretable half of the comparison — its coefficients can be read directly, which matters for the explainability story in Section 3.</w:t>
      </w:r>
    </w:p>
    <w:p>
      <w:pPr>
        <w:pStyle w:val="Heading2"/>
        <w:spacing w:after="120" w:before="280"/>
      </w:pPr>
      <w:r>
        <w:t xml:space="preserve">XGBoost</w:t>
      </w:r>
    </w:p>
    <w:p>
      <w:pPr>
        <w:spacing w:after="160"/>
      </w:pPr>
      <w:r>
        <w:t xml:space="preserve">Gradient-boosted trees were the model family named in the project's original proposal, and assigned to the fourth team member. A gradient-boosted tree can capture non-linear interactions between fire activity, wind direction and rainfall that a linear model cannot, at some cost to interpretability.</w:t>
      </w:r>
    </w:p>
    <w:p>
      <w:pPr>
        <w:pStyle w:val="Heading2"/>
        <w:spacing w:after="120" w:before="280"/>
      </w:pPr>
      <w:r>
        <w:t xml:space="preserve">A fourth candidate was tried and dropped</w:t>
      </w:r>
    </w:p>
    <w:p>
      <w:pPr>
        <w:spacing w:after="160"/>
      </w:pPr>
      <w:r>
        <w:t xml:space="preserve">A Gamma-distributed GLM with a log link was also tested on the daily target, reasoning that PM2.5 is strictly positive and right-skewed. It produced the best elevated-day recall of any candidate on the 2015 fold, but its predictions reached physically implausible values (into the thousands of µg/m³) on that same fold: 2015's fire-hotspot values fall far outside the range the model was fitted on, and a log-link model's exponential term compounds that extrapolation error rather than degrading gracefully, the way a tree model does. It was dropped rather than shipped or documented as a baseline. </w:t>
      </w:r>
      <w:r>
        <w:rPr>
          <w:i/>
          <w:iCs/>
        </w:rPr>
        <w:t xml:space="preserve">(Source: README "Results", and commit 8dbc7ca.)</w:t>
      </w:r>
    </w:p>
    <w:p>
      <w:pPr>
        <w:pStyle w:val="Heading2"/>
        <w:spacing w:after="120" w:before="280"/>
      </w:pPr>
      <w:r>
        <w:t xml:space="preserve">Why boosting was not carried over to the hourly target</w:t>
      </w:r>
    </w:p>
    <w:p>
      <w:pPr>
        <w:spacing w:after="160"/>
      </w:pPr>
      <w:r>
        <w:t xml:space="preserve">The hourly, multi-horizon model (Section 4) only compares persistence and linear regression — no tree-based candidate was built for it. </w:t>
      </w:r>
      <w:r>
        <w:rPr>
          <w:b/>
          <w:bCs/>
        </w:rPr>
        <w:t xml:space="preserve">This is a genuine gap in the written record, not a finding:</w:t>
      </w:r>
      <w:r>
        <w:t xml:space="preserve"> neither the repository's code, its docstrings, nor the project log give a stated reason why XGBoost was not re-tried at hourly grain. If this is asked about in review, it is worth having an answer ready beyond what is documented here.</w:t>
      </w:r>
    </w:p>
    <w:p>
      <w:pPr>
        <w:pStyle w:val="Heading2"/>
        <w:spacing w:after="120" w:before="280"/>
      </w:pPr>
      <w:r>
        <w:t xml:space="preserve">The daily model's own result, for reference</w:t>
      </w:r>
    </w:p>
    <w:p>
      <w:pPr>
        <w:spacing w:after="160"/>
      </w:pPr>
      <w:r>
        <w:t xml:space="preserve">Leave-one-haze-season-out evaluation (2015 and 2019 held out in turn), national target shown: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850"/>
        <w:gridCol w:w="1850"/>
        <w:gridCol w:w="1850"/>
        <w:gridCol w:w="1850"/>
      </w:tblGrid>
      <w:tr>
        <w:tc>
          <w:tcPr>
            <w:tcW w:type="dxa" w:w="2600"/>
            <w:shd w:fill="1E2761" w:val="clear"/>
            <w:tcMar>
              <w:top w:type="dxa" w:w="80"/>
              <w:left w:type="dxa" w:w="100"/>
              <w:bottom w:type="dxa" w:w="80"/>
              <w:right w:type="dxa" w:w="100"/>
            </w:tcMar>
          </w:tcPr>
          <w:p>
            <w:r>
              <w:rPr>
                <w:b/>
                <w:bCs/>
                <w:color w:val="FFFFFF"/>
              </w:rPr>
              <w:t xml:space="preserve">Season</w:t>
            </w:r>
          </w:p>
        </w:tc>
        <w:tc>
          <w:tcPr>
            <w:tcW w:type="dxa" w:w="1850"/>
            <w:shd w:fill="1E2761" w:val="clear"/>
            <w:tcMar>
              <w:top w:type="dxa" w:w="80"/>
              <w:left w:type="dxa" w:w="100"/>
              <w:bottom w:type="dxa" w:w="80"/>
              <w:right w:type="dxa" w:w="100"/>
            </w:tcMar>
          </w:tcPr>
          <w:p>
            <w:r>
              <w:rPr>
                <w:b/>
                <w:bCs/>
                <w:color w:val="FFFFFF"/>
              </w:rPr>
              <w:t xml:space="preserve">persistence</w:t>
            </w:r>
          </w:p>
        </w:tc>
        <w:tc>
          <w:tcPr>
            <w:tcW w:type="dxa" w:w="1850"/>
            <w:shd w:fill="1E2761" w:val="clear"/>
            <w:tcMar>
              <w:top w:type="dxa" w:w="80"/>
              <w:left w:type="dxa" w:w="100"/>
              <w:bottom w:type="dxa" w:w="80"/>
              <w:right w:type="dxa" w:w="100"/>
            </w:tcMar>
          </w:tcPr>
          <w:p>
            <w:r>
              <w:rPr>
                <w:b/>
                <w:bCs/>
                <w:color w:val="FFFFFF"/>
              </w:rPr>
              <w:t xml:space="preserve">linreg</w:t>
            </w:r>
          </w:p>
        </w:tc>
        <w:tc>
          <w:tcPr>
            <w:tcW w:type="dxa" w:w="1850"/>
            <w:shd w:fill="1E2761" w:val="clear"/>
            <w:tcMar>
              <w:top w:type="dxa" w:w="80"/>
              <w:left w:type="dxa" w:w="100"/>
              <w:bottom w:type="dxa" w:w="80"/>
              <w:right w:type="dxa" w:w="100"/>
            </w:tcMar>
          </w:tcPr>
          <w:p>
            <w:r>
              <w:rPr>
                <w:b/>
                <w:bCs/>
                <w:color w:val="FFFFFF"/>
              </w:rPr>
              <w:t xml:space="preserve">xgboost</w:t>
            </w:r>
          </w:p>
        </w:tc>
        <w:tc>
          <w:tcPr>
            <w:tcW w:type="dxa" w:w="1850"/>
            <w:shd w:fill="1E2761" w:val="clear"/>
            <w:tcMar>
              <w:top w:type="dxa" w:w="80"/>
              <w:left w:type="dxa" w:w="100"/>
              <w:bottom w:type="dxa" w:w="80"/>
              <w:right w:type="dxa" w:w="100"/>
            </w:tcMar>
          </w:tcPr>
          <w:p>
            <w:r>
              <w:rPr>
                <w:b/>
                <w:bCs/>
                <w:color w:val="FFFFFF"/>
              </w:rPr>
              <w:t xml:space="preserve">xgboost_q85</w:t>
            </w:r>
          </w:p>
        </w:tc>
      </w:tr>
      <w:tr>
        <w:tc>
          <w:tcPr>
            <w:tcW w:type="dxa" w:w="2600"/>
            <w:tcMar>
              <w:top w:type="dxa" w:w="80"/>
              <w:left w:type="dxa" w:w="100"/>
              <w:bottom w:type="dxa" w:w="80"/>
              <w:right w:type="dxa" w:w="100"/>
            </w:tcMar>
          </w:tcPr>
          <w:p>
            <w:r>
              <w:rPr>
                <w:b w:val="false"/>
                <w:bCs w:val="false"/>
              </w:rPr>
              <w:t xml:space="preserve">MAE, 2015 (µg/m³)</w:t>
            </w:r>
          </w:p>
        </w:tc>
        <w:tc>
          <w:tcPr>
            <w:tcW w:type="dxa" w:w="1850"/>
            <w:tcMar>
              <w:top w:type="dxa" w:w="80"/>
              <w:left w:type="dxa" w:w="100"/>
              <w:bottom w:type="dxa" w:w="80"/>
              <w:right w:type="dxa" w:w="100"/>
            </w:tcMar>
          </w:tcPr>
          <w:p>
            <w:pPr>
              <w:jc w:val="center"/>
            </w:pPr>
            <w:r>
              <w:rPr>
                <w:b w:val="false"/>
                <w:bCs w:val="false"/>
              </w:rPr>
              <w:t xml:space="preserve">17.92</w:t>
            </w:r>
          </w:p>
        </w:tc>
        <w:tc>
          <w:tcPr>
            <w:tcW w:type="dxa" w:w="1850"/>
            <w:tcMar>
              <w:top w:type="dxa" w:w="80"/>
              <w:left w:type="dxa" w:w="100"/>
              <w:bottom w:type="dxa" w:w="80"/>
              <w:right w:type="dxa" w:w="100"/>
            </w:tcMar>
          </w:tcPr>
          <w:p>
            <w:pPr>
              <w:jc w:val="center"/>
            </w:pPr>
            <w:r>
              <w:rPr>
                <w:b w:val="false"/>
                <w:bCs w:val="false"/>
              </w:rPr>
              <w:t xml:space="preserve">15.74</w:t>
            </w:r>
          </w:p>
        </w:tc>
        <w:tc>
          <w:tcPr>
            <w:tcW w:type="dxa" w:w="1850"/>
            <w:tcMar>
              <w:top w:type="dxa" w:w="80"/>
              <w:left w:type="dxa" w:w="100"/>
              <w:bottom w:type="dxa" w:w="80"/>
              <w:right w:type="dxa" w:w="100"/>
            </w:tcMar>
          </w:tcPr>
          <w:p>
            <w:pPr>
              <w:jc w:val="center"/>
            </w:pPr>
            <w:r>
              <w:rPr>
                <w:b w:val="false"/>
                <w:bCs w:val="false"/>
              </w:rPr>
              <w:t xml:space="preserve">18.58</w:t>
            </w:r>
          </w:p>
        </w:tc>
        <w:tc>
          <w:tcPr>
            <w:tcW w:type="dxa" w:w="1850"/>
            <w:tcMar>
              <w:top w:type="dxa" w:w="80"/>
              <w:left w:type="dxa" w:w="100"/>
              <w:bottom w:type="dxa" w:w="80"/>
              <w:right w:type="dxa" w:w="100"/>
            </w:tcMar>
          </w:tcPr>
          <w:p>
            <w:pPr>
              <w:jc w:val="center"/>
            </w:pPr>
            <w:r>
              <w:rPr>
                <w:b w:val="false"/>
                <w:bCs w:val="false"/>
              </w:rPr>
              <w:t xml:space="preserve">17.35</w:t>
            </w:r>
          </w:p>
        </w:tc>
      </w:tr>
      <w:tr>
        <w:tc>
          <w:tcPr>
            <w:tcW w:type="dxa" w:w="2600"/>
            <w:tcMar>
              <w:top w:type="dxa" w:w="80"/>
              <w:left w:type="dxa" w:w="100"/>
              <w:bottom w:type="dxa" w:w="80"/>
              <w:right w:type="dxa" w:w="100"/>
            </w:tcMar>
          </w:tcPr>
          <w:p>
            <w:r>
              <w:rPr>
                <w:b w:val="false"/>
                <w:bCs w:val="false"/>
              </w:rPr>
              <w:t xml:space="preserve">MAE, 2019 (µg/m³)</w:t>
            </w:r>
          </w:p>
        </w:tc>
        <w:tc>
          <w:tcPr>
            <w:tcW w:type="dxa" w:w="1850"/>
            <w:tcMar>
              <w:top w:type="dxa" w:w="80"/>
              <w:left w:type="dxa" w:w="100"/>
              <w:bottom w:type="dxa" w:w="80"/>
              <w:right w:type="dxa" w:w="100"/>
            </w:tcMar>
          </w:tcPr>
          <w:p>
            <w:pPr>
              <w:jc w:val="center"/>
            </w:pPr>
            <w:r>
              <w:rPr>
                <w:b w:val="false"/>
                <w:bCs w:val="false"/>
              </w:rPr>
              <w:t xml:space="preserve">6.44</w:t>
            </w:r>
          </w:p>
        </w:tc>
        <w:tc>
          <w:tcPr>
            <w:tcW w:type="dxa" w:w="1850"/>
            <w:tcMar>
              <w:top w:type="dxa" w:w="80"/>
              <w:left w:type="dxa" w:w="100"/>
              <w:bottom w:type="dxa" w:w="80"/>
              <w:right w:type="dxa" w:w="100"/>
            </w:tcMar>
          </w:tcPr>
          <w:p>
            <w:pPr>
              <w:jc w:val="center"/>
            </w:pPr>
            <w:r>
              <w:rPr>
                <w:b w:val="false"/>
                <w:bCs w:val="false"/>
              </w:rPr>
              <w:t xml:space="preserve">5.84</w:t>
            </w:r>
          </w:p>
        </w:tc>
        <w:tc>
          <w:tcPr>
            <w:tcW w:type="dxa" w:w="1850"/>
            <w:tcMar>
              <w:top w:type="dxa" w:w="80"/>
              <w:left w:type="dxa" w:w="100"/>
              <w:bottom w:type="dxa" w:w="80"/>
              <w:right w:type="dxa" w:w="100"/>
            </w:tcMar>
          </w:tcPr>
          <w:p>
            <w:pPr>
              <w:jc w:val="center"/>
            </w:pPr>
            <w:r>
              <w:rPr>
                <w:b w:val="false"/>
                <w:bCs w:val="false"/>
              </w:rPr>
              <w:t xml:space="preserve">5.05</w:t>
            </w:r>
          </w:p>
        </w:tc>
        <w:tc>
          <w:tcPr>
            <w:tcW w:type="dxa" w:w="1850"/>
            <w:tcMar>
              <w:top w:type="dxa" w:w="80"/>
              <w:left w:type="dxa" w:w="100"/>
              <w:bottom w:type="dxa" w:w="80"/>
              <w:right w:type="dxa" w:w="100"/>
            </w:tcMar>
          </w:tcPr>
          <w:p>
            <w:pPr>
              <w:jc w:val="center"/>
            </w:pPr>
            <w:r>
              <w:rPr>
                <w:b w:val="false"/>
                <w:bCs w:val="false"/>
              </w:rPr>
              <w:t xml:space="preserve">7.01</w:t>
            </w:r>
          </w:p>
        </w:tc>
      </w:tr>
      <w:tr>
        <w:tc>
          <w:tcPr>
            <w:tcW w:type="dxa" w:w="2600"/>
            <w:tcMar>
              <w:top w:type="dxa" w:w="80"/>
              <w:left w:type="dxa" w:w="100"/>
              <w:bottom w:type="dxa" w:w="80"/>
              <w:right w:type="dxa" w:w="100"/>
            </w:tcMar>
          </w:tcPr>
          <w:p>
            <w:r>
              <w:rPr>
                <w:b w:val="false"/>
                <w:bCs w:val="false"/>
              </w:rPr>
              <w:t xml:space="preserve">Elevated-day recall, 2015 (31 elevated days)</w:t>
            </w:r>
          </w:p>
        </w:tc>
        <w:tc>
          <w:tcPr>
            <w:tcW w:type="dxa" w:w="1850"/>
            <w:tcMar>
              <w:top w:type="dxa" w:w="80"/>
              <w:left w:type="dxa" w:w="100"/>
              <w:bottom w:type="dxa" w:w="80"/>
              <w:right w:type="dxa" w:w="100"/>
            </w:tcMar>
          </w:tcPr>
          <w:p>
            <w:pPr>
              <w:jc w:val="center"/>
            </w:pPr>
            <w:r>
              <w:rPr>
                <w:b w:val="false"/>
                <w:bCs w:val="false"/>
              </w:rPr>
              <w:t xml:space="preserve">0.68</w:t>
            </w:r>
          </w:p>
        </w:tc>
        <w:tc>
          <w:tcPr>
            <w:tcW w:type="dxa" w:w="1850"/>
            <w:tcMar>
              <w:top w:type="dxa" w:w="80"/>
              <w:left w:type="dxa" w:w="100"/>
              <w:bottom w:type="dxa" w:w="80"/>
              <w:right w:type="dxa" w:w="100"/>
            </w:tcMar>
          </w:tcPr>
          <w:p>
            <w:pPr>
              <w:jc w:val="center"/>
            </w:pPr>
            <w:r>
              <w:rPr>
                <w:b w:val="false"/>
                <w:bCs w:val="false"/>
              </w:rPr>
              <w:t xml:space="preserve">0.61</w:t>
            </w:r>
          </w:p>
        </w:tc>
        <w:tc>
          <w:tcPr>
            <w:tcW w:type="dxa" w:w="1850"/>
            <w:tcMar>
              <w:top w:type="dxa" w:w="80"/>
              <w:left w:type="dxa" w:w="100"/>
              <w:bottom w:type="dxa" w:w="80"/>
              <w:right w:type="dxa" w:w="100"/>
            </w:tcMar>
          </w:tcPr>
          <w:p>
            <w:pPr>
              <w:jc w:val="center"/>
            </w:pPr>
            <w:r>
              <w:rPr>
                <w:b w:val="false"/>
                <w:bCs w:val="false"/>
              </w:rPr>
              <w:t xml:space="preserve">0.13</w:t>
            </w:r>
          </w:p>
        </w:tc>
        <w:tc>
          <w:tcPr>
            <w:tcW w:type="dxa" w:w="1850"/>
            <w:tcMar>
              <w:top w:type="dxa" w:w="80"/>
              <w:left w:type="dxa" w:w="100"/>
              <w:bottom w:type="dxa" w:w="80"/>
              <w:right w:type="dxa" w:w="100"/>
            </w:tcMar>
          </w:tcPr>
          <w:p>
            <w:pPr>
              <w:jc w:val="center"/>
            </w:pPr>
            <w:r>
              <w:rPr>
                <w:b w:val="false"/>
                <w:bCs w:val="false"/>
              </w:rPr>
              <w:t xml:space="preserve">0.45</w:t>
            </w:r>
          </w:p>
        </w:tc>
      </w:tr>
      <w:tr>
        <w:tc>
          <w:tcPr>
            <w:tcW w:type="dxa" w:w="2600"/>
            <w:tcMar>
              <w:top w:type="dxa" w:w="80"/>
              <w:left w:type="dxa" w:w="100"/>
              <w:bottom w:type="dxa" w:w="80"/>
              <w:right w:type="dxa" w:w="100"/>
            </w:tcMar>
          </w:tcPr>
          <w:p>
            <w:r>
              <w:rPr>
                <w:b w:val="false"/>
                <w:bCs w:val="false"/>
              </w:rPr>
              <w:t xml:space="preserve">Elevated-day recall, 2019 (4 elevated days)</w:t>
            </w:r>
          </w:p>
        </w:tc>
        <w:tc>
          <w:tcPr>
            <w:tcW w:type="dxa" w:w="1850"/>
            <w:tcMar>
              <w:top w:type="dxa" w:w="80"/>
              <w:left w:type="dxa" w:w="100"/>
              <w:bottom w:type="dxa" w:w="80"/>
              <w:right w:type="dxa" w:w="100"/>
            </w:tcMar>
          </w:tcPr>
          <w:p>
            <w:pPr>
              <w:jc w:val="center"/>
            </w:pPr>
            <w:r>
              <w:rPr>
                <w:b w:val="false"/>
                <w:bCs w:val="false"/>
              </w:rPr>
              <w:t xml:space="preserve">0.25</w:t>
            </w:r>
          </w:p>
        </w:tc>
        <w:tc>
          <w:tcPr>
            <w:tcW w:type="dxa" w:w="1850"/>
            <w:tcMar>
              <w:top w:type="dxa" w:w="80"/>
              <w:left w:type="dxa" w:w="100"/>
              <w:bottom w:type="dxa" w:w="80"/>
              <w:right w:type="dxa" w:w="100"/>
            </w:tcMar>
          </w:tcPr>
          <w:p>
            <w:pPr>
              <w:jc w:val="center"/>
            </w:pPr>
            <w:r>
              <w:rPr>
                <w:b w:val="false"/>
                <w:bCs w:val="false"/>
              </w:rPr>
              <w:t xml:space="preserve">0.75</w:t>
            </w:r>
          </w:p>
        </w:tc>
        <w:tc>
          <w:tcPr>
            <w:tcW w:type="dxa" w:w="1850"/>
            <w:tcMar>
              <w:top w:type="dxa" w:w="80"/>
              <w:left w:type="dxa" w:w="100"/>
              <w:bottom w:type="dxa" w:w="80"/>
              <w:right w:type="dxa" w:w="100"/>
            </w:tcMar>
          </w:tcPr>
          <w:p>
            <w:pPr>
              <w:jc w:val="center"/>
            </w:pPr>
            <w:r>
              <w:rPr>
                <w:b w:val="false"/>
                <w:bCs w:val="false"/>
              </w:rPr>
              <w:t xml:space="preserve">0.50</w:t>
            </w:r>
          </w:p>
        </w:tc>
        <w:tc>
          <w:tcPr>
            <w:tcW w:type="dxa" w:w="1850"/>
            <w:tcMar>
              <w:top w:type="dxa" w:w="80"/>
              <w:left w:type="dxa" w:w="100"/>
              <w:bottom w:type="dxa" w:w="80"/>
              <w:right w:type="dxa" w:w="100"/>
            </w:tcMar>
          </w:tcPr>
          <w:p>
            <w:pPr>
              <w:jc w:val="center"/>
            </w:pPr>
            <w:r>
              <w:rPr>
                <w:b w:val="false"/>
                <w:bCs w:val="false"/>
              </w:rPr>
              <w:t xml:space="preserve">1.00</w:t>
            </w:r>
          </w:p>
        </w:tc>
      </w:tr>
    </w:tbl>
    <w:p>
      <w:pPr>
        <w:spacing w:after="160"/>
      </w:pPr>
      <w:r>
        <w:t xml:space="preserve"/>
      </w:r>
    </w:p>
    <w:p>
      <w:pPr>
        <w:spacing w:after="160"/>
      </w:pPr>
      <w:r>
        <w:t xml:space="preserve">Each fold favours a different candidate on recall, and 2019 has only 4 elevated days in its test fold — a small sample for a rare event. </w:t>
      </w:r>
      <w:r>
        <w:rPr>
          <w:b/>
          <w:bCs/>
        </w:rPr>
        <w:t xml:space="preserve">xgboost_q85</w:t>
      </w:r>
      <w:r>
        <w:t xml:space="preserve"> is what is shipped (loaded by score.py), chosen because it addresses a specific documented weakness of plain xgboost (recall collapsing on rare elevated days) while staying in the model family named in the original proposal. The README itself flags that shipping </w:t>
      </w:r>
      <w:r>
        <w:rPr>
          <w:b/>
          <w:bCs/>
        </w:rPr>
        <w:t xml:space="preserve">linreg</w:t>
      </w:r>
      <w:r>
        <w:t xml:space="preserve"> instead would also be defensible on these numbers, and leaves that call to the team's final report.</w:t>
      </w:r>
    </w:p>
    <w:p>
      <w:pPr>
        <w:pStyle w:val="Heading1"/>
        <w:spacing w:after="160" w:before="360"/>
      </w:pPr>
      <w:r>
        <w:t xml:space="preserve">2. Feature engineering — from raw data to the gold table</w:t>
      </w:r>
    </w:p>
    <w:p>
      <w:pPr>
        <w:spacing w:after="160"/>
      </w:pPr>
      <w:r>
        <w:t xml:space="preserve">Three public sources feed the pipeline: NEA's hourly 1-hour PM2.5 readings (the label and the persistence feature), NASA FIRMS satellite fire-hotspot detections for Sumatra and Kalimantan (the fire signal), and Open-Meteo historical weather at five points — Singapore plus one reference point near each half of each fire region (Riau and Palembang for Sumatra; Pontianak and Palangka Raya for Kalimantan). Nothing else is used. The hourly feature table built from these currently holds </w:t>
      </w:r>
      <w:r>
        <w:rPr>
          <w:b/>
          <w:bCs/>
        </w:rPr>
        <w:t xml:space="preserve">110,015</w:t>
      </w:r>
      <w:r>
        <w:t xml:space="preserve"> rows (</w:t>
      </w:r>
      <w:r>
        <w:rPr>
          <w:b/>
          <w:bCs/>
        </w:rPr>
        <w:t xml:space="preserve">1 Apr 2014 to 18 Oct 2026</w:t>
      </w:r>
      <w:r>
        <w:t xml:space="preserve">) and </w:t>
      </w:r>
      <w:r>
        <w:rPr>
          <w:b/>
          <w:bCs/>
        </w:rPr>
        <w:t xml:space="preserve">56</w:t>
      </w:r>
      <w:r>
        <w:t xml:space="preserve"> feature columns, built by bronze_to_silver.py (cleaning and gap-flagging) and silver_to_gold.py (the feature engineering itself).</w:t>
      </w:r>
    </w:p>
    <w:p>
      <w:pPr>
        <w:spacing w:after="160"/>
      </w:pPr>
      <w:r>
        <w:rPr>
          <w:b/>
          <w:bCs/>
        </w:rPr>
        <w:t xml:space="preserve">A design discipline worth naming explicitly: </w:t>
      </w:r>
      <w:r>
        <w:t xml:space="preserve">every feature uses today_&lt;region&gt; / now_&lt;region&gt; as the name for "the reading as of forecast time", kept deliberately separate from label_&lt;region&gt;, which is the same column shifted forward by the horizon. Two real bugs were caught and fixed in the hourly model specifically because this separation existed to check against: a first version excluded the label column but let it leak into the features anyway, and a later version excluded now_&lt;region&gt; entirely, silently removing the single strongest predictor from every model. Both are recorded in hourly_model.py's own comments, not papered over.</w:t>
      </w:r>
    </w:p>
    <w:p>
      <w:pPr>
        <w:spacing w:after="160"/>
      </w:pPr>
      <w:r>
        <w:t xml:space="preserve">The table below groups the engineered features by what they represent and how each was built: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600"/>
        <w:gridCol w:w="2800"/>
      </w:tblGrid>
      <w:tr>
        <w:tc>
          <w:tcPr>
            <w:tcW w:type="dxa" w:w="2000"/>
            <w:shd w:fill="1E2761" w:val="clear"/>
            <w:tcMar>
              <w:top w:type="dxa" w:w="80"/>
              <w:left w:type="dxa" w:w="100"/>
              <w:bottom w:type="dxa" w:w="80"/>
              <w:right w:type="dxa" w:w="100"/>
            </w:tcMar>
          </w:tcPr>
          <w:p>
            <w:r>
              <w:rPr>
                <w:b/>
                <w:bCs/>
                <w:color w:val="FFFFFF"/>
              </w:rPr>
              <w:t xml:space="preserve">Feature pattern</w:t>
            </w:r>
          </w:p>
        </w:tc>
        <w:tc>
          <w:tcPr>
            <w:tcW w:type="dxa" w:w="1600"/>
            <w:shd w:fill="1E2761" w:val="clear"/>
            <w:tcMar>
              <w:top w:type="dxa" w:w="80"/>
              <w:left w:type="dxa" w:w="100"/>
              <w:bottom w:type="dxa" w:w="80"/>
              <w:right w:type="dxa" w:w="100"/>
            </w:tcMar>
          </w:tcPr>
          <w:p>
            <w:r>
              <w:rPr>
                <w:b/>
                <w:bCs/>
                <w:color w:val="FFFFFF"/>
              </w:rPr>
              <w:t xml:space="preserve">Source</w:t>
            </w:r>
          </w:p>
        </w:tc>
        <w:tc>
          <w:tcPr>
            <w:tcW w:type="dxa" w:w="3600"/>
            <w:shd w:fill="1E2761" w:val="clear"/>
            <w:tcMar>
              <w:top w:type="dxa" w:w="80"/>
              <w:left w:type="dxa" w:w="100"/>
              <w:bottom w:type="dxa" w:w="80"/>
              <w:right w:type="dxa" w:w="100"/>
            </w:tcMar>
          </w:tcPr>
          <w:p>
            <w:r>
              <w:rPr>
                <w:b/>
                <w:bCs/>
                <w:color w:val="FFFFFF"/>
              </w:rPr>
              <w:t xml:space="preserve">What it represents</w:t>
            </w:r>
          </w:p>
        </w:tc>
        <w:tc>
          <w:tcPr>
            <w:tcW w:type="dxa" w:w="2800"/>
            <w:shd w:fill="1E2761" w:val="clear"/>
            <w:tcMar>
              <w:top w:type="dxa" w:w="80"/>
              <w:left w:type="dxa" w:w="100"/>
              <w:bottom w:type="dxa" w:w="80"/>
              <w:right w:type="dxa" w:w="100"/>
            </w:tcMar>
          </w:tcPr>
          <w:p>
            <w:r>
              <w:rPr>
                <w:b/>
                <w:bCs/>
                <w:color w:val="FFFFFF"/>
              </w:rPr>
              <w:t xml:space="preserve">How/why it was engineered</w:t>
            </w:r>
          </w:p>
        </w:tc>
      </w:tr>
      <w:tr>
        <w:tc>
          <w:tcPr>
            <w:tcW w:type="dxa" w:w="2000"/>
            <w:tcMar>
              <w:top w:type="dxa" w:w="80"/>
              <w:left w:type="dxa" w:w="100"/>
              <w:bottom w:type="dxa" w:w="80"/>
              <w:right w:type="dxa" w:w="100"/>
            </w:tcMar>
          </w:tcPr>
          <w:p>
            <w:r>
              <w:rPr>
                <w:b w:val="false"/>
                <w:bCs w:val="false"/>
              </w:rPr>
              <w:t xml:space="preserve">fire_&lt;region&gt;_lag{0,1,2,3}</w:t>
            </w:r>
          </w:p>
          <w:p>
            <w:r>
              <w:rPr>
                <w:b w:val="false"/>
                <w:bCs w:val="false"/>
              </w:rPr>
              <w:t xml:space="preserve">(region = sumatra, kalimantan, total)</w:t>
            </w:r>
          </w:p>
        </w:tc>
        <w:tc>
          <w:tcPr>
            <w:tcW w:type="dxa" w:w="1600"/>
            <w:tcMar>
              <w:top w:type="dxa" w:w="80"/>
              <w:left w:type="dxa" w:w="100"/>
              <w:bottom w:type="dxa" w:w="80"/>
              <w:right w:type="dxa" w:w="100"/>
            </w:tcMar>
          </w:tcPr>
          <w:p>
            <w:r>
              <w:rPr>
                <w:b w:val="false"/>
                <w:bCs w:val="false"/>
              </w:rPr>
              <w:t xml:space="preserve">NASA FIRMS (VIIRS), daily hotspot counts</w:t>
            </w:r>
          </w:p>
        </w:tc>
        <w:tc>
          <w:tcPr>
            <w:tcW w:type="dxa" w:w="3600"/>
            <w:tcMar>
              <w:top w:type="dxa" w:w="80"/>
              <w:left w:type="dxa" w:w="100"/>
              <w:bottom w:type="dxa" w:w="80"/>
              <w:right w:type="dxa" w:w="100"/>
            </w:tcMar>
          </w:tcPr>
          <w:p>
            <w:r>
              <w:rPr>
                <w:b w:val="false"/>
                <w:bCs w:val="false"/>
              </w:rPr>
              <w:t xml:space="preserve">Number of satellite-detected active fires in that source region, 0–3 days before the forecast point.</w:t>
            </w:r>
          </w:p>
        </w:tc>
        <w:tc>
          <w:tcPr>
            <w:tcW w:type="dxa" w:w="2800"/>
            <w:tcMar>
              <w:top w:type="dxa" w:w="80"/>
              <w:left w:type="dxa" w:w="100"/>
              <w:bottom w:type="dxa" w:w="80"/>
              <w:right w:type="dxa" w:w="100"/>
            </w:tcMar>
          </w:tcPr>
          <w:p>
            <w:r>
              <w:rPr>
                <w:b w:val="false"/>
                <w:bCs w:val="false"/>
              </w:rPr>
              <w:t xml:space="preserve">The project's own correlation analysis found same-day fires matter most, with a fading effect out to about 3 days; lags 0–3 were kept on that basis rather than an arbitrary window.</w:t>
            </w:r>
          </w:p>
        </w:tc>
      </w:tr>
      <w:tr>
        <w:tc>
          <w:tcPr>
            <w:tcW w:type="dxa" w:w="2000"/>
            <w:tcMar>
              <w:top w:type="dxa" w:w="80"/>
              <w:left w:type="dxa" w:w="100"/>
              <w:bottom w:type="dxa" w:w="80"/>
              <w:right w:type="dxa" w:w="100"/>
            </w:tcMar>
          </w:tcPr>
          <w:p>
            <w:r>
              <w:rPr>
                <w:b w:val="false"/>
                <w:bCs w:val="false"/>
              </w:rPr>
              <w:t xml:space="preserve">fire_&lt;region&gt;_roll{3,7}</w:t>
            </w:r>
          </w:p>
        </w:tc>
        <w:tc>
          <w:tcPr>
            <w:tcW w:type="dxa" w:w="1600"/>
            <w:tcMar>
              <w:top w:type="dxa" w:w="80"/>
              <w:left w:type="dxa" w:w="100"/>
              <w:bottom w:type="dxa" w:w="80"/>
              <w:right w:type="dxa" w:w="100"/>
            </w:tcMar>
          </w:tcPr>
          <w:p>
            <w:r>
              <w:rPr>
                <w:b w:val="false"/>
                <w:bCs w:val="false"/>
              </w:rPr>
              <w:t xml:space="preserve">Derived from the lag features above</w:t>
            </w:r>
          </w:p>
        </w:tc>
        <w:tc>
          <w:tcPr>
            <w:tcW w:type="dxa" w:w="3600"/>
            <w:tcMar>
              <w:top w:type="dxa" w:w="80"/>
              <w:left w:type="dxa" w:w="100"/>
              <w:bottom w:type="dxa" w:w="80"/>
              <w:right w:type="dxa" w:w="100"/>
            </w:tcMar>
          </w:tcPr>
          <w:p>
            <w:r>
              <w:rPr>
                <w:b w:val="false"/>
                <w:bCs w:val="false"/>
              </w:rPr>
              <w:t xml:space="preserve">3-day and 7-day rolling sums of hotspot counts.</w:t>
            </w:r>
          </w:p>
        </w:tc>
        <w:tc>
          <w:tcPr>
            <w:tcW w:type="dxa" w:w="2800"/>
            <w:tcMar>
              <w:top w:type="dxa" w:w="80"/>
              <w:left w:type="dxa" w:w="100"/>
              <w:bottom w:type="dxa" w:w="80"/>
              <w:right w:type="dxa" w:w="100"/>
            </w:tcMar>
          </w:tcPr>
          <w:p>
            <w:r>
              <w:rPr>
                <w:b w:val="false"/>
                <w:bCs w:val="false"/>
              </w:rPr>
              <w:t xml:space="preserve">Captures sustained fire activity (a build-up of haze-forming potential) that a single day's count misses.</w:t>
            </w:r>
          </w:p>
        </w:tc>
      </w:tr>
      <w:tr>
        <w:tc>
          <w:tcPr>
            <w:tcW w:type="dxa" w:w="2000"/>
            <w:tcMar>
              <w:top w:type="dxa" w:w="80"/>
              <w:left w:type="dxa" w:w="100"/>
              <w:bottom w:type="dxa" w:w="80"/>
              <w:right w:type="dxa" w:w="100"/>
            </w:tcMar>
          </w:tcPr>
          <w:p>
            <w:r>
              <w:rPr>
                <w:b w:val="false"/>
                <w:bCs w:val="false"/>
              </w:rPr>
              <w:t xml:space="preserve">fire_&lt;region&gt;_log_lag0</w:t>
            </w:r>
          </w:p>
        </w:tc>
        <w:tc>
          <w:tcPr>
            <w:tcW w:type="dxa" w:w="1600"/>
            <w:tcMar>
              <w:top w:type="dxa" w:w="80"/>
              <w:left w:type="dxa" w:w="100"/>
              <w:bottom w:type="dxa" w:w="80"/>
              <w:right w:type="dxa" w:w="100"/>
            </w:tcMar>
          </w:tcPr>
          <w:p>
            <w:r>
              <w:rPr>
                <w:b w:val="false"/>
                <w:bCs w:val="false"/>
              </w:rPr>
              <w:t xml:space="preserve">Derived from fire_&lt;region&gt;_lag0</w:t>
            </w:r>
          </w:p>
        </w:tc>
        <w:tc>
          <w:tcPr>
            <w:tcW w:type="dxa" w:w="3600"/>
            <w:tcMar>
              <w:top w:type="dxa" w:w="80"/>
              <w:left w:type="dxa" w:w="100"/>
              <w:bottom w:type="dxa" w:w="80"/>
              <w:right w:type="dxa" w:w="100"/>
            </w:tcMar>
          </w:tcPr>
          <w:p>
            <w:r>
              <w:rPr>
                <w:b w:val="false"/>
                <w:bCs w:val="false"/>
              </w:rPr>
              <w:t xml:space="preserve">log(1 + same-day hotspot count).</w:t>
            </w:r>
          </w:p>
        </w:tc>
        <w:tc>
          <w:tcPr>
            <w:tcW w:type="dxa" w:w="2800"/>
            <w:tcMar>
              <w:top w:type="dxa" w:w="80"/>
              <w:left w:type="dxa" w:w="100"/>
              <w:bottom w:type="dxa" w:w="80"/>
              <w:right w:type="dxa" w:w="100"/>
            </w:tcMar>
          </w:tcPr>
          <w:p>
            <w:r>
              <w:rPr>
                <w:b w:val="false"/>
                <w:bCs w:val="false"/>
              </w:rPr>
              <w:t xml:space="preserve">Hotspot counts are heavily right-skewed (many low/zero days, rare large spikes); the log transform stops a linear model's fit from being dominated by the extreme days.</w:t>
            </w:r>
          </w:p>
        </w:tc>
      </w:tr>
      <w:tr>
        <w:tc>
          <w:tcPr>
            <w:tcW w:type="dxa" w:w="2000"/>
            <w:tcMar>
              <w:top w:type="dxa" w:w="80"/>
              <w:left w:type="dxa" w:w="100"/>
              <w:bottom w:type="dxa" w:w="80"/>
              <w:right w:type="dxa" w:w="100"/>
            </w:tcMar>
          </w:tcPr>
          <w:p>
            <w:r>
              <w:rPr>
                <w:b w:val="false"/>
                <w:bCs w:val="false"/>
              </w:rPr>
              <w:t xml:space="preserve">fire_data_gap_recent</w:t>
            </w:r>
          </w:p>
        </w:tc>
        <w:tc>
          <w:tcPr>
            <w:tcW w:type="dxa" w:w="1600"/>
            <w:tcMar>
              <w:top w:type="dxa" w:w="80"/>
              <w:left w:type="dxa" w:w="100"/>
              <w:bottom w:type="dxa" w:w="80"/>
              <w:right w:type="dxa" w:w="100"/>
            </w:tcMar>
          </w:tcPr>
          <w:p>
            <w:r>
              <w:rPr>
                <w:b w:val="false"/>
                <w:bCs w:val="false"/>
              </w:rPr>
              <w:t xml:space="preserve">NASA FIRMS, via a data-quality check in bronze_to_silver.py</w:t>
            </w:r>
          </w:p>
        </w:tc>
        <w:tc>
          <w:tcPr>
            <w:tcW w:type="dxa" w:w="3600"/>
            <w:tcMar>
              <w:top w:type="dxa" w:w="80"/>
              <w:left w:type="dxa" w:w="100"/>
              <w:bottom w:type="dxa" w:w="80"/>
              <w:right w:type="dxa" w:w="100"/>
            </w:tcMar>
          </w:tcPr>
          <w:p>
            <w:r>
              <w:rPr>
                <w:b w:val="false"/>
                <w:bCs w:val="false"/>
              </w:rPr>
              <w:t xml:space="preserve">Flags whether any of the last 4 days had a likely missing-data gap in the fire feed, rather than a genuinely fire-free spell.</w:t>
            </w:r>
          </w:p>
        </w:tc>
        <w:tc>
          <w:tcPr>
            <w:tcW w:type="dxa" w:w="2800"/>
            <w:tcMar>
              <w:top w:type="dxa" w:w="80"/>
              <w:left w:type="dxa" w:w="100"/>
              <w:bottom w:type="dxa" w:w="80"/>
              <w:right w:type="dxa" w:w="100"/>
            </w:tcMar>
          </w:tcPr>
          <w:p>
            <w:r>
              <w:rPr>
                <w:b w:val="false"/>
                <w:bCs w:val="false"/>
              </w:rPr>
              <w:t xml:space="preserve">Profiling found month-long stretches of exactly zero detections that neighbouring days show is implausible (for example, all of May 2026); a run of 5+ zero-count days is flagged rather than trusted at face value.</w:t>
            </w:r>
          </w:p>
        </w:tc>
      </w:tr>
      <w:tr>
        <w:tc>
          <w:tcPr>
            <w:tcW w:type="dxa" w:w="2000"/>
            <w:tcMar>
              <w:top w:type="dxa" w:w="80"/>
              <w:left w:type="dxa" w:w="100"/>
              <w:bottom w:type="dxa" w:w="80"/>
              <w:right w:type="dxa" w:w="100"/>
            </w:tcMar>
          </w:tcPr>
          <w:p>
            <w:r>
              <w:rPr>
                <w:b w:val="false"/>
                <w:bCs w:val="false"/>
              </w:rPr>
              <w:t xml:space="preserve">wind_speed_&lt;point&gt;</w:t>
            </w:r>
          </w:p>
          <w:p>
            <w:r>
              <w:rPr>
                <w:b w:val="false"/>
                <w:bCs w:val="false"/>
              </w:rPr>
              <w:t xml:space="preserve">(point = singapore, riau, palembang, pontianak, palangka)</w:t>
            </w:r>
          </w:p>
        </w:tc>
        <w:tc>
          <w:tcPr>
            <w:tcW w:type="dxa" w:w="1600"/>
            <w:tcMar>
              <w:top w:type="dxa" w:w="80"/>
              <w:left w:type="dxa" w:w="100"/>
              <w:bottom w:type="dxa" w:w="80"/>
              <w:right w:type="dxa" w:w="100"/>
            </w:tcMar>
          </w:tcPr>
          <w:p>
            <w:r>
              <w:rPr>
                <w:b w:val="false"/>
                <w:bCs w:val="false"/>
              </w:rPr>
              <w:t xml:space="preserve">Open-Meteo historical weather (ERA5), hourly</w:t>
            </w:r>
          </w:p>
        </w:tc>
        <w:tc>
          <w:tcPr>
            <w:tcW w:type="dxa" w:w="3600"/>
            <w:tcMar>
              <w:top w:type="dxa" w:w="80"/>
              <w:left w:type="dxa" w:w="100"/>
              <w:bottom w:type="dxa" w:w="80"/>
              <w:right w:type="dxa" w:w="100"/>
            </w:tcMar>
          </w:tcPr>
          <w:p>
            <w:r>
              <w:rPr>
                <w:b w:val="false"/>
                <w:bCs w:val="false"/>
              </w:rPr>
              <w:t xml:space="preserve">Mean wind speed (km/h) at that location.</w:t>
            </w:r>
          </w:p>
        </w:tc>
        <w:tc>
          <w:tcPr>
            <w:tcW w:type="dxa" w:w="2800"/>
            <w:tcMar>
              <w:top w:type="dxa" w:w="80"/>
              <w:left w:type="dxa" w:w="100"/>
              <w:bottom w:type="dxa" w:w="80"/>
              <w:right w:type="dxa" w:w="100"/>
            </w:tcMar>
          </w:tcPr>
          <w:p>
            <w:r>
              <w:rPr>
                <w:b w:val="false"/>
                <w:bCs w:val="false"/>
              </w:rPr>
              <w:t xml:space="preserve">Taken directly from the weather feed; no engineering beyond daily averaging for the daily model (the hourly model uses the raw hourly reading).</w:t>
            </w:r>
          </w:p>
        </w:tc>
      </w:tr>
      <w:tr>
        <w:tc>
          <w:tcPr>
            <w:tcW w:type="dxa" w:w="2000"/>
            <w:tcMar>
              <w:top w:type="dxa" w:w="80"/>
              <w:left w:type="dxa" w:w="100"/>
              <w:bottom w:type="dxa" w:w="80"/>
              <w:right w:type="dxa" w:w="100"/>
            </w:tcMar>
          </w:tcPr>
          <w:p>
            <w:r>
              <w:rPr>
                <w:b w:val="false"/>
                <w:bCs w:val="false"/>
              </w:rPr>
              <w:t xml:space="preserve">wind_dir_&lt;point&gt;</w:t>
            </w:r>
          </w:p>
        </w:tc>
        <w:tc>
          <w:tcPr>
            <w:tcW w:type="dxa" w:w="1600"/>
            <w:tcMar>
              <w:top w:type="dxa" w:w="80"/>
              <w:left w:type="dxa" w:w="100"/>
              <w:bottom w:type="dxa" w:w="80"/>
              <w:right w:type="dxa" w:w="100"/>
            </w:tcMar>
          </w:tcPr>
          <w:p>
            <w:r>
              <w:rPr>
                <w:b w:val="false"/>
                <w:bCs w:val="false"/>
              </w:rPr>
              <w:t xml:space="preserve">Open-Meteo historical weather</w:t>
            </w:r>
          </w:p>
        </w:tc>
        <w:tc>
          <w:tcPr>
            <w:tcW w:type="dxa" w:w="3600"/>
            <w:tcMar>
              <w:top w:type="dxa" w:w="80"/>
              <w:left w:type="dxa" w:w="100"/>
              <w:bottom w:type="dxa" w:w="80"/>
              <w:right w:type="dxa" w:w="100"/>
            </w:tcMar>
          </w:tcPr>
          <w:p>
            <w:r>
              <w:rPr>
                <w:b w:val="false"/>
                <w:bCs w:val="false"/>
              </w:rPr>
              <w:t xml:space="preserve">Mean wind direction (degrees) at that location.</w:t>
            </w:r>
          </w:p>
        </w:tc>
        <w:tc>
          <w:tcPr>
            <w:tcW w:type="dxa" w:w="2800"/>
            <w:tcMar>
              <w:top w:type="dxa" w:w="80"/>
              <w:left w:type="dxa" w:w="100"/>
              <w:bottom w:type="dxa" w:w="80"/>
              <w:right w:type="dxa" w:w="100"/>
            </w:tcMar>
          </w:tcPr>
          <w:p>
            <w:r>
              <w:rPr>
                <w:b w:val="false"/>
                <w:bCs w:val="false"/>
              </w:rPr>
              <w:t xml:space="preserve">Directions wrap at 360°, so a plain arithmetic mean is wrong (350° and 10° would average to 180°, not ~0°); the daily feature is instead a circular mean, computed by averaging the sine and cosine of the direction separately and recombining them.</w:t>
            </w:r>
          </w:p>
        </w:tc>
      </w:tr>
      <w:tr>
        <w:tc>
          <w:tcPr>
            <w:tcW w:type="dxa" w:w="2000"/>
            <w:tcMar>
              <w:top w:type="dxa" w:w="80"/>
              <w:left w:type="dxa" w:w="100"/>
              <w:bottom w:type="dxa" w:w="80"/>
              <w:right w:type="dxa" w:w="100"/>
            </w:tcMar>
          </w:tcPr>
          <w:p>
            <w:r>
              <w:rPr>
                <w:b w:val="false"/>
                <w:bCs w:val="false"/>
              </w:rPr>
              <w:t xml:space="preserve">rain_&lt;point&gt;_mm /</w:t>
            </w:r>
          </w:p>
          <w:p>
            <w:r>
              <w:rPr>
                <w:b w:val="false"/>
                <w:bCs w:val="false"/>
              </w:rPr>
              <w:t xml:space="preserve">rain_&lt;point&gt;_roll{3,7} (daily)</w:t>
            </w:r>
          </w:p>
          <w:p>
            <w:r>
              <w:rPr>
                <w:b w:val="false"/>
                <w:bCs w:val="false"/>
              </w:rPr>
              <w:t xml:space="preserve">rain_&lt;point&gt;_roll{3h,24h} (hourly)</w:t>
            </w:r>
          </w:p>
        </w:tc>
        <w:tc>
          <w:tcPr>
            <w:tcW w:type="dxa" w:w="1600"/>
            <w:tcMar>
              <w:top w:type="dxa" w:w="80"/>
              <w:left w:type="dxa" w:w="100"/>
              <w:bottom w:type="dxa" w:w="80"/>
              <w:right w:type="dxa" w:w="100"/>
            </w:tcMar>
          </w:tcPr>
          <w:p>
            <w:r>
              <w:rPr>
                <w:b w:val="false"/>
                <w:bCs w:val="false"/>
              </w:rPr>
              <w:t xml:space="preserve">Open-Meteo historical weather</w:t>
            </w:r>
          </w:p>
        </w:tc>
        <w:tc>
          <w:tcPr>
            <w:tcW w:type="dxa" w:w="3600"/>
            <w:tcMar>
              <w:top w:type="dxa" w:w="80"/>
              <w:left w:type="dxa" w:w="100"/>
              <w:bottom w:type="dxa" w:w="80"/>
              <w:right w:type="dxa" w:w="100"/>
            </w:tcMar>
          </w:tcPr>
          <w:p>
            <w:r>
              <w:rPr>
                <w:b w:val="false"/>
                <w:bCs w:val="false"/>
              </w:rPr>
              <w:t xml:space="preserve">Rainfall at that location, and short-term accumulated rainfall.</w:t>
            </w:r>
          </w:p>
        </w:tc>
        <w:tc>
          <w:tcPr>
            <w:tcW w:type="dxa" w:w="2800"/>
            <w:tcMar>
              <w:top w:type="dxa" w:w="80"/>
              <w:left w:type="dxa" w:w="100"/>
              <w:bottom w:type="dxa" w:w="80"/>
              <w:right w:type="dxa" w:w="100"/>
            </w:tcMar>
          </w:tcPr>
          <w:p>
            <w:r>
              <w:rPr>
                <w:b w:val="false"/>
                <w:bCs w:val="false"/>
              </w:rPr>
              <w:t xml:space="preserve">Rain washes particulates out of the air, so it is a negative driver of PM2.5; the rolling sums capture sustained wet weather beyond a single reading.</w:t>
            </w:r>
          </w:p>
        </w:tc>
      </w:tr>
      <w:tr>
        <w:tc>
          <w:tcPr>
            <w:tcW w:type="dxa" w:w="2000"/>
            <w:tcMar>
              <w:top w:type="dxa" w:w="80"/>
              <w:left w:type="dxa" w:w="100"/>
              <w:bottom w:type="dxa" w:w="80"/>
              <w:right w:type="dxa" w:w="100"/>
            </w:tcMar>
          </w:tcPr>
          <w:p>
            <w:r>
              <w:rPr>
                <w:b w:val="false"/>
                <w:bCs w:val="false"/>
              </w:rPr>
              <w:t xml:space="preserve">upwind_sumatra, upwind_kalimantan,</w:t>
            </w:r>
          </w:p>
          <w:p>
            <w:r>
              <w:rPr>
                <w:b w:val="false"/>
                <w:bCs w:val="false"/>
              </w:rPr>
              <w:t xml:space="preserve">upwind_total</w:t>
            </w:r>
          </w:p>
        </w:tc>
        <w:tc>
          <w:tcPr>
            <w:tcW w:type="dxa" w:w="1600"/>
            <w:tcMar>
              <w:top w:type="dxa" w:w="80"/>
              <w:left w:type="dxa" w:w="100"/>
              <w:bottom w:type="dxa" w:w="80"/>
              <w:right w:type="dxa" w:w="100"/>
            </w:tcMar>
          </w:tcPr>
          <w:p>
            <w:r>
              <w:rPr>
                <w:b w:val="false"/>
                <w:bCs w:val="false"/>
              </w:rPr>
              <w:t xml:space="preserve">Engineered from the fire and wind features above — not a raw input</w:t>
            </w:r>
          </w:p>
        </w:tc>
        <w:tc>
          <w:tcPr>
            <w:tcW w:type="dxa" w:w="3600"/>
            <w:tcMar>
              <w:top w:type="dxa" w:w="80"/>
              <w:left w:type="dxa" w:w="100"/>
              <w:bottom w:type="dxa" w:w="80"/>
              <w:right w:type="dxa" w:w="100"/>
            </w:tcMar>
          </w:tcPr>
          <w:p>
            <w:r>
              <w:rPr>
                <w:b w:val="false"/>
                <w:bCs w:val="false"/>
              </w:rPr>
              <w:t xml:space="preserve">An "upwind exposure dose": how much each source region's recent fire activity is actually being blown toward Singapore right now.</w:t>
            </w:r>
          </w:p>
        </w:tc>
        <w:tc>
          <w:tcPr>
            <w:tcW w:type="dxa" w:w="2800"/>
            <w:tcMar>
              <w:top w:type="dxa" w:w="80"/>
              <w:left w:type="dxa" w:w="100"/>
              <w:bottom w:type="dxa" w:w="80"/>
              <w:right w:type="dxa" w:w="100"/>
            </w:tcMar>
          </w:tcPr>
          <w:p>
            <w:r>
              <w:rPr>
                <w:b w:val="false"/>
                <w:bCs w:val="false"/>
              </w:rPr>
              <w:t xml:space="preserve">Fire counts and wind direction are otherwise two unrelated columns — a model can't easily rediscover "which compass direction Sumatra is from Singapore" from raw degrees alone, since that is a geographic fact, not something learnable from the labels. The compass bearing from Singapore to each source region's bounding-box centre is computed once (spherical bearing formula), then compared against the current wind direction via cos(wind direction − bearing), clipped at zero so wind blowing away from a source scores zero rather than negative. That alignment score is multiplied by the region's 7-day fire count to get the final feature.</w:t>
            </w:r>
          </w:p>
        </w:tc>
      </w:tr>
      <w:tr>
        <w:tc>
          <w:tcPr>
            <w:tcW w:type="dxa" w:w="2000"/>
            <w:tcMar>
              <w:top w:type="dxa" w:w="80"/>
              <w:left w:type="dxa" w:w="100"/>
              <w:bottom w:type="dxa" w:w="80"/>
              <w:right w:type="dxa" w:w="100"/>
            </w:tcMar>
          </w:tcPr>
          <w:p>
            <w:r>
              <w:rPr>
                <w:b w:val="false"/>
                <w:bCs w:val="false"/>
              </w:rPr>
              <w:t xml:space="preserve">today_&lt;region&gt; (daily) /</w:t>
            </w:r>
          </w:p>
          <w:p>
            <w:r>
              <w:rPr>
                <w:b w:val="false"/>
                <w:bCs w:val="false"/>
              </w:rPr>
              <w:t xml:space="preserve">now_&lt;region&gt; (hourly)</w:t>
            </w:r>
          </w:p>
        </w:tc>
        <w:tc>
          <w:tcPr>
            <w:tcW w:type="dxa" w:w="1600"/>
            <w:tcMar>
              <w:top w:type="dxa" w:w="80"/>
              <w:left w:type="dxa" w:w="100"/>
              <w:bottom w:type="dxa" w:w="80"/>
              <w:right w:type="dxa" w:w="100"/>
            </w:tcMar>
          </w:tcPr>
          <w:p>
            <w:r>
              <w:rPr>
                <w:b w:val="false"/>
                <w:bCs w:val="false"/>
              </w:rPr>
              <w:t xml:space="preserve">NEA Historical 1-hr PM2.5 — the region's own reading</w:t>
            </w:r>
          </w:p>
        </w:tc>
        <w:tc>
          <w:tcPr>
            <w:tcW w:type="dxa" w:w="3600"/>
            <w:tcMar>
              <w:top w:type="dxa" w:w="80"/>
              <w:left w:type="dxa" w:w="100"/>
              <w:bottom w:type="dxa" w:w="80"/>
              <w:right w:type="dxa" w:w="100"/>
            </w:tcMar>
          </w:tcPr>
          <w:p>
            <w:r>
              <w:rPr>
                <w:b w:val="false"/>
                <w:bCs w:val="false"/>
              </w:rPr>
              <w:t xml:space="preserve">The region's most recent own PM2.5 reading at forecast time.</w:t>
            </w:r>
          </w:p>
        </w:tc>
        <w:tc>
          <w:tcPr>
            <w:tcW w:type="dxa" w:w="2800"/>
            <w:tcMar>
              <w:top w:type="dxa" w:w="80"/>
              <w:left w:type="dxa" w:w="100"/>
              <w:bottom w:type="dxa" w:w="80"/>
              <w:right w:type="dxa" w:w="100"/>
            </w:tcMar>
          </w:tcPr>
          <w:p>
            <w:r>
              <w:rPr>
                <w:b w:val="false"/>
                <w:bCs w:val="false"/>
              </w:rPr>
              <w:t xml:space="preserve">Included deliberately as a feature, not only as the persistence baseline: a region's own current reading is normally the single strongest predictor of its near-term future reading. Two bugs were caught and fixed during development where this column was accidentally stripped out or where the shifted label leaked into it — both are noted in hourly_model.py's own comments.</w:t>
            </w:r>
          </w:p>
        </w:tc>
      </w:tr>
      <w:tr>
        <w:tc>
          <w:tcPr>
            <w:tcW w:type="dxa" w:w="2000"/>
            <w:tcMar>
              <w:top w:type="dxa" w:w="80"/>
              <w:left w:type="dxa" w:w="100"/>
              <w:bottom w:type="dxa" w:w="80"/>
              <w:right w:type="dxa" w:w="100"/>
            </w:tcMar>
          </w:tcPr>
          <w:p>
            <w:r>
              <w:rPr>
                <w:b w:val="false"/>
                <w:bCs w:val="false"/>
              </w:rPr>
              <w:t xml:space="preserve">label_&lt;region&gt;</w:t>
            </w:r>
          </w:p>
        </w:tc>
        <w:tc>
          <w:tcPr>
            <w:tcW w:type="dxa" w:w="1600"/>
            <w:tcMar>
              <w:top w:type="dxa" w:w="80"/>
              <w:left w:type="dxa" w:w="100"/>
              <w:bottom w:type="dxa" w:w="80"/>
              <w:right w:type="dxa" w:w="100"/>
            </w:tcMar>
          </w:tcPr>
          <w:p>
            <w:r>
              <w:rPr>
                <w:b w:val="false"/>
                <w:bCs w:val="false"/>
              </w:rPr>
              <w:t xml:space="preserve">NEA Historical 1-hr PM2.5 — same column, shifted</w:t>
            </w:r>
          </w:p>
        </w:tc>
        <w:tc>
          <w:tcPr>
            <w:tcW w:type="dxa" w:w="3600"/>
            <w:tcMar>
              <w:top w:type="dxa" w:w="80"/>
              <w:left w:type="dxa" w:w="100"/>
              <w:bottom w:type="dxa" w:w="80"/>
              <w:right w:type="dxa" w:w="100"/>
            </w:tcMar>
          </w:tcPr>
          <w:p>
            <w:r>
              <w:rPr>
                <w:b w:val="false"/>
                <w:bCs w:val="false"/>
              </w:rPr>
              <w:t xml:space="preserve">The target: that region's PM2.5 exactly one forecast horizon ahead (1 day for the daily model; 1/3/6/12 hours for the hourly model).</w:t>
            </w:r>
          </w:p>
        </w:tc>
        <w:tc>
          <w:tcPr>
            <w:tcW w:type="dxa" w:w="2800"/>
            <w:tcMar>
              <w:top w:type="dxa" w:w="80"/>
              <w:left w:type="dxa" w:w="100"/>
              <w:bottom w:type="dxa" w:w="80"/>
              <w:right w:type="dxa" w:w="100"/>
            </w:tcMar>
          </w:tcPr>
          <w:p>
            <w:r>
              <w:rPr>
                <w:b w:val="false"/>
                <w:bCs w:val="false"/>
              </w:rPr>
              <w:t xml:space="preserve">Built by shifting the raw reading backwards in time by the horizon, while the today_/now_ feature above keeps the unshifted value — this is what keeps the feature set leak-free by construction.</w:t>
            </w:r>
          </w:p>
        </w:tc>
      </w:tr>
    </w:tbl>
    <w:p>
      <w:pPr>
        <w:spacing w:after="160"/>
      </w:pPr>
      <w:r>
        <w:t xml:space="preserve"/>
      </w:r>
    </w:p>
    <w:p>
      <w:pPr>
        <w:spacing w:after="200"/>
      </w:pPr>
      <w:r>
        <w:rPr>
          <w:i/>
          <w:iCs/>
          <w:color w:val="595959"/>
          <w:sz w:val="20"/>
          <w:szCs w:val="20"/>
        </w:rPr>
        <w:t xml:space="preserve">Feature count by group: fire features, 21 (3 region groupings × 7 lag/roll/log columns) + 1 data-gap flag; weather features, 25 (5 points × 5 wind/rain columns, hourly grain); upwind features, 3; persistence feature, 6 (one per region + national); the daily model's equivalent table swaps the hourly rain windows (3h/24h) for daily ones (3-day/7-day) and otherwise matches.</w:t>
      </w:r>
    </w:p>
    <w:p>
      <w:pPr>
        <w:pStyle w:val="Heading1"/>
        <w:spacing w:after="160" w:before="360"/>
      </w:pPr>
      <w:r>
        <w:t xml:space="preserve">3. How each model used the features, and how tuning was done</w:t>
      </w:r>
    </w:p>
    <w:p>
      <w:pPr>
        <w:spacing w:after="160"/>
      </w:pPr>
      <w:r>
        <w:t xml:space="preserve">No feature-selection step exists anywhere in the pipeline — every model (other than persistence) is simply handed the full feature set via a single _feature_columns() function that excludes only the date and label columns. Whatever differentiation exists between model families comes entirely from the estimator, not from choosing different inputs for each.</w:t>
      </w:r>
    </w:p>
    <w:p>
      <w:pPr>
        <w:pStyle w:val="Heading2"/>
        <w:spacing w:after="120" w:before="280"/>
      </w:pPr>
      <w:r>
        <w:t xml:space="preserve">Persistence</w:t>
      </w:r>
    </w:p>
    <w:p>
      <w:pPr>
        <w:spacing w:after="160"/>
      </w:pPr>
      <w:r>
        <w:t xml:space="preserve">No features, no fitting, no tuning. This is the one candidate that is not a model in the statistical sense.</w:t>
      </w:r>
    </w:p>
    <w:p>
      <w:pPr>
        <w:pStyle w:val="Heading2"/>
        <w:spacing w:after="120" w:before="280"/>
      </w:pPr>
      <w:r>
        <w:t xml:space="preserve">Linear regression</w:t>
      </w:r>
    </w:p>
    <w:p>
      <w:pPr>
        <w:spacing w:after="160"/>
      </w:pPr>
      <w:r>
        <w:t xml:space="preserve">Fitted with scikit-learn's ordinary LinearRegression on the full feature set — closed-form least squares, deterministic, with no hyperparameter to tune in the form used here. No search of any kind applies to this candidate.</w:t>
      </w:r>
    </w:p>
    <w:p>
      <w:pPr>
        <w:pStyle w:val="Heading2"/>
        <w:spacing w:after="120" w:before="280"/>
      </w:pPr>
      <w:r>
        <w:t xml:space="preserve">XGBoost (daily model)</w:t>
      </w:r>
    </w:p>
    <w:p>
      <w:pPr>
        <w:spacing w:after="160"/>
      </w:pPr>
      <w:r>
        <w:t xml:space="preserve">Fitted on the full feature set with a fixed set of tree/boosting hyperparameters held as constants in config.py: </w:t>
      </w:r>
      <w:r>
        <w:rPr>
          <w:rFonts w:ascii="Courier New" w:cs="Courier New" w:eastAsia="Courier New" w:hAnsi="Courier New"/>
          <w:sz w:val="20"/>
          <w:szCs w:val="20"/>
        </w:rPr>
        <w:t xml:space="preserve">n_estimators=300, max_depth=4, learning_rate=0.05, subsample=0.8, colsample_bytree=0.8</w:t>
      </w:r>
      <w:r>
        <w:t xml:space="preserve">. </w:t>
      </w:r>
      <w:r>
        <w:rPr>
          <w:b/>
          <w:bCs/>
        </w:rPr>
        <w:t xml:space="preserve">This was not the output of an automated hyperparameter search:</w:t>
      </w:r>
      <w:r>
        <w:t xml:space="preserve"> a full search of both repositories' git history (every commit, every branch) found no GridSearchCV, Optuna, RandomizedSearch, or any comparable tool referenced anywhere. These read as a single reasonable set of defaults chosen once, not a tuned result — worth confirming directly with whoever on the team owns the XGBoost half of the workload, since that detail is not written down anywhere in the repo.</w:t>
      </w:r>
    </w:p>
    <w:p>
      <w:pPr>
        <w:pStyle w:val="Heading1"/>
        <w:spacing w:after="160" w:before="360"/>
      </w:pPr>
      <w:r>
        <w:t xml:space="preserve">4. Quantile regression — why, and how the settings were reached</w:t>
      </w:r>
    </w:p>
    <w:p>
      <w:pPr>
        <w:pStyle w:val="Heading2"/>
        <w:spacing w:after="120" w:before="280"/>
      </w:pPr>
      <w:r>
        <w:t xml:space="preserve">Why a quantile objective at all</w:t>
      </w:r>
    </w:p>
    <w:p>
      <w:pPr>
        <w:spacing w:after="160"/>
      </w:pPr>
      <w:r>
        <w:t xml:space="preserve">Elevated (haze) days make up only about 2% of all days in this dataset. A model trained to minimise mean absolute error is pulled toward the calm majority and systematically under-predicts the rare highs — exactly the failure mode this project cares about avoiding, since the cost of missing a real elevated period (a false negative) is judged higher than the cost of an extra false alarm. Quantile regression, fitted against a high percentile (for example the 85th) instead of the mean, deliberately biases its output upward: it answers "what value is this unlikely to exceed </w:t>
      </w:r>
      <w:r>
        <w:rPr>
          <w:i/>
          <w:iCs/>
        </w:rPr>
        <w:t xml:space="preserve">X</w:t>
      </w:r>
      <w:r>
        <w:t xml:space="preserve">% of the time" rather than "what is the expected value", and for a right-skewed quantity like PM2.5 that shift is exactly the direction that improves recall on elevated days, at a real cost in false alarms and a season-dependent change in plain MAE.</w:t>
      </w:r>
    </w:p>
    <w:p>
      <w:pPr>
        <w:pStyle w:val="Heading2"/>
        <w:spacing w:after="120" w:before="280"/>
      </w:pPr>
      <w:r>
        <w:t xml:space="preserve">How it was implemented</w:t>
      </w:r>
    </w:p>
    <w:p>
      <w:pPr>
        <w:spacing w:after="160"/>
      </w:pPr>
      <w:r>
        <w:rPr>
          <w:b/>
          <w:bCs/>
        </w:rPr>
        <w:t xml:space="preserve">Daily model (XGBoost): </w:t>
      </w:r>
      <w:r>
        <w:t xml:space="preserve">the native </w:t>
      </w:r>
      <w:r>
        <w:rPr>
          <w:rFonts w:ascii="Courier New" w:cs="Courier New" w:eastAsia="Courier New" w:hAnsi="Courier New"/>
          <w:sz w:val="20"/>
          <w:szCs w:val="20"/>
        </w:rPr>
        <w:t xml:space="preserve">objective="reg:quantileerror", quantile_alpha=0.85</w:t>
      </w:r>
      <w:r>
        <w:t xml:space="preserve"> setting in XGBRegressor — a built-in loss function, not a custom implementation. The 0.85 figure was reached by a manual sweep across 0.70–0.95 against the real evaluation data: 0.70–0.80 caught meaningfully fewer elevated days, 0.90–0.95 added false alarms without a matching recall gain, and 0.85 was the best balance found. This sweep is described in the README but its script was not committed to the repository (the README's own words: "ask Brandon for the sweep script") — it was run outside version control.</w:t>
      </w:r>
    </w:p>
    <w:p>
      <w:pPr>
        <w:spacing w:after="160"/>
      </w:pPr>
      <w:r>
        <w:rPr>
          <w:b/>
          <w:bCs/>
        </w:rPr>
        <w:t xml:space="preserve">Hourly model (linear quantile regression): </w:t>
      </w:r>
      <w:r>
        <w:t xml:space="preserve">one scikit-learn </w:t>
      </w:r>
      <w:r>
        <w:rPr>
          <w:rFonts w:ascii="Courier New" w:cs="Courier New" w:eastAsia="Courier New" w:hAnsi="Courier New"/>
          <w:sz w:val="20"/>
          <w:szCs w:val="20"/>
        </w:rPr>
        <w:t xml:space="preserve">QuantileRegressor(quantile, alpha, solver="highs")</w:t>
      </w:r>
      <w:r>
        <w:t xml:space="preserve"> is fitted per region per horizon — the same quantile-loss idea, but as a linear model solved by linear programming (hence the "highs" solver) rather than a tree loss. Both the quantile and an L1 </w:t>
      </w:r>
      <w:r>
        <w:rPr>
          <w:rFonts w:ascii="Courier New" w:cs="Courier New" w:eastAsia="Courier New" w:hAnsi="Courier New"/>
          <w:sz w:val="20"/>
          <w:szCs w:val="20"/>
        </w:rPr>
        <w:t xml:space="preserve">alpha</w:t>
      </w:r>
      <w:r>
        <w:t xml:space="preserve"> (which pulls the fit back toward zero on noisy/collinear features) are tunable per cell.</w:t>
      </w:r>
    </w:p>
    <w:p>
      <w:pPr>
        <w:pStyle w:val="Heading2"/>
        <w:spacing w:after="120" w:before="280"/>
      </w:pPr>
      <w:r>
        <w:t xml:space="preserve">How the per-region settings were actually reached</w:t>
      </w:r>
    </w:p>
    <w:p>
      <w:pPr>
        <w:spacing w:after="160"/>
      </w:pPr>
      <w:r>
        <w:rPr>
          <w:b/>
          <w:bCs/>
        </w:rPr>
        <w:t xml:space="preserve">This was a manual, metric-driven, one-region-at-a-time process — not a single automated search across the whole grid.</w:t>
      </w:r>
      <w:r>
        <w:t xml:space="preserve"> The stopping criterion throughout was the project's own dual bar, checked per region × haze season: recall_elevated at or above 1.15× persistence's recall_elevated, AND mae_elevated at or below 1.15× persistence's mae_elevated, both at once.</w:t>
      </w:r>
    </w:p>
    <w:p>
      <w:pPr>
        <w:pStyle w:val="ListParagraph"/>
        <w:numPr>
          <w:ilvl w:val="0"/>
          <w:numId w:val="1"/>
        </w:numPr>
        <w:spacing w:after="80"/>
      </w:pPr>
      <w:r>
        <w:t xml:space="preserve">Start from a baseline quantile for each region and check it against the dual bar on both the 2015 and 2019 haze-season folds.</w:t>
      </w:r>
    </w:p>
    <w:p>
      <w:pPr>
        <w:pStyle w:val="ListParagraph"/>
        <w:numPr>
          <w:ilvl w:val="0"/>
          <w:numId w:val="1"/>
        </w:numPr>
        <w:spacing w:after="80"/>
      </w:pPr>
      <w:r>
        <w:t xml:space="preserve">Where a quantile high enough to fix a recall shortfall in one season broke the MAE bound in the other (a season-boundary conflict), L1 alpha was swept as a second lever — raising alpha pulls extreme coefficients back without lowering the quantile itself.</w:t>
      </w:r>
    </w:p>
    <w:p>
      <w:pPr>
        <w:pStyle w:val="ListParagraph"/>
        <w:numPr>
          <w:ilvl w:val="0"/>
          <w:numId w:val="1"/>
        </w:numPr>
        <w:spacing w:after="80"/>
      </w:pPr>
      <w:r>
        <w:t xml:space="preserve">This was done region by region, not as one combined search: east was "fully resolved via alpha"; national and west remained open gaps where alpha either only partly helped (national) or actively made things worse in one season (west) — both are logged as accepted limitations, not silently treated as solved.</w:t>
      </w:r>
    </w:p>
    <w:p>
      <w:pPr>
        <w:pStyle w:val="ListParagraph"/>
        <w:numPr>
          <w:ilvl w:val="0"/>
          <w:numId w:val="1"/>
        </w:numPr>
        <w:spacing w:after="80"/>
      </w:pPr>
      <w:r>
        <w:t xml:space="preserve">The final h=1 settings were re-checked under a second random seed (123, against the original 42) for the training subsample. One boundary-level result surfaced — national/2019's MAE narrowly passes under seed 42 and narrowly fails under seed 123 — and was logged as a caveat rather than either hidden or treated as a failure.</w:t>
      </w:r>
    </w:p>
    <w:p>
      <w:pPr>
        <w:pStyle w:val="ListParagraph"/>
        <w:numPr>
          <w:ilvl w:val="0"/>
          <w:numId w:val="1"/>
        </w:numPr>
        <w:spacing w:after="80"/>
      </w:pPr>
      <w:r>
        <w:t xml:space="preserve">h=3 only received its own override where the h=1 setting did not carry over cleanly (north, south, east, national); west and central reuse the h=1 setting at h=3 by falling through get_tuned_setting()'s default. h=6 and h=12 reuse each region's h=1 setting everywhere, after a targeted alpha=0.5 sweep at those two horizons specifically found no systematic gain over alpha=0.</w:t>
      </w:r>
    </w:p>
    <w:p>
      <w:pPr>
        <w:spacing w:after="160"/>
      </w:pPr>
      <w:r>
        <w:t xml:space="preserve">The settings this process produced: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2300"/>
        <w:gridCol w:w="2300"/>
      </w:tblGrid>
      <w:tr>
        <w:tc>
          <w:tcPr>
            <w:tcW w:type="dxa" w:w="1600"/>
            <w:shd w:fill="1E2761" w:val="clear"/>
            <w:tcMar>
              <w:top w:type="dxa" w:w="80"/>
              <w:left w:type="dxa" w:w="100"/>
              <w:bottom w:type="dxa" w:w="80"/>
              <w:right w:type="dxa" w:w="100"/>
            </w:tcMar>
          </w:tcPr>
          <w:p>
            <w:r>
              <w:rPr>
                <w:b/>
                <w:bCs/>
                <w:color w:val="FFFFFF"/>
              </w:rPr>
              <w:t xml:space="preserve">Region</w:t>
            </w:r>
          </w:p>
        </w:tc>
        <w:tc>
          <w:tcPr>
            <w:tcW w:type="dxa" w:w="1900"/>
            <w:shd w:fill="1E2761" w:val="clear"/>
            <w:tcMar>
              <w:top w:type="dxa" w:w="80"/>
              <w:left w:type="dxa" w:w="100"/>
              <w:bottom w:type="dxa" w:w="80"/>
              <w:right w:type="dxa" w:w="100"/>
            </w:tcMar>
          </w:tcPr>
          <w:p>
            <w:r>
              <w:rPr>
                <w:b/>
                <w:bCs/>
                <w:color w:val="FFFFFF"/>
              </w:rPr>
              <w:t xml:space="preserve">Quantile (h=1)</w:t>
            </w:r>
          </w:p>
        </w:tc>
        <w:tc>
          <w:tcPr>
            <w:tcW w:type="dxa" w:w="1900"/>
            <w:shd w:fill="1E2761" w:val="clear"/>
            <w:tcMar>
              <w:top w:type="dxa" w:w="80"/>
              <w:left w:type="dxa" w:w="100"/>
              <w:bottom w:type="dxa" w:w="80"/>
              <w:right w:type="dxa" w:w="100"/>
            </w:tcMar>
          </w:tcPr>
          <w:p>
            <w:r>
              <w:rPr>
                <w:b/>
                <w:bCs/>
                <w:color w:val="FFFFFF"/>
              </w:rPr>
              <w:t xml:space="preserve">L1 alpha (h=1)</w:t>
            </w:r>
          </w:p>
        </w:tc>
        <w:tc>
          <w:tcPr>
            <w:tcW w:type="dxa" w:w="2300"/>
            <w:shd w:fill="1E2761" w:val="clear"/>
            <w:tcMar>
              <w:top w:type="dxa" w:w="80"/>
              <w:left w:type="dxa" w:w="100"/>
              <w:bottom w:type="dxa" w:w="80"/>
              <w:right w:type="dxa" w:w="100"/>
            </w:tcMar>
          </w:tcPr>
          <w:p>
            <w:r>
              <w:rPr>
                <w:b/>
                <w:bCs/>
                <w:color w:val="FFFFFF"/>
              </w:rPr>
              <w:t xml:space="preserve">h=3 override</w:t>
            </w:r>
          </w:p>
        </w:tc>
        <w:tc>
          <w:tcPr>
            <w:tcW w:type="dxa" w:w="2300"/>
            <w:shd w:fill="1E2761" w:val="clear"/>
            <w:tcMar>
              <w:top w:type="dxa" w:w="80"/>
              <w:left w:type="dxa" w:w="100"/>
              <w:bottom w:type="dxa" w:w="80"/>
              <w:right w:type="dxa" w:w="100"/>
            </w:tcMar>
          </w:tcPr>
          <w:p>
            <w:r>
              <w:rPr>
                <w:b/>
                <w:bCs/>
                <w:color w:val="FFFFFF"/>
              </w:rPr>
              <w:t xml:space="preserve">h=6 / h=12</w:t>
            </w:r>
          </w:p>
        </w:tc>
      </w:tr>
      <w:tr>
        <w:tc>
          <w:tcPr>
            <w:tcW w:type="dxa" w:w="1600"/>
            <w:tcMar>
              <w:top w:type="dxa" w:w="80"/>
              <w:left w:type="dxa" w:w="100"/>
              <w:bottom w:type="dxa" w:w="80"/>
              <w:right w:type="dxa" w:w="100"/>
            </w:tcMar>
          </w:tcPr>
          <w:p>
            <w:r>
              <w:rPr>
                <w:b w:val="false"/>
                <w:bCs w:val="false"/>
              </w:rPr>
              <w:t xml:space="preserve">north</w:t>
            </w:r>
          </w:p>
        </w:tc>
        <w:tc>
          <w:tcPr>
            <w:tcW w:type="dxa" w:w="1900"/>
            <w:tcMar>
              <w:top w:type="dxa" w:w="80"/>
              <w:left w:type="dxa" w:w="100"/>
              <w:bottom w:type="dxa" w:w="80"/>
              <w:right w:type="dxa" w:w="100"/>
            </w:tcMar>
          </w:tcPr>
          <w:p>
            <w:pPr>
              <w:jc w:val="center"/>
            </w:pPr>
            <w:r>
              <w:rPr>
                <w:b w:val="false"/>
                <w:bCs w:val="false"/>
              </w:rPr>
              <w:t xml:space="preserve">0.85</w:t>
            </w:r>
          </w:p>
        </w:tc>
        <w:tc>
          <w:tcPr>
            <w:tcW w:type="dxa" w:w="1900"/>
            <w:tcMar>
              <w:top w:type="dxa" w:w="80"/>
              <w:left w:type="dxa" w:w="100"/>
              <w:bottom w:type="dxa" w:w="80"/>
              <w:right w:type="dxa" w:w="100"/>
            </w:tcMar>
          </w:tcPr>
          <w:p>
            <w:pPr>
              <w:jc w:val="center"/>
            </w:pPr>
            <w:r>
              <w:rPr>
                <w:b w:val="false"/>
                <w:bCs w:val="false"/>
              </w:rPr>
              <w:t xml:space="preserve">0.3</w:t>
            </w:r>
          </w:p>
        </w:tc>
        <w:tc>
          <w:tcPr>
            <w:tcW w:type="dxa" w:w="2300"/>
            <w:tcMar>
              <w:top w:type="dxa" w:w="80"/>
              <w:left w:type="dxa" w:w="100"/>
              <w:bottom w:type="dxa" w:w="80"/>
              <w:right w:type="dxa" w:w="100"/>
            </w:tcMar>
          </w:tcPr>
          <w:p>
            <w:pPr>
              <w:jc w:val="center"/>
            </w:pPr>
            <w:r>
              <w:rPr>
                <w:b w:val="false"/>
                <w:bCs w:val="false"/>
              </w:rPr>
              <w:t xml:space="preserve">0.90 / 0.0</w:t>
            </w:r>
          </w:p>
        </w:tc>
        <w:tc>
          <w:tcPr>
            <w:tcW w:type="dxa" w:w="2300"/>
            <w:tcMar>
              <w:top w:type="dxa" w:w="80"/>
              <w:left w:type="dxa" w:w="100"/>
              <w:bottom w:type="dxa" w:w="80"/>
              <w:right w:type="dxa" w:w="100"/>
            </w:tcMar>
          </w:tcPr>
          <w:p>
            <w:pPr>
              <w:jc w:val="center"/>
            </w:pPr>
            <w:r>
              <w:rPr>
                <w:b w:val="false"/>
                <w:bCs w:val="false"/>
              </w:rPr>
              <w:t xml:space="preserve">reuses h=1 setting</w:t>
            </w:r>
          </w:p>
        </w:tc>
      </w:tr>
      <w:tr>
        <w:tc>
          <w:tcPr>
            <w:tcW w:type="dxa" w:w="1600"/>
            <w:tcMar>
              <w:top w:type="dxa" w:w="80"/>
              <w:left w:type="dxa" w:w="100"/>
              <w:bottom w:type="dxa" w:w="80"/>
              <w:right w:type="dxa" w:w="100"/>
            </w:tcMar>
          </w:tcPr>
          <w:p>
            <w:r>
              <w:rPr>
                <w:b w:val="false"/>
                <w:bCs w:val="false"/>
              </w:rPr>
              <w:t xml:space="preserve">south</w:t>
            </w:r>
          </w:p>
        </w:tc>
        <w:tc>
          <w:tcPr>
            <w:tcW w:type="dxa" w:w="1900"/>
            <w:tcMar>
              <w:top w:type="dxa" w:w="80"/>
              <w:left w:type="dxa" w:w="100"/>
              <w:bottom w:type="dxa" w:w="80"/>
              <w:right w:type="dxa" w:w="100"/>
            </w:tcMar>
          </w:tcPr>
          <w:p>
            <w:pPr>
              <w:jc w:val="center"/>
            </w:pPr>
            <w:r>
              <w:rPr>
                <w:b w:val="false"/>
                <w:bCs w:val="false"/>
              </w:rPr>
              <w:t xml:space="preserve">0.80</w:t>
            </w:r>
          </w:p>
        </w:tc>
        <w:tc>
          <w:tcPr>
            <w:tcW w:type="dxa" w:w="1900"/>
            <w:tcMar>
              <w:top w:type="dxa" w:w="80"/>
              <w:left w:type="dxa" w:w="100"/>
              <w:bottom w:type="dxa" w:w="80"/>
              <w:right w:type="dxa" w:w="100"/>
            </w:tcMar>
          </w:tcPr>
          <w:p>
            <w:pPr>
              <w:jc w:val="center"/>
            </w:pPr>
            <w:r>
              <w:rPr>
                <w:b w:val="false"/>
                <w:bCs w:val="false"/>
              </w:rPr>
              <w:t xml:space="preserve">0.0</w:t>
            </w:r>
          </w:p>
        </w:tc>
        <w:tc>
          <w:tcPr>
            <w:tcW w:type="dxa" w:w="2300"/>
            <w:tcMar>
              <w:top w:type="dxa" w:w="80"/>
              <w:left w:type="dxa" w:w="100"/>
              <w:bottom w:type="dxa" w:w="80"/>
              <w:right w:type="dxa" w:w="100"/>
            </w:tcMar>
          </w:tcPr>
          <w:p>
            <w:pPr>
              <w:jc w:val="center"/>
            </w:pPr>
            <w:r>
              <w:rPr>
                <w:b w:val="false"/>
                <w:bCs w:val="false"/>
              </w:rPr>
              <w:t xml:space="preserve">0.90 / 0.0</w:t>
            </w:r>
          </w:p>
        </w:tc>
        <w:tc>
          <w:tcPr>
            <w:tcW w:type="dxa" w:w="2300"/>
            <w:tcMar>
              <w:top w:type="dxa" w:w="80"/>
              <w:left w:type="dxa" w:w="100"/>
              <w:bottom w:type="dxa" w:w="80"/>
              <w:right w:type="dxa" w:w="100"/>
            </w:tcMar>
          </w:tcPr>
          <w:p>
            <w:pPr>
              <w:jc w:val="center"/>
            </w:pPr>
            <w:r>
              <w:rPr>
                <w:b w:val="false"/>
                <w:bCs w:val="false"/>
              </w:rPr>
              <w:t xml:space="preserve">reuses h=1 setting</w:t>
            </w:r>
          </w:p>
        </w:tc>
      </w:tr>
      <w:tr>
        <w:tc>
          <w:tcPr>
            <w:tcW w:type="dxa" w:w="1600"/>
            <w:tcMar>
              <w:top w:type="dxa" w:w="80"/>
              <w:left w:type="dxa" w:w="100"/>
              <w:bottom w:type="dxa" w:w="80"/>
              <w:right w:type="dxa" w:w="100"/>
            </w:tcMar>
          </w:tcPr>
          <w:p>
            <w:r>
              <w:rPr>
                <w:b w:val="false"/>
                <w:bCs w:val="false"/>
              </w:rPr>
              <w:t xml:space="preserve">east</w:t>
            </w:r>
          </w:p>
        </w:tc>
        <w:tc>
          <w:tcPr>
            <w:tcW w:type="dxa" w:w="1900"/>
            <w:tcMar>
              <w:top w:type="dxa" w:w="80"/>
              <w:left w:type="dxa" w:w="100"/>
              <w:bottom w:type="dxa" w:w="80"/>
              <w:right w:type="dxa" w:w="100"/>
            </w:tcMar>
          </w:tcPr>
          <w:p>
            <w:pPr>
              <w:jc w:val="center"/>
            </w:pPr>
            <w:r>
              <w:rPr>
                <w:b w:val="false"/>
                <w:bCs w:val="false"/>
              </w:rPr>
              <w:t xml:space="preserve">0.80</w:t>
            </w:r>
          </w:p>
        </w:tc>
        <w:tc>
          <w:tcPr>
            <w:tcW w:type="dxa" w:w="1900"/>
            <w:tcMar>
              <w:top w:type="dxa" w:w="80"/>
              <w:left w:type="dxa" w:w="100"/>
              <w:bottom w:type="dxa" w:w="80"/>
              <w:right w:type="dxa" w:w="100"/>
            </w:tcMar>
          </w:tcPr>
          <w:p>
            <w:pPr>
              <w:jc w:val="center"/>
            </w:pPr>
            <w:r>
              <w:rPr>
                <w:b w:val="false"/>
                <w:bCs w:val="false"/>
              </w:rPr>
              <w:t xml:space="preserve">0.0</w:t>
            </w:r>
          </w:p>
        </w:tc>
        <w:tc>
          <w:tcPr>
            <w:tcW w:type="dxa" w:w="2300"/>
            <w:tcMar>
              <w:top w:type="dxa" w:w="80"/>
              <w:left w:type="dxa" w:w="100"/>
              <w:bottom w:type="dxa" w:w="80"/>
              <w:right w:type="dxa" w:w="100"/>
            </w:tcMar>
          </w:tcPr>
          <w:p>
            <w:pPr>
              <w:jc w:val="center"/>
            </w:pPr>
            <w:r>
              <w:rPr>
                <w:b w:val="false"/>
                <w:bCs w:val="false"/>
              </w:rPr>
              <w:t xml:space="preserve">0.90 / 0.3</w:t>
            </w:r>
          </w:p>
        </w:tc>
        <w:tc>
          <w:tcPr>
            <w:tcW w:type="dxa" w:w="2300"/>
            <w:tcMar>
              <w:top w:type="dxa" w:w="80"/>
              <w:left w:type="dxa" w:w="100"/>
              <w:bottom w:type="dxa" w:w="80"/>
              <w:right w:type="dxa" w:w="100"/>
            </w:tcMar>
          </w:tcPr>
          <w:p>
            <w:pPr>
              <w:jc w:val="center"/>
            </w:pPr>
            <w:r>
              <w:rPr>
                <w:b w:val="false"/>
                <w:bCs w:val="false"/>
              </w:rPr>
              <w:t xml:space="preserve">reuses h=1 setting</w:t>
            </w:r>
          </w:p>
        </w:tc>
      </w:tr>
      <w:tr>
        <w:tc>
          <w:tcPr>
            <w:tcW w:type="dxa" w:w="1600"/>
            <w:tcMar>
              <w:top w:type="dxa" w:w="80"/>
              <w:left w:type="dxa" w:w="100"/>
              <w:bottom w:type="dxa" w:w="80"/>
              <w:right w:type="dxa" w:w="100"/>
            </w:tcMar>
          </w:tcPr>
          <w:p>
            <w:r>
              <w:rPr>
                <w:b w:val="false"/>
                <w:bCs w:val="false"/>
              </w:rPr>
              <w:t xml:space="preserve">west</w:t>
            </w:r>
          </w:p>
        </w:tc>
        <w:tc>
          <w:tcPr>
            <w:tcW w:type="dxa" w:w="1900"/>
            <w:tcMar>
              <w:top w:type="dxa" w:w="80"/>
              <w:left w:type="dxa" w:w="100"/>
              <w:bottom w:type="dxa" w:w="80"/>
              <w:right w:type="dxa" w:w="100"/>
            </w:tcMar>
          </w:tcPr>
          <w:p>
            <w:pPr>
              <w:jc w:val="center"/>
            </w:pPr>
            <w:r>
              <w:rPr>
                <w:b w:val="false"/>
                <w:bCs w:val="false"/>
              </w:rPr>
              <w:t xml:space="preserve">0.85</w:t>
            </w:r>
          </w:p>
        </w:tc>
        <w:tc>
          <w:tcPr>
            <w:tcW w:type="dxa" w:w="1900"/>
            <w:tcMar>
              <w:top w:type="dxa" w:w="80"/>
              <w:left w:type="dxa" w:w="100"/>
              <w:bottom w:type="dxa" w:w="80"/>
              <w:right w:type="dxa" w:w="100"/>
            </w:tcMar>
          </w:tcPr>
          <w:p>
            <w:pPr>
              <w:jc w:val="center"/>
            </w:pPr>
            <w:r>
              <w:rPr>
                <w:b w:val="false"/>
                <w:bCs w:val="false"/>
              </w:rPr>
              <w:t xml:space="preserve">0.0</w:t>
            </w:r>
          </w:p>
        </w:tc>
        <w:tc>
          <w:tcPr>
            <w:tcW w:type="dxa" w:w="2300"/>
            <w:tcMar>
              <w:top w:type="dxa" w:w="80"/>
              <w:left w:type="dxa" w:w="100"/>
              <w:bottom w:type="dxa" w:w="80"/>
              <w:right w:type="dxa" w:w="100"/>
            </w:tcMar>
          </w:tcPr>
          <w:p>
            <w:pPr>
              <w:jc w:val="center"/>
            </w:pPr>
            <w:r>
              <w:rPr>
                <w:b w:val="false"/>
                <w:bCs w:val="false"/>
              </w:rPr>
              <w:t xml:space="preserve">none — falls back to h=1</w:t>
            </w:r>
          </w:p>
        </w:tc>
        <w:tc>
          <w:tcPr>
            <w:tcW w:type="dxa" w:w="2300"/>
            <w:tcMar>
              <w:top w:type="dxa" w:w="80"/>
              <w:left w:type="dxa" w:w="100"/>
              <w:bottom w:type="dxa" w:w="80"/>
              <w:right w:type="dxa" w:w="100"/>
            </w:tcMar>
          </w:tcPr>
          <w:p>
            <w:pPr>
              <w:jc w:val="center"/>
            </w:pPr>
            <w:r>
              <w:rPr>
                <w:b w:val="false"/>
                <w:bCs w:val="false"/>
              </w:rPr>
              <w:t xml:space="preserve">reuses h=1 setting</w:t>
            </w:r>
          </w:p>
        </w:tc>
      </w:tr>
      <w:tr>
        <w:tc>
          <w:tcPr>
            <w:tcW w:type="dxa" w:w="1600"/>
            <w:tcMar>
              <w:top w:type="dxa" w:w="80"/>
              <w:left w:type="dxa" w:w="100"/>
              <w:bottom w:type="dxa" w:w="80"/>
              <w:right w:type="dxa" w:w="100"/>
            </w:tcMar>
          </w:tcPr>
          <w:p>
            <w:r>
              <w:rPr>
                <w:b w:val="false"/>
                <w:bCs w:val="false"/>
              </w:rPr>
              <w:t xml:space="preserve">central</w:t>
            </w:r>
          </w:p>
        </w:tc>
        <w:tc>
          <w:tcPr>
            <w:tcW w:type="dxa" w:w="1900"/>
            <w:tcMar>
              <w:top w:type="dxa" w:w="80"/>
              <w:left w:type="dxa" w:w="100"/>
              <w:bottom w:type="dxa" w:w="80"/>
              <w:right w:type="dxa" w:w="100"/>
            </w:tcMar>
          </w:tcPr>
          <w:p>
            <w:pPr>
              <w:jc w:val="center"/>
            </w:pPr>
            <w:r>
              <w:rPr>
                <w:b w:val="false"/>
                <w:bCs w:val="false"/>
              </w:rPr>
              <w:t xml:space="preserve">0.90</w:t>
            </w:r>
          </w:p>
        </w:tc>
        <w:tc>
          <w:tcPr>
            <w:tcW w:type="dxa" w:w="1900"/>
            <w:tcMar>
              <w:top w:type="dxa" w:w="80"/>
              <w:left w:type="dxa" w:w="100"/>
              <w:bottom w:type="dxa" w:w="80"/>
              <w:right w:type="dxa" w:w="100"/>
            </w:tcMar>
          </w:tcPr>
          <w:p>
            <w:pPr>
              <w:jc w:val="center"/>
            </w:pPr>
            <w:r>
              <w:rPr>
                <w:b w:val="false"/>
                <w:bCs w:val="false"/>
              </w:rPr>
              <w:t xml:space="preserve">0.5</w:t>
            </w:r>
          </w:p>
        </w:tc>
        <w:tc>
          <w:tcPr>
            <w:tcW w:type="dxa" w:w="2300"/>
            <w:tcMar>
              <w:top w:type="dxa" w:w="80"/>
              <w:left w:type="dxa" w:w="100"/>
              <w:bottom w:type="dxa" w:w="80"/>
              <w:right w:type="dxa" w:w="100"/>
            </w:tcMar>
          </w:tcPr>
          <w:p>
            <w:pPr>
              <w:jc w:val="center"/>
            </w:pPr>
            <w:r>
              <w:rPr>
                <w:b w:val="false"/>
                <w:bCs w:val="false"/>
              </w:rPr>
              <w:t xml:space="preserve">none — falls back to h=1</w:t>
            </w:r>
          </w:p>
        </w:tc>
        <w:tc>
          <w:tcPr>
            <w:tcW w:type="dxa" w:w="2300"/>
            <w:tcMar>
              <w:top w:type="dxa" w:w="80"/>
              <w:left w:type="dxa" w:w="100"/>
              <w:bottom w:type="dxa" w:w="80"/>
              <w:right w:type="dxa" w:w="100"/>
            </w:tcMar>
          </w:tcPr>
          <w:p>
            <w:pPr>
              <w:jc w:val="center"/>
            </w:pPr>
            <w:r>
              <w:rPr>
                <w:b w:val="false"/>
                <w:bCs w:val="false"/>
              </w:rPr>
              <w:t xml:space="preserve">reuses h=1 setting</w:t>
            </w:r>
          </w:p>
        </w:tc>
      </w:tr>
      <w:tr>
        <w:tc>
          <w:tcPr>
            <w:tcW w:type="dxa" w:w="1600"/>
            <w:tcMar>
              <w:top w:type="dxa" w:w="80"/>
              <w:left w:type="dxa" w:w="100"/>
              <w:bottom w:type="dxa" w:w="80"/>
              <w:right w:type="dxa" w:w="100"/>
            </w:tcMar>
          </w:tcPr>
          <w:p>
            <w:r>
              <w:rPr>
                <w:b w:val="false"/>
                <w:bCs w:val="false"/>
              </w:rPr>
              <w:t xml:space="preserve">national</w:t>
            </w:r>
          </w:p>
        </w:tc>
        <w:tc>
          <w:tcPr>
            <w:tcW w:type="dxa" w:w="1900"/>
            <w:tcMar>
              <w:top w:type="dxa" w:w="80"/>
              <w:left w:type="dxa" w:w="100"/>
              <w:bottom w:type="dxa" w:w="80"/>
              <w:right w:type="dxa" w:w="100"/>
            </w:tcMar>
          </w:tcPr>
          <w:p>
            <w:pPr>
              <w:jc w:val="center"/>
            </w:pPr>
            <w:r>
              <w:rPr>
                <w:b w:val="false"/>
                <w:bCs w:val="false"/>
              </w:rPr>
              <w:t xml:space="preserve">0.88</w:t>
            </w:r>
          </w:p>
        </w:tc>
        <w:tc>
          <w:tcPr>
            <w:tcW w:type="dxa" w:w="1900"/>
            <w:tcMar>
              <w:top w:type="dxa" w:w="80"/>
              <w:left w:type="dxa" w:w="100"/>
              <w:bottom w:type="dxa" w:w="80"/>
              <w:right w:type="dxa" w:w="100"/>
            </w:tcMar>
          </w:tcPr>
          <w:p>
            <w:pPr>
              <w:jc w:val="center"/>
            </w:pPr>
            <w:r>
              <w:rPr>
                <w:b w:val="false"/>
                <w:bCs w:val="false"/>
              </w:rPr>
              <w:t xml:space="preserve">0.0</w:t>
            </w:r>
          </w:p>
        </w:tc>
        <w:tc>
          <w:tcPr>
            <w:tcW w:type="dxa" w:w="2300"/>
            <w:tcMar>
              <w:top w:type="dxa" w:w="80"/>
              <w:left w:type="dxa" w:w="100"/>
              <w:bottom w:type="dxa" w:w="80"/>
              <w:right w:type="dxa" w:w="100"/>
            </w:tcMar>
          </w:tcPr>
          <w:p>
            <w:pPr>
              <w:jc w:val="center"/>
            </w:pPr>
            <w:r>
              <w:rPr>
                <w:b w:val="false"/>
                <w:bCs w:val="false"/>
              </w:rPr>
              <w:t xml:space="preserve">0.91 / 0.3 (accepted near-ceiling)</w:t>
            </w:r>
          </w:p>
        </w:tc>
        <w:tc>
          <w:tcPr>
            <w:tcW w:type="dxa" w:w="2300"/>
            <w:tcMar>
              <w:top w:type="dxa" w:w="80"/>
              <w:left w:type="dxa" w:w="100"/>
              <w:bottom w:type="dxa" w:w="80"/>
              <w:right w:type="dxa" w:w="100"/>
            </w:tcMar>
          </w:tcPr>
          <w:p>
            <w:pPr>
              <w:jc w:val="center"/>
            </w:pPr>
            <w:r>
              <w:rPr>
                <w:b w:val="false"/>
                <w:bCs w:val="false"/>
              </w:rPr>
              <w:t xml:space="preserve">reuses h=1 setting</w:t>
            </w:r>
          </w:p>
        </w:tc>
      </w:tr>
    </w:tbl>
    <w:p>
      <w:pPr>
        <w:spacing w:after="160"/>
      </w:pPr>
      <w:r>
        <w:t xml:space="preserve"/>
      </w:r>
    </w:p>
    <w:p>
      <w:pPr>
        <w:spacing w:after="160"/>
      </w:pPr>
      <w:r>
        <w:rPr>
          <w:b/>
          <w:bCs/>
        </w:rPr>
        <w:t xml:space="preserve">No automated multi-dimensional search tool was used at any point.</w:t>
      </w:r>
      <w:r>
        <w:t xml:space="preserve"> The same full git-history search described in Section 3 applies here too — no GridSearchCV, Optuna, Bayesian optimisation, or similar tool appears anywhere in either repository's history. The entire tuning process for both the daily quantile_alpha and every hourly (quantile, alpha) pair was a manual, sequential, metric-checked process against the project's own dual bar, with the exploratory scripts themselves kept outside version control (referred to in hourly_model.py's own docstring as living under experiments/, though only the newly-added audit script exists there today).</w:t>
      </w:r>
    </w:p>
    <w:p>
      <w:pPr>
        <w:pStyle w:val="Heading1"/>
        <w:spacing w:after="160" w:before="360"/>
      </w:pPr>
      <w:r>
        <w:t xml:space="preserve">Summary: what was automated, and what was not</w:t>
      </w:r>
    </w:p>
    <w:p>
      <w:pPr>
        <w:spacing w:after="160"/>
      </w:pPr>
      <w:r>
        <w:t xml:space="preserve">For your own understanding of the process independent of any tool: feature engineering (Section 2) is fully automated and committed as code — every feature is reproducible by re-running the pipeline. Model fitting itself (linear regression, XGBoost, QuantileRegressor) is standard library code, also fully automated. What was not automated is the search over quantile/alpha settings in Sections 3 and 4: that was a human, one-cell-at-a-time decision process, using a fixed pass/fail rule (the dual bar) as the only quantitative stopping condition, with no hyperparameter-search library involved at any stage of either model.</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mbria" w:cs="Cambria" w:eastAsia="Cambria" w:hAnsi="Cambria"/>
      <w:b/>
      <w:bCs/>
      <w:color w:val="1E2761"/>
      <w:sz w:val="32"/>
      <w:szCs w:val="32"/>
    </w:rPr>
  </w:style>
  <w:style w:type="paragraph" w:styleId="Heading2">
    <w:name w:val="Heading 2"/>
    <w:basedOn w:val="Normal"/>
    <w:next w:val="Normal"/>
    <w:qFormat/>
    <w:pPr>
      <w:spacing w:after="120" w:before="240"/>
    </w:pPr>
    <w:rPr>
      <w:rFonts w:ascii="Cambria" w:cs="Cambria" w:eastAsia="Cambria" w:hAnsi="Cambria"/>
      <w:b/>
      <w:bCs/>
      <w:color w:val="1C7293"/>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2026-10-22T01:28:55.294Z</dcterms:created>
  <dcterms:modified xsi:type="dcterms:W3CDTF">2026-10-22T01:28:55.295Z</dcterms:modified>
</cp:coreProperties>
</file>

<file path=docProps/custom.xml><?xml version="1.0" encoding="utf-8"?>
<Properties xmlns="http://schemas.openxmlformats.org/officeDocument/2006/custom-properties" xmlns:vt="http://schemas.openxmlformats.org/officeDocument/2006/docPropsVTypes"/>
</file>