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5B46"/>
          <w:sz w:val="22"/>
        </w:rPr>
        <w:t>CRÉDITO AGRÍCOLA DE HABILITACIÓN</w:t>
      </w:r>
    </w:p>
    <w:p>
      <w:pPr>
        <w:pStyle w:val="Title"/>
        <w:jc w:val="center"/>
      </w:pPr>
      <w:r>
        <w:rPr>
          <w:b/>
        </w:rPr>
        <w:t>Informe Gerencial · Julio 2026</w:t>
      </w:r>
    </w:p>
    <w:p>
      <w:pPr>
        <w:jc w:val="center"/>
      </w:pPr>
      <w:r>
        <w:t>Gerencia de Planificación · Información Gerencial</w:t>
      </w:r>
    </w:p>
    <w:p>
      <w:pPr>
        <w:pStyle w:val="Heading1"/>
      </w:pPr>
      <w:r>
        <w:t>1. Resumen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2592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2026</w:t>
            </w:r>
          </w:p>
        </w:tc>
        <w:tc>
          <w:tcPr>
            <w:tcW w:type="dxa" w:w="2592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2025</w:t>
            </w:r>
          </w:p>
        </w:tc>
        <w:tc>
          <w:tcPr>
            <w:tcW w:type="dxa" w:w="2592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Variación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Desembolsos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₲ 365.466 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₲ 317.028 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+15,3%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Capital recuperado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₲ 320.889 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₲ 300.648 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+6,7%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Resultado del ejercicio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₲ 23.500 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₲ 11.489 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+104,5%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Mora PAR 60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1,83%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1,31%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+0,52 pp</w:t>
            </w:r>
          </w:p>
        </w:tc>
      </w:tr>
    </w:tbl>
    <w:p>
      <w:r>
        <w:rPr>
          <w:b/>
          <w:color w:val="C86F24"/>
        </w:rPr>
        <w:t xml:space="preserve">Comentario gerencial: </w:t>
      </w:r>
      <w:r>
        <w:rPr>
          <w:i/>
        </w:rPr>
        <w:t>La expansión de los desembolsos continúa, con crecimiento del capital recuperado y una mejora fuerte del resultado acumulado. La mora PAR 60 aumenta frente al mismo corte de 2025.</w:t>
      </w:r>
    </w:p>
    <w:p>
      <w:pPr>
        <w:pStyle w:val="Heading1"/>
      </w:pPr>
      <w:r>
        <w:t>2. Actividad financiera y recuperaciones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2592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2026</w:t>
            </w:r>
          </w:p>
        </w:tc>
        <w:tc>
          <w:tcPr>
            <w:tcW w:type="dxa" w:w="2592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2025</w:t>
            </w:r>
          </w:p>
        </w:tc>
        <w:tc>
          <w:tcPr>
            <w:tcW w:type="dxa" w:w="2592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Variación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Desembolsos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₲ 365.466 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₲ 317.028 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+15,3%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Capital recuperado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₲ 320.889 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₲ 300.648 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+6,7%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Intereses recuperados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₲ 58.236 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₲ 52.638 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+10,6%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Total capital + interés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₲ 379.125 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₲ 353.286 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+7,3%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3329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3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Cobranzas por caja tercerizada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Gerencia</w:t>
            </w:r>
          </w:p>
        </w:tc>
        <w:tc>
          <w:tcPr>
            <w:tcW w:type="dxa" w:w="345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345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% sobre total tercerizado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Sur-Este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18.363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29,5%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Centro-Sur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18.135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29,1%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Norte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12.844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20,6%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Centro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11.193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18,0%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Servicios-Chaco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1.742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2,8%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TOTAL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62.277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100,0%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4058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ird_party_p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05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C86F24"/>
        </w:rPr>
        <w:t xml:space="preserve">Comentario gerencial: </w:t>
      </w:r>
      <w:r>
        <w:rPr>
          <w:i/>
        </w:rPr>
        <w:t>El gráfico utiliza la cantidad de operaciones y la expresa como participación porcentual sobre el total canalizado por caja tercerizada.</w:t>
      </w:r>
    </w:p>
    <w:p>
      <w:pPr>
        <w:pStyle w:val="Heading1"/>
      </w:pPr>
      <w:r>
        <w:t>4. Recuperaciones por estado</w:t>
      </w:r>
    </w:p>
    <w:p>
      <w:pPr>
        <w:sectPr>
          <w:pgSz w:w="12240" w:h="15840"/>
          <w:pgMar w:top="864" w:right="936" w:bottom="864" w:left="936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61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Cap. exig. 26</w:t>
            </w:r>
          </w:p>
        </w:tc>
        <w:tc>
          <w:tcPr>
            <w:tcW w:type="dxa" w:w="161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Cap. exig. 25</w:t>
            </w:r>
          </w:p>
        </w:tc>
        <w:tc>
          <w:tcPr>
            <w:tcW w:type="dxa" w:w="161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Cap. no exig. 26</w:t>
            </w:r>
          </w:p>
        </w:tc>
        <w:tc>
          <w:tcPr>
            <w:tcW w:type="dxa" w:w="161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Cap. no exig. 25</w:t>
            </w:r>
          </w:p>
        </w:tc>
        <w:tc>
          <w:tcPr>
            <w:tcW w:type="dxa" w:w="161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Capital total 26</w:t>
            </w:r>
          </w:p>
        </w:tc>
        <w:tc>
          <w:tcPr>
            <w:tcW w:type="dxa" w:w="161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Capital total 25</w:t>
            </w:r>
          </w:p>
        </w:tc>
        <w:tc>
          <w:tcPr>
            <w:tcW w:type="dxa" w:w="161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Intereses 26</w:t>
            </w:r>
          </w:p>
        </w:tc>
        <w:tc>
          <w:tcPr>
            <w:tcW w:type="dxa" w:w="161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Intereses 25</w:t>
            </w:r>
          </w:p>
        </w:tc>
      </w:tr>
      <w:tr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Inhibido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0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0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0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0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0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0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0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0 M</w:t>
            </w:r>
          </w:p>
        </w:tc>
      </w:tr>
      <w:tr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Judicial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513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788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5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23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518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811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437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620 M</w:t>
            </w:r>
          </w:p>
        </w:tc>
      </w:tr>
      <w:tr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Castigado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1.060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1.932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16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30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1.076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1.962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1.022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1.628 M</w:t>
            </w:r>
          </w:p>
        </w:tc>
      </w:tr>
      <w:tr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Vencida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3.515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3.881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71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54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3.586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3.936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2.078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2.185 M</w:t>
            </w:r>
          </w:p>
        </w:tc>
      </w:tr>
      <w:tr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Vigente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288.656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268.777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26.867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25.160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315.523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293.938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54.487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48.204 M</w:t>
            </w:r>
          </w:p>
        </w:tc>
      </w:tr>
      <w:tr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Desafectado judicial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185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2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1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0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186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2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212 M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4"/>
              </w:rPr>
              <w:t>₲ 1 M</w:t>
            </w:r>
          </w:p>
        </w:tc>
      </w:tr>
      <w:tr>
        <w:tc>
          <w:tcPr>
            <w:tcW w:type="dxa" w:w="1616"/>
          </w:tcPr>
          <w:p>
            <w:r>
              <w:rPr>
                <w:b/>
                <w:sz w:val="14"/>
              </w:rPr>
              <w:t>TOTAL</w:t>
            </w:r>
          </w:p>
        </w:tc>
        <w:tc>
          <w:tcPr>
            <w:tcW w:type="dxa" w:w="1616"/>
          </w:tcPr>
          <w:p>
            <w:r>
              <w:rPr>
                <w:b/>
                <w:sz w:val="14"/>
              </w:rPr>
              <w:t>₲ 293.416 M</w:t>
            </w:r>
          </w:p>
        </w:tc>
        <w:tc>
          <w:tcPr>
            <w:tcW w:type="dxa" w:w="1616"/>
          </w:tcPr>
          <w:p>
            <w:r>
              <w:rPr>
                <w:b/>
                <w:sz w:val="14"/>
              </w:rPr>
              <w:t>₲ 273.379 M</w:t>
            </w:r>
          </w:p>
        </w:tc>
        <w:tc>
          <w:tcPr>
            <w:tcW w:type="dxa" w:w="1616"/>
          </w:tcPr>
          <w:p>
            <w:r>
              <w:rPr>
                <w:b/>
                <w:sz w:val="14"/>
              </w:rPr>
              <w:t>₲ 26.959 M</w:t>
            </w:r>
          </w:p>
        </w:tc>
        <w:tc>
          <w:tcPr>
            <w:tcW w:type="dxa" w:w="1616"/>
          </w:tcPr>
          <w:p>
            <w:r>
              <w:rPr>
                <w:b/>
                <w:sz w:val="14"/>
              </w:rPr>
              <w:t>₲ 25.268 M</w:t>
            </w:r>
          </w:p>
        </w:tc>
        <w:tc>
          <w:tcPr>
            <w:tcW w:type="dxa" w:w="1616"/>
          </w:tcPr>
          <w:p>
            <w:r>
              <w:rPr>
                <w:b/>
                <w:sz w:val="14"/>
              </w:rPr>
              <w:t>₲ 320.374 M</w:t>
            </w:r>
          </w:p>
        </w:tc>
        <w:tc>
          <w:tcPr>
            <w:tcW w:type="dxa" w:w="1616"/>
          </w:tcPr>
          <w:p>
            <w:r>
              <w:rPr>
                <w:b/>
                <w:sz w:val="14"/>
              </w:rPr>
              <w:t>₲ 298.647 M</w:t>
            </w:r>
          </w:p>
        </w:tc>
        <w:tc>
          <w:tcPr>
            <w:tcW w:type="dxa" w:w="1616"/>
          </w:tcPr>
          <w:p>
            <w:r>
              <w:rPr>
                <w:b/>
                <w:sz w:val="14"/>
              </w:rPr>
              <w:t>₲ 58.236 M</w:t>
            </w:r>
          </w:p>
        </w:tc>
        <w:tc>
          <w:tcPr>
            <w:tcW w:type="dxa" w:w="1616"/>
          </w:tcPr>
          <w:p>
            <w:r>
              <w:rPr>
                <w:b/>
                <w:sz w:val="14"/>
              </w:rPr>
              <w:t>₲ 52.638 M</w:t>
            </w:r>
          </w:p>
        </w:tc>
      </w:tr>
    </w:tbl>
    <w:p>
      <w:r>
        <w:rPr>
          <w:b/>
          <w:color w:val="C86F24"/>
        </w:rPr>
        <w:t xml:space="preserve">Comentario gerencial: </w:t>
      </w:r>
      <w:r>
        <w:rPr>
          <w:i/>
        </w:rPr>
        <w:t>Cada estado se presenta en un único renglón, permitiendo comparar capital exigible, no exigible, total e intereses entre 2026 y 2025.</w:t>
      </w:r>
    </w:p>
    <w:p>
      <w:pPr>
        <w:pStyle w:val="Heading2"/>
      </w:pPr>
      <w:r>
        <w:t>Inhibido</w:t>
      </w:r>
    </w:p>
    <w:p>
      <w:r>
        <w:rPr>
          <w:i/>
          <w:sz w:val="16"/>
        </w:rPr>
        <w:t>Sin recuperaciones registradas en 2025 ni 2026 para este estado.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730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Inhibi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3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Judicial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730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Judici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3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Castigado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730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Castigad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3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Vencida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7307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Vencid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3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Vigente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7307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Vigen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3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Desafectado judicial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7307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Desafectado_judici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3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5. Bancarización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5184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Cobertura acumulada por cantidad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99,71%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Operaciones bancarizadas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24.083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Total operaciones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24.153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Bancarizaciones de julio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3.568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Cobertura julio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99,69%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4093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_g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09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Cartera y morosidad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5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Julio 2026</w:t>
            </w:r>
          </w:p>
        </w:tc>
        <w:tc>
          <w:tcPr>
            <w:tcW w:type="dxa" w:w="345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Julio 2025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Cartera total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₲ 749.879 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₲ 733.281 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Vigente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₲ 715.646 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₲ 613.402 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Vencida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₲ 28.578 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₲ 70.446 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Judicial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₲ 5.654 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₲ 49.434 M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238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era_tot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3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Cartera vigente - julio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5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Monto</w:t>
            </w:r>
          </w:p>
        </w:tc>
        <w:tc>
          <w:tcPr>
            <w:tcW w:type="dxa" w:w="345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Participación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Vigente exigible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₲ 151.631 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21,2%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Vigente no exigible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₲ 564.015 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78,8%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TOTAL vigente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₲ 715.646 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100,0%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90956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era_vigente_tort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909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Morosidad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2592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Julio 2026</w:t>
            </w:r>
          </w:p>
        </w:tc>
        <w:tc>
          <w:tcPr>
            <w:tcW w:type="dxa" w:w="2592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Julio 2025</w:t>
            </w:r>
          </w:p>
        </w:tc>
        <w:tc>
          <w:tcPr>
            <w:tcW w:type="dxa" w:w="2592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Monto 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PAR 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3,93%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3,42%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₲ 10.550 M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PAR 60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1,83%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1,31%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₲ 4.914 M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33298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3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Capital en mora (PAR 0) por asesor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  <w:sz w:val="16"/>
              </w:rPr>
              <w:t>Gerencia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Centro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Asesor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Capital en mora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SUR-ESTE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LOS CEDRALES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ROMERO PERDOMO, FRANCISCO JAVIER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₲ 438 M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SUR-ESTE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HERNANDARIAS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PAREDES ROBLES, ANITA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₲ 368 M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NORTE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SANTA ROSA DEL AGUARAY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OCAMPOS AGUERO, SERGIO JAVIER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₲ 272 M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SUR-ESTE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JUAN LEON MALLORQUIN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FRANCO GONZALEZ, BAUDELIO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₲ 253 M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NORTE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SANTA ROSA DEL AGUARAY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ALDERETE SANGUINA, JUAN BAUTISTA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₲ 234 M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NORTE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LORETO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VALDEZ CRISTALDO, SILVIA NOELIA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₲ 224 M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SUR-ESTE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YATYTAY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ORTIZ BAEZ, NARCISO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₲ 218 M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NORTE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NARANJITO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GULLON, DIONICIO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₲ 213 M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NORTE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LORETO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BOBADILLA GIMENEZ, WILSON MARIANO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₲ 211 M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SUR-ESTE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MAYOR OTAÑO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GONZALEZ CACERES, ATILIO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₲ 209 M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SUR-ESTE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EDELIRA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FRANCO MELGAREJO, ISABELINO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₲ 206 M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NORTE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GENERAL AQUINO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GONZALEZ ALMEIDA, JUAN CARLOS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₲ 192 M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CENTRO-SUR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YPACARAI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MORALES GIMENEZ, ADOLFO COSME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₲ 182 M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SUR-ESTE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PIRAPO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GONZALEZ LUGO, WILLIAM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₲ 178 M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NORTE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CURUGUATY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GODOY ESCOBAR, GUILLERMO FEDERICO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₲ 161 M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8658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a_aseso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Se muestran únicamente los 15 asesores con mayor capital en mora (PAR 0), según la pestaña “mora por asesor” de la fuente actualizada.</w:t>
      </w:r>
    </w:p>
    <w:p>
      <w:pPr>
        <w:pStyle w:val="Heading1"/>
      </w:pPr>
      <w:r>
        <w:t>7. Balance y Estado de Resultados acumulado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Ítem</w:t>
            </w:r>
          </w:p>
        </w:tc>
        <w:tc>
          <w:tcPr>
            <w:tcW w:type="dxa" w:w="345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2026</w:t>
            </w:r>
          </w:p>
        </w:tc>
        <w:tc>
          <w:tcPr>
            <w:tcW w:type="dxa" w:w="345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2025</w:t>
            </w:r>
          </w:p>
        </w:tc>
      </w:tr>
      <w:tr>
        <w:tc>
          <w:tcPr>
            <w:tcW w:type="dxa" w:w="3456"/>
          </w:tcPr>
          <w:p>
            <w:r>
              <w:t>Disponible</w:t>
            </w:r>
          </w:p>
        </w:tc>
        <w:tc>
          <w:tcPr>
            <w:tcW w:type="dxa" w:w="3456"/>
          </w:tcPr>
          <w:p>
            <w:r>
              <w:t>₲ 36.096 M</w:t>
            </w:r>
          </w:p>
        </w:tc>
        <w:tc>
          <w:tcPr>
            <w:tcW w:type="dxa" w:w="3456"/>
          </w:tcPr>
          <w:p>
            <w:r>
              <w:t>₲ 51.159 M</w:t>
            </w:r>
          </w:p>
        </w:tc>
      </w:tr>
      <w:tr>
        <w:tc>
          <w:tcPr>
            <w:tcW w:type="dxa" w:w="3456"/>
          </w:tcPr>
          <w:p>
            <w:r>
              <w:t>Ingresos operativos</w:t>
            </w:r>
          </w:p>
        </w:tc>
        <w:tc>
          <w:tcPr>
            <w:tcW w:type="dxa" w:w="3456"/>
          </w:tcPr>
          <w:p>
            <w:r>
              <w:t>₲ 61.463 M</w:t>
            </w:r>
          </w:p>
        </w:tc>
        <w:tc>
          <w:tcPr>
            <w:tcW w:type="dxa" w:w="3456"/>
          </w:tcPr>
          <w:p>
            <w:r>
              <w:t>₲ 53.254 M</w:t>
            </w:r>
          </w:p>
        </w:tc>
      </w:tr>
      <w:tr>
        <w:tc>
          <w:tcPr>
            <w:tcW w:type="dxa" w:w="3456"/>
          </w:tcPr>
          <w:p>
            <w:r>
              <w:t>Otros ingresos</w:t>
            </w:r>
          </w:p>
        </w:tc>
        <w:tc>
          <w:tcPr>
            <w:tcW w:type="dxa" w:w="3456"/>
          </w:tcPr>
          <w:p>
            <w:r>
              <w:t>₲ 5.795 M</w:t>
            </w:r>
          </w:p>
        </w:tc>
        <w:tc>
          <w:tcPr>
            <w:tcW w:type="dxa" w:w="3456"/>
          </w:tcPr>
          <w:p>
            <w:r>
              <w:t>₲ 7.240 M</w:t>
            </w:r>
          </w:p>
        </w:tc>
      </w:tr>
      <w:tr>
        <w:tc>
          <w:tcPr>
            <w:tcW w:type="dxa" w:w="3456"/>
          </w:tcPr>
          <w:p>
            <w:r>
              <w:t>Costos financieros</w:t>
            </w:r>
          </w:p>
        </w:tc>
        <w:tc>
          <w:tcPr>
            <w:tcW w:type="dxa" w:w="3456"/>
          </w:tcPr>
          <w:p>
            <w:r>
              <w:t>₲ 0 M</w:t>
            </w:r>
          </w:p>
        </w:tc>
        <w:tc>
          <w:tcPr>
            <w:tcW w:type="dxa" w:w="3456"/>
          </w:tcPr>
          <w:p>
            <w:r>
              <w:t>₲ 12 M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GASTOS TOTAL</w:t>
            </w:r>
          </w:p>
        </w:tc>
        <w:tc>
          <w:tcPr>
            <w:tcW w:type="dxa" w:w="3456"/>
          </w:tcPr>
          <w:p>
            <w:r>
              <w:rPr>
                <w:b/>
              </w:rPr>
              <w:t>₲ 30.766 M</w:t>
            </w:r>
          </w:p>
        </w:tc>
        <w:tc>
          <w:tcPr>
            <w:tcW w:type="dxa" w:w="3456"/>
          </w:tcPr>
          <w:p>
            <w:r>
              <w:rPr>
                <w:b/>
              </w:rPr>
              <w:t>₲ 34.130 M</w:t>
            </w:r>
          </w:p>
        </w:tc>
      </w:tr>
      <w:tr>
        <w:tc>
          <w:tcPr>
            <w:tcW w:type="dxa" w:w="3456"/>
          </w:tcPr>
          <w:p>
            <w:r>
              <w:t>↳ Servicios personales</w:t>
            </w:r>
          </w:p>
        </w:tc>
        <w:tc>
          <w:tcPr>
            <w:tcW w:type="dxa" w:w="3456"/>
          </w:tcPr>
          <w:p>
            <w:r>
              <w:t>₲ 20.476 M</w:t>
            </w:r>
          </w:p>
        </w:tc>
        <w:tc>
          <w:tcPr>
            <w:tcW w:type="dxa" w:w="3456"/>
          </w:tcPr>
          <w:p>
            <w:r>
              <w:t>₲ 22.379 M</w:t>
            </w:r>
          </w:p>
        </w:tc>
      </w:tr>
      <w:tr>
        <w:tc>
          <w:tcPr>
            <w:tcW w:type="dxa" w:w="3456"/>
          </w:tcPr>
          <w:p>
            <w:r>
              <w:t>↳ Servicios no personales</w:t>
            </w:r>
          </w:p>
        </w:tc>
        <w:tc>
          <w:tcPr>
            <w:tcW w:type="dxa" w:w="3456"/>
          </w:tcPr>
          <w:p>
            <w:r>
              <w:t>₲ 8.998 M</w:t>
            </w:r>
          </w:p>
        </w:tc>
        <w:tc>
          <w:tcPr>
            <w:tcW w:type="dxa" w:w="3456"/>
          </w:tcPr>
          <w:p>
            <w:r>
              <w:t>₲ 9.061 M</w:t>
            </w:r>
          </w:p>
        </w:tc>
      </w:tr>
      <w:tr>
        <w:tc>
          <w:tcPr>
            <w:tcW w:type="dxa" w:w="3456"/>
          </w:tcPr>
          <w:p>
            <w:r>
              <w:t>↳ Consumo de bienes</w:t>
            </w:r>
          </w:p>
        </w:tc>
        <w:tc>
          <w:tcPr>
            <w:tcW w:type="dxa" w:w="3456"/>
          </w:tcPr>
          <w:p>
            <w:r>
              <w:t>₲ 757 M</w:t>
            </w:r>
          </w:p>
        </w:tc>
        <w:tc>
          <w:tcPr>
            <w:tcW w:type="dxa" w:w="3456"/>
          </w:tcPr>
          <w:p>
            <w:r>
              <w:t>₲ 942 M</w:t>
            </w:r>
          </w:p>
        </w:tc>
      </w:tr>
      <w:tr>
        <w:tc>
          <w:tcPr>
            <w:tcW w:type="dxa" w:w="3456"/>
          </w:tcPr>
          <w:p>
            <w:r>
              <w:t>↳ Quita de interés</w:t>
            </w:r>
          </w:p>
        </w:tc>
        <w:tc>
          <w:tcPr>
            <w:tcW w:type="dxa" w:w="3456"/>
          </w:tcPr>
          <w:p>
            <w:r>
              <w:t>₲ 67 M</w:t>
            </w:r>
          </w:p>
        </w:tc>
        <w:tc>
          <w:tcPr>
            <w:tcW w:type="dxa" w:w="3456"/>
          </w:tcPr>
          <w:p>
            <w:r>
              <w:t>₲ 938 M</w:t>
            </w:r>
          </w:p>
        </w:tc>
      </w:tr>
      <w:tr>
        <w:tc>
          <w:tcPr>
            <w:tcW w:type="dxa" w:w="3456"/>
          </w:tcPr>
          <w:p>
            <w:r>
              <w:t>↳ Generales</w:t>
            </w:r>
          </w:p>
        </w:tc>
        <w:tc>
          <w:tcPr>
            <w:tcW w:type="dxa" w:w="3456"/>
          </w:tcPr>
          <w:p>
            <w:r>
              <w:t>₲ 404 M</w:t>
            </w:r>
          </w:p>
        </w:tc>
        <w:tc>
          <w:tcPr>
            <w:tcW w:type="dxa" w:w="3456"/>
          </w:tcPr>
          <w:p>
            <w:r>
              <w:t>₲ 750 M</w:t>
            </w:r>
          </w:p>
        </w:tc>
      </w:tr>
      <w:tr>
        <w:tc>
          <w:tcPr>
            <w:tcW w:type="dxa" w:w="3456"/>
          </w:tcPr>
          <w:p>
            <w:r>
              <w:t>↳ Gastos generales de operación</w:t>
            </w:r>
          </w:p>
        </w:tc>
        <w:tc>
          <w:tcPr>
            <w:tcW w:type="dxa" w:w="3456"/>
          </w:tcPr>
          <w:p>
            <w:r>
              <w:t>₲ 64 M</w:t>
            </w:r>
          </w:p>
        </w:tc>
        <w:tc>
          <w:tcPr>
            <w:tcW w:type="dxa" w:w="3456"/>
          </w:tcPr>
          <w:p>
            <w:r>
              <w:t>₲ 59 M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Utilidad antes de previsiones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₲ 36.492 M</w:t>
            </w:r>
          </w:p>
        </w:tc>
        <w:tc>
          <w:tcPr>
            <w:tcW w:type="dxa" w:w="3456"/>
          </w:tcPr>
          <w:p>
            <w:r>
              <w:rPr>
                <w:b/>
              </w:rPr>
              <w:t>₲ 26.352 M</w:t>
            </w:r>
          </w:p>
        </w:tc>
      </w:tr>
      <w:tr>
        <w:tc>
          <w:tcPr>
            <w:tcW w:type="dxa" w:w="3456"/>
          </w:tcPr>
          <w:p>
            <w:r>
              <w:t>Previsiones BCP</w:t>
            </w:r>
          </w:p>
        </w:tc>
        <w:tc>
          <w:tcPr>
            <w:tcW w:type="dxa" w:w="3456"/>
          </w:tcPr>
          <w:p>
            <w:r>
              <w:t>₲ 12.992 M</w:t>
            </w:r>
          </w:p>
        </w:tc>
        <w:tc>
          <w:tcPr>
            <w:tcW w:type="dxa" w:w="3456"/>
          </w:tcPr>
          <w:p>
            <w:r>
              <w:t>₲ 14.863 M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Resultado del ejercicio</w:t>
            </w:r>
          </w:p>
        </w:tc>
        <w:tc>
          <w:tcPr>
            <w:tcW w:type="dxa" w:w="3456"/>
          </w:tcPr>
          <w:p>
            <w:r>
              <w:rPr>
                <w:b/>
              </w:rPr>
              <w:t>₲ 23.500 M</w:t>
            </w:r>
          </w:p>
        </w:tc>
        <w:tc>
          <w:tcPr>
            <w:tcW w:type="dxa" w:w="3456"/>
          </w:tcPr>
          <w:p>
            <w:r>
              <w:rPr>
                <w:b/>
              </w:rPr>
              <w:t>₲ 11.489 M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40588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_resultad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05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C86F24"/>
        </w:rPr>
        <w:t xml:space="preserve">Comentario gerencial: </w:t>
      </w:r>
      <w:r>
        <w:rPr>
          <w:i/>
        </w:rPr>
        <w:t>El cuadro conserva el mismo orden gerencial del dashboard: ingresos, gastos totales, utilidad antes de previsiones, previsiones y resultado.</w:t>
      </w:r>
    </w:p>
    <w:p>
      <w:pPr>
        <w:pStyle w:val="Heading1"/>
      </w:pPr>
      <w:r>
        <w:t>8. Resultado mensual de julio y erosión por mora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5184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Julio 2026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Ingresos operativos + otros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₲ 10.114 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Gastos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₲ 4.870 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Utilidad antes de previsiones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₲ 5.244 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Previsiones BCP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₲ 1.362 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Resultado julio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₲ 3.882 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Mora PAR 0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₲ 3.300 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Mora PAR 60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₲ 1.080 M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3370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os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37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C86F24"/>
        </w:rPr>
        <w:t xml:space="preserve">Comentario gerencial: </w:t>
      </w:r>
      <w:r>
        <w:rPr>
          <w:i/>
        </w:rPr>
        <w:t>El PAR 0 de julio equivale al 85,0% del resultado mensual, mientras que el PAR 60 equivale al 27,8%, Se analizan por separado,</w:t>
      </w:r>
    </w:p>
    <w:p>
      <w:pPr>
        <w:pStyle w:val="Heading1"/>
      </w:pPr>
      <w:r>
        <w:t>9. Presupuesto 2026 y ejecución financiera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8663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upuesto_dos_barra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66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45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Monto</w:t>
            </w:r>
          </w:p>
        </w:tc>
        <w:tc>
          <w:tcPr>
            <w:tcW w:type="dxa" w:w="3456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Participación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Presupuesto 2026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₲ 500.597 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100,0%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Desembolsos ene-jul 2026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₲ 365.466 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73,0%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Saldo frente al presupuesto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₲ 135.131 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27,0%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Capital exigible - cartera vigente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₲ 151.631 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Diferencia saldo - capital exigible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-₲ 16.500 M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Capital exigible supera el saldo</w:t>
            </w:r>
          </w:p>
        </w:tc>
      </w:tr>
    </w:tbl>
    <w:p>
      <w:pPr>
        <w:pStyle w:val="Heading1"/>
      </w:pPr>
      <w:r>
        <w:t>10. Ratios financieros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Ratio</w:t>
            </w:r>
          </w:p>
        </w:tc>
        <w:tc>
          <w:tcPr>
            <w:tcW w:type="dxa" w:w="2592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CAH</w:t>
            </w:r>
          </w:p>
        </w:tc>
        <w:tc>
          <w:tcPr>
            <w:tcW w:type="dxa" w:w="2592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Bancos</w:t>
            </w:r>
          </w:p>
        </w:tc>
        <w:tc>
          <w:tcPr>
            <w:tcW w:type="dxa" w:w="2592"/>
            <w:vAlign w:val="center"/>
            <w:shd w:fill="0F5B46"/>
          </w:tcPr>
          <w:p>
            <w:r/>
            <w:r>
              <w:rPr>
                <w:b/>
                <w:color w:val="FFFFFF"/>
                <w:sz w:val="16"/>
              </w:rPr>
              <w:t>Financieras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ROE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3,04%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18,85%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21,40%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ROA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2,77%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2,14%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2,30%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Índice de solvencia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11,18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1,14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1,14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Liquidez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23,23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pPr>
        <w:pStyle w:val="Heading1"/>
      </w:pPr>
      <w:r>
        <w:t>11. Conclusiones gerenciales</w:t>
      </w:r>
    </w:p>
    <w:p>
      <w:r>
        <w:rPr>
          <w:b/>
        </w:rPr>
        <w:t xml:space="preserve">• </w:t>
      </w:r>
      <w:r>
        <w:t>Los desembolsos mantienen una expansión interanual superior al crecimiento del capital recuperado.</w:t>
      </w:r>
    </w:p>
    <w:p>
      <w:r>
        <w:rPr>
          <w:b/>
        </w:rPr>
        <w:t xml:space="preserve">• </w:t>
      </w:r>
      <w:r>
        <w:t>La caja tercerizada concentra la mayor participación en Sur-Este y Centro-Sur cuando se mide sobre la cantidad total de operaciones tercerizadas.</w:t>
      </w:r>
    </w:p>
    <w:p>
      <w:r>
        <w:rPr>
          <w:b/>
        </w:rPr>
        <w:t xml:space="preserve">• </w:t>
      </w:r>
      <w:r>
        <w:t>La bancarización presenta una cobertura muy alta, con heterogeneidad territorial concentrada principalmente en Servicios-Chaco.</w:t>
      </w:r>
    </w:p>
    <w:p>
      <w:r>
        <w:rPr>
          <w:b/>
        </w:rPr>
        <w:t xml:space="preserve">• </w:t>
      </w:r>
      <w:r>
        <w:t>La cartera total crece, mientras la composición mejora por la reducción de vencida y judicial frente a julio de 2025.</w:t>
      </w:r>
    </w:p>
    <w:p>
      <w:r>
        <w:rPr>
          <w:b/>
        </w:rPr>
        <w:t xml:space="preserve">• </w:t>
      </w:r>
      <w:r>
        <w:t>El resultado acumulado mejora por mayores ingresos y menores gastos y previsiones.</w:t>
      </w:r>
    </w:p>
    <w:p>
      <w:r>
        <w:rPr>
          <w:b/>
        </w:rPr>
        <w:t xml:space="preserve">• </w:t>
      </w:r>
      <w:r>
        <w:t>La mora de julio representa una porción material del resultado mensual, por lo que se mantiene como foco de seguimiento.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5B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B6F9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