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F5B46"/>
          <w:sz w:val="22"/>
        </w:rPr>
        <w:t>CRÉDITO AGRÍCOLA DE HABILITACIÓN</w:t>
      </w:r>
    </w:p>
    <w:p>
      <w:pPr>
        <w:pStyle w:val="Title"/>
        <w:jc w:val="center"/>
      </w:pPr>
      <w:r>
        <w:rPr>
          <w:b/>
        </w:rPr>
        <w:t>Informe Gerencial · Julio 2026</w:t>
      </w:r>
    </w:p>
    <w:p>
      <w:pPr>
        <w:jc w:val="center"/>
      </w:pPr>
      <w:r>
        <w:rPr>
          <w:color w:val="68756F"/>
          <w:sz w:val="20"/>
        </w:rPr>
        <w:t>Gerencia de Planificación · Información Gerencial</w:t>
      </w:r>
    </w:p>
    <w:p>
      <w:pPr>
        <w:pStyle w:val="Heading1"/>
      </w:pPr>
      <w:r>
        <w:t>1. Resumen ejecutivo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vAlign w:val="center"/>
            <w:shd w:fill="0F5B46"/>
          </w:tcPr>
          <w:p>
            <w:r/>
            <w:r>
              <w:rPr>
                <w:b/>
                <w:color w:val="FFFFFF"/>
                <w:sz w:val="17"/>
              </w:rPr>
              <w:t>Indicador</w:t>
            </w:r>
          </w:p>
        </w:tc>
        <w:tc>
          <w:tcPr>
            <w:tcW w:type="dxa" w:w="2520"/>
            <w:vAlign w:val="center"/>
            <w:shd w:fill="0F5B46"/>
          </w:tcPr>
          <w:p>
            <w:r/>
            <w:r>
              <w:rPr>
                <w:b/>
                <w:color w:val="FFFFFF"/>
                <w:sz w:val="17"/>
              </w:rPr>
              <w:t>2026</w:t>
            </w:r>
          </w:p>
        </w:tc>
        <w:tc>
          <w:tcPr>
            <w:tcW w:type="dxa" w:w="2520"/>
            <w:vAlign w:val="center"/>
            <w:shd w:fill="0F5B46"/>
          </w:tcPr>
          <w:p>
            <w:r/>
            <w:r>
              <w:rPr>
                <w:b/>
                <w:color w:val="FFFFFF"/>
                <w:sz w:val="17"/>
              </w:rPr>
              <w:t>2025</w:t>
            </w:r>
          </w:p>
        </w:tc>
        <w:tc>
          <w:tcPr>
            <w:tcW w:type="dxa" w:w="2520"/>
            <w:vAlign w:val="center"/>
            <w:shd w:fill="0F5B46"/>
          </w:tcPr>
          <w:p>
            <w:r/>
            <w:r>
              <w:rPr>
                <w:b/>
                <w:color w:val="FFFFFF"/>
                <w:sz w:val="17"/>
              </w:rPr>
              <w:t>Variación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Desembolsos acumulados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₲ 365.465,7 M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₲ 317.027,9 M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+15,3%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Capital recuperado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₲ 320.889,2 M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₲ 300.648,0 M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+6,7%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Resultado del ejercicio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₲ 23.499,8 M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₲ 11.489,0 M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+104,5%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Mora PAR 60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1,83%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1,31%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+0,52 pp</w:t>
            </w:r>
          </w:p>
        </w:tc>
      </w:tr>
    </w:tbl>
    <w:p>
      <w:pPr>
        <w:spacing w:before="80" w:after="160"/>
      </w:pPr>
      <w:r>
        <w:rPr>
          <w:b/>
          <w:color w:val="C86F24"/>
        </w:rPr>
        <w:t xml:space="preserve">Comentario gerencial: </w:t>
      </w:r>
      <w:r>
        <w:rPr>
          <w:i/>
          <w:color w:val="485952"/>
        </w:rPr>
        <w:t>Los desembolsos crecieron +15,3% interanualmente, mientras el capital recuperado aumentó +6,7%. El resultado del ejercicio más que se duplicó, aunque la mora PAR 60 aumentó 0,52 puntos porcentuales.</w:t>
      </w:r>
    </w:p>
    <w:p>
      <w:pPr>
        <w:pStyle w:val="Heading1"/>
      </w:pPr>
      <w:r>
        <w:t>2. Actividad financiera y recuperaciones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vAlign w:val="center"/>
            <w:shd w:fill="0F5B46"/>
          </w:tcPr>
          <w:p>
            <w:r/>
            <w:r>
              <w:rPr>
                <w:b/>
                <w:color w:val="FFFFFF"/>
                <w:sz w:val="17"/>
              </w:rPr>
              <w:t>Concepto</w:t>
            </w:r>
          </w:p>
        </w:tc>
        <w:tc>
          <w:tcPr>
            <w:tcW w:type="dxa" w:w="2520"/>
            <w:vAlign w:val="center"/>
            <w:shd w:fill="0F5B46"/>
          </w:tcPr>
          <w:p>
            <w:r/>
            <w:r>
              <w:rPr>
                <w:b/>
                <w:color w:val="FFFFFF"/>
                <w:sz w:val="17"/>
              </w:rPr>
              <w:t>Ene-jul 2026</w:t>
            </w:r>
          </w:p>
        </w:tc>
        <w:tc>
          <w:tcPr>
            <w:tcW w:type="dxa" w:w="2520"/>
            <w:vAlign w:val="center"/>
            <w:shd w:fill="0F5B46"/>
          </w:tcPr>
          <w:p>
            <w:r/>
            <w:r>
              <w:rPr>
                <w:b/>
                <w:color w:val="FFFFFF"/>
                <w:sz w:val="17"/>
              </w:rPr>
              <w:t>Ene-jul 2025</w:t>
            </w:r>
          </w:p>
        </w:tc>
        <w:tc>
          <w:tcPr>
            <w:tcW w:type="dxa" w:w="2520"/>
            <w:vAlign w:val="center"/>
            <w:shd w:fill="0F5B46"/>
          </w:tcPr>
          <w:p>
            <w:r/>
            <w:r>
              <w:rPr>
                <w:b/>
                <w:color w:val="FFFFFF"/>
                <w:sz w:val="17"/>
              </w:rPr>
              <w:t>Variación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Desembolsos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₲ 365.465,7 M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₲ 317.027,9 M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+15,3%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Capital recuperado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₲ 320.889,2 M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₲ 300.648,0 M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+6,7%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Intereses recuperados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₲ 58.236,2 M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₲ 52.637,9 M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+10,6%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Total capital + interés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₲ 379.125,4 M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₲ 353.285,9 M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+7,3%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23560" cy="239828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23982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</w:pPr>
      <w:r>
        <w:rPr>
          <w:b/>
          <w:color w:val="C86F24"/>
        </w:rPr>
        <w:t xml:space="preserve">Comentario gerencial: </w:t>
      </w:r>
      <w:r>
        <w:rPr>
          <w:i/>
          <w:color w:val="485952"/>
        </w:rPr>
        <w:t>El capital recuperado representa el 87,8% de los desembolsos acumulados. La brecha entre desembolsos y capital recuperado es de ₲ 44.576,5 M.</w:t>
      </w:r>
    </w:p>
    <w:p>
      <w:pPr>
        <w:pStyle w:val="Heading1"/>
      </w:pPr>
      <w:r>
        <w:t>3. Cobranzas por caja tercerizada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0F5B46"/>
          </w:tcPr>
          <w:p>
            <w:r/>
            <w:r>
              <w:rPr>
                <w:b/>
                <w:color w:val="FFFFFF"/>
                <w:sz w:val="17"/>
              </w:rPr>
              <w:t>Indicador</w:t>
            </w:r>
          </w:p>
        </w:tc>
        <w:tc>
          <w:tcPr>
            <w:tcW w:type="dxa" w:w="3360"/>
            <w:vAlign w:val="center"/>
            <w:shd w:fill="0F5B46"/>
          </w:tcPr>
          <w:p>
            <w:r/>
            <w:r>
              <w:rPr>
                <w:b/>
                <w:color w:val="FFFFFF"/>
                <w:sz w:val="17"/>
              </w:rPr>
              <w:t>Cantidad</w:t>
            </w:r>
          </w:p>
        </w:tc>
        <w:tc>
          <w:tcPr>
            <w:tcW w:type="dxa" w:w="3360"/>
            <w:vAlign w:val="center"/>
            <w:shd w:fill="0F5B46"/>
          </w:tcPr>
          <w:p>
            <w:r/>
            <w:r>
              <w:rPr>
                <w:b/>
                <w:color w:val="FFFFFF"/>
                <w:sz w:val="17"/>
              </w:rPr>
              <w:t>Participación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Total de operaciones de cobranza/recuperación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73.720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100,00%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Operaciones por caja tercerizada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62.277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  <w:sz w:val="17"/>
              </w:rPr>
              <w:t>84,48%</w:t>
            </w:r>
          </w:p>
        </w:tc>
      </w:tr>
    </w:tbl>
    <w:p>
      <w:pPr>
        <w:spacing w:before="80" w:after="160"/>
      </w:pPr>
      <w:r>
        <w:rPr>
          <w:b/>
          <w:color w:val="C86F24"/>
        </w:rPr>
        <w:t xml:space="preserve">Comentario gerencial: </w:t>
      </w:r>
      <w:r>
        <w:rPr>
          <w:i/>
          <w:color w:val="485952"/>
        </w:rPr>
        <w:t>El 84,48% de las operaciones de cobranza/recuperación se canalizó por caja tercerizada. La cobertura no es homogénea entre gerencias, por lo que conviene seguir el indicador por territorio.</w:t>
      </w:r>
    </w:p>
    <w:p>
      <w:pPr>
        <w:pStyle w:val="Heading1"/>
      </w:pPr>
      <w:r>
        <w:t>4. Bancarización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  <w:shd w:fill="0F5B46"/>
          </w:tcPr>
          <w:p>
            <w:r/>
            <w:r>
              <w:rPr>
                <w:b/>
                <w:color w:val="FFFFFF"/>
                <w:sz w:val="17"/>
              </w:rPr>
              <w:t>Indicador</w:t>
            </w:r>
          </w:p>
        </w:tc>
        <w:tc>
          <w:tcPr>
            <w:tcW w:type="dxa" w:w="5040"/>
            <w:vAlign w:val="center"/>
            <w:shd w:fill="0F5B46"/>
          </w:tcPr>
          <w:p>
            <w:r/>
            <w:r>
              <w:rPr>
                <w:b/>
                <w:color w:val="FFFFFF"/>
                <w:sz w:val="17"/>
              </w:rPr>
              <w:t>Resultado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7"/>
              </w:rPr>
              <w:t>Cobertura por cantidad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7"/>
              </w:rPr>
              <w:t>99,71%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7"/>
              </w:rPr>
              <w:t>Operaciones bancarizadas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7"/>
              </w:rPr>
              <w:t>24.083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7"/>
              </w:rPr>
              <w:t>Total operaciones desembolsadas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7"/>
              </w:rPr>
              <w:t>24.153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7"/>
              </w:rPr>
              <w:t>Bancarizaciones de julio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7"/>
              </w:rPr>
              <w:t>3.568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7"/>
              </w:rPr>
              <w:t>Cobertura de julio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7"/>
              </w:rPr>
              <w:t>99,69%</w:t>
            </w:r>
          </w:p>
        </w:tc>
      </w:tr>
    </w:tbl>
    <w:p>
      <w:pPr>
        <w:spacing w:before="80" w:after="160"/>
      </w:pPr>
      <w:r>
        <w:rPr>
          <w:b/>
          <w:color w:val="C86F24"/>
        </w:rPr>
        <w:t xml:space="preserve">Comentario gerencial: </w:t>
      </w:r>
      <w:r>
        <w:rPr>
          <w:i/>
          <w:color w:val="485952"/>
        </w:rPr>
        <w:t>La bancarización se mantiene prácticamente universal en el acumulado. El seguimiento por Centro de Atención permite identificar focos de menor cobertura y oportunidades de mejora operativa.</w:t>
      </w:r>
    </w:p>
    <w:p>
      <w:pPr>
        <w:pStyle w:val="Heading1"/>
      </w:pPr>
      <w:r>
        <w:t>5. Cartera y morosidad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vAlign w:val="center"/>
            <w:shd w:fill="0F5B46"/>
          </w:tcPr>
          <w:p>
            <w:r/>
            <w:r>
              <w:rPr>
                <w:b/>
                <w:color w:val="FFFFFF"/>
                <w:sz w:val="17"/>
              </w:rPr>
              <w:t>Componente</w:t>
            </w:r>
          </w:p>
        </w:tc>
        <w:tc>
          <w:tcPr>
            <w:tcW w:type="dxa" w:w="2520"/>
            <w:vAlign w:val="center"/>
            <w:shd w:fill="0F5B46"/>
          </w:tcPr>
          <w:p>
            <w:r/>
            <w:r>
              <w:rPr>
                <w:b/>
                <w:color w:val="FFFFFF"/>
                <w:sz w:val="17"/>
              </w:rPr>
              <w:t>Julio 2026</w:t>
            </w:r>
          </w:p>
        </w:tc>
        <w:tc>
          <w:tcPr>
            <w:tcW w:type="dxa" w:w="2520"/>
            <w:vAlign w:val="center"/>
            <w:shd w:fill="0F5B46"/>
          </w:tcPr>
          <w:p>
            <w:r/>
            <w:r>
              <w:rPr>
                <w:b/>
                <w:color w:val="FFFFFF"/>
                <w:sz w:val="17"/>
              </w:rPr>
              <w:t>Julio 2025</w:t>
            </w:r>
          </w:p>
        </w:tc>
        <w:tc>
          <w:tcPr>
            <w:tcW w:type="dxa" w:w="2520"/>
            <w:vAlign w:val="center"/>
            <w:shd w:fill="0F5B46"/>
          </w:tcPr>
          <w:p>
            <w:r/>
            <w:r>
              <w:rPr>
                <w:b/>
                <w:color w:val="FFFFFF"/>
                <w:sz w:val="17"/>
              </w:rPr>
              <w:t>Variación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Cartera total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₲ 749.879,2 M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₲ 733.281,3 M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+2,3%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Vigente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₲ 715.646,3 M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₲ 613.401,6 M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+16,7%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Vencida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₲ 28.578,4 M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₲ 70.445,6 M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-59,4%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Judicial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₲ 5.654,5 M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₲ 49.434,1 M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-88,6%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vAlign w:val="center"/>
            <w:shd w:fill="0F5B46"/>
          </w:tcPr>
          <w:p>
            <w:r/>
            <w:r>
              <w:rPr>
                <w:b/>
                <w:color w:val="FFFFFF"/>
                <w:sz w:val="17"/>
              </w:rPr>
              <w:t>Mora</w:t>
            </w:r>
          </w:p>
        </w:tc>
        <w:tc>
          <w:tcPr>
            <w:tcW w:type="dxa" w:w="2520"/>
            <w:vAlign w:val="center"/>
            <w:shd w:fill="0F5B46"/>
          </w:tcPr>
          <w:p>
            <w:r/>
            <w:r>
              <w:rPr>
                <w:b/>
                <w:color w:val="FFFFFF"/>
                <w:sz w:val="17"/>
              </w:rPr>
              <w:t>Julio 2026</w:t>
            </w:r>
          </w:p>
        </w:tc>
        <w:tc>
          <w:tcPr>
            <w:tcW w:type="dxa" w:w="2520"/>
            <w:vAlign w:val="center"/>
            <w:shd w:fill="0F5B46"/>
          </w:tcPr>
          <w:p>
            <w:r/>
            <w:r>
              <w:rPr>
                <w:b/>
                <w:color w:val="FFFFFF"/>
                <w:sz w:val="17"/>
              </w:rPr>
              <w:t>Julio 2025</w:t>
            </w:r>
          </w:p>
        </w:tc>
        <w:tc>
          <w:tcPr>
            <w:tcW w:type="dxa" w:w="2520"/>
            <w:vAlign w:val="center"/>
            <w:shd w:fill="0F5B46"/>
          </w:tcPr>
          <w:p>
            <w:r/>
            <w:r>
              <w:rPr>
                <w:b/>
                <w:color w:val="FFFFFF"/>
                <w:sz w:val="17"/>
              </w:rPr>
              <w:t>Monto 2026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PAR 0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3,93%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3,42%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₲ 10.549,9 M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PAR 60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1,83%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1,31%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₲ 4.914,0 M</w:t>
            </w:r>
          </w:p>
        </w:tc>
      </w:tr>
    </w:tbl>
    <w:p>
      <w:pPr>
        <w:spacing w:before="80" w:after="160"/>
      </w:pPr>
      <w:r>
        <w:rPr>
          <w:b/>
          <w:color w:val="C86F24"/>
        </w:rPr>
        <w:t xml:space="preserve">Comentario gerencial: </w:t>
      </w:r>
      <w:r>
        <w:rPr>
          <w:i/>
          <w:color w:val="485952"/>
        </w:rPr>
        <w:t>La cartera total creció moderadamente, con una mejora marcada en su composición: la cartera vigente aumentó, mientras las posiciones vencidas y judiciales se redujeron frente a julio de 2025. Sin embargo, los ratios PAR 0 y PAR 60 muestran presión interanual sobre el capital exigible.</w:t>
      </w:r>
    </w:p>
    <w:p>
      <w:pPr>
        <w:pStyle w:val="Heading1"/>
      </w:pPr>
      <w:r>
        <w:t>6. Resultado mensual de julio y erosión por mora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  <w:shd w:fill="0F5B46"/>
          </w:tcPr>
          <w:p>
            <w:r/>
            <w:r>
              <w:rPr>
                <w:b/>
                <w:color w:val="FFFFFF"/>
                <w:sz w:val="17"/>
              </w:rPr>
              <w:t>Concepto</w:t>
            </w:r>
          </w:p>
        </w:tc>
        <w:tc>
          <w:tcPr>
            <w:tcW w:type="dxa" w:w="5040"/>
            <w:vAlign w:val="center"/>
            <w:shd w:fill="0F5B46"/>
          </w:tcPr>
          <w:p>
            <w:r/>
            <w:r>
              <w:rPr>
                <w:b/>
                <w:color w:val="FFFFFF"/>
                <w:sz w:val="17"/>
              </w:rPr>
              <w:t>Julio 2026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7"/>
              </w:rPr>
              <w:t>Ingresos operativos + otros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7"/>
              </w:rPr>
              <w:t>₲ 10.114,4 M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7"/>
              </w:rPr>
              <w:t>Gastos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7"/>
              </w:rPr>
              <w:t>₲ 4.870,0 M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7"/>
              </w:rPr>
              <w:t>Utilidad antes de previsiones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7"/>
              </w:rPr>
              <w:t>₲ 5.244,3 M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7"/>
              </w:rPr>
              <w:t>Previsiones BCP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7"/>
              </w:rPr>
              <w:t>₲ 1.362,5 M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7"/>
              </w:rPr>
              <w:t>Resultado del mes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7"/>
              </w:rPr>
              <w:t>₲ 3.881,9 M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7"/>
              </w:rPr>
              <w:t>Mora PAR 0 del mes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7"/>
              </w:rPr>
              <w:t>₲ 3.299,6 M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7"/>
              </w:rPr>
              <w:t>Mora PAR 60 del mes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7"/>
              </w:rPr>
              <w:t>₲ 1.079,5 M</w:t>
            </w:r>
          </w:p>
        </w:tc>
      </w:tr>
    </w:tbl>
    <w:p>
      <w:pPr>
        <w:spacing w:before="80" w:after="160"/>
      </w:pPr>
      <w:r>
        <w:rPr>
          <w:b/>
          <w:color w:val="C86F24"/>
        </w:rPr>
        <w:t xml:space="preserve">Comentario gerencial: </w:t>
      </w:r>
      <w:r>
        <w:rPr>
          <w:i/>
          <w:color w:val="485952"/>
        </w:rPr>
        <w:t>El monto PAR 0 de julio equivale al 85,00% del resultado mensual; el PAR 60 equivale al 27,81%. Estas referencias se analizan por separado porque PAR 60 está contenido dentro del universo de PAR 0.</w:t>
      </w:r>
    </w:p>
    <w:p>
      <w:pPr>
        <w:pStyle w:val="Heading1"/>
      </w:pPr>
      <w:r>
        <w:t>7. Balance y Estado de Resultados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vAlign w:val="center"/>
            <w:shd w:fill="0F5B46"/>
          </w:tcPr>
          <w:p>
            <w:r/>
            <w:r>
              <w:rPr>
                <w:b/>
                <w:color w:val="FFFFFF"/>
                <w:sz w:val="17"/>
              </w:rPr>
              <w:t>Indicador</w:t>
            </w:r>
          </w:p>
        </w:tc>
        <w:tc>
          <w:tcPr>
            <w:tcW w:type="dxa" w:w="2520"/>
            <w:vAlign w:val="center"/>
            <w:shd w:fill="0F5B46"/>
          </w:tcPr>
          <w:p>
            <w:r/>
            <w:r>
              <w:rPr>
                <w:b/>
                <w:color w:val="FFFFFF"/>
                <w:sz w:val="17"/>
              </w:rPr>
              <w:t>Julio 2026</w:t>
            </w:r>
          </w:p>
        </w:tc>
        <w:tc>
          <w:tcPr>
            <w:tcW w:type="dxa" w:w="2520"/>
            <w:vAlign w:val="center"/>
            <w:shd w:fill="0F5B46"/>
          </w:tcPr>
          <w:p>
            <w:r/>
            <w:r>
              <w:rPr>
                <w:b/>
                <w:color w:val="FFFFFF"/>
                <w:sz w:val="17"/>
              </w:rPr>
              <w:t>Julio 2025</w:t>
            </w:r>
          </w:p>
        </w:tc>
        <w:tc>
          <w:tcPr>
            <w:tcW w:type="dxa" w:w="2520"/>
            <w:vAlign w:val="center"/>
            <w:shd w:fill="0F5B46"/>
          </w:tcPr>
          <w:p>
            <w:r/>
            <w:r>
              <w:rPr>
                <w:b/>
                <w:color w:val="FFFFFF"/>
                <w:sz w:val="17"/>
              </w:rPr>
              <w:t>Variación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Disponible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₲ 36.095,9 M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₲ 51.159,2 M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-29,4%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Ingresos operativos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₲ 61.463,3 M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₲ 53.254,0 M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+15,4%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Gastos totales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₲ 30.766,4 M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₲ 34.129,6 M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-9,9%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Previsiones BCP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₲ 12.991,9 M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₲ 14.862,6 M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-12,6%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Resultado del ejercicio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₲ 23.499,8 M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₲ 11.489,0 M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+104,5%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23560" cy="239828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23982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23560" cy="239828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23982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</w:pPr>
      <w:r>
        <w:rPr>
          <w:b/>
          <w:color w:val="C86F24"/>
        </w:rPr>
        <w:t xml:space="preserve">Comentario gerencial: </w:t>
      </w:r>
      <w:r>
        <w:rPr>
          <w:i/>
          <w:color w:val="485952"/>
        </w:rPr>
        <w:t>El disponible disminuyó 29,4% interanualmente, mientras los ingresos operativos crecieron y los gastos totales se redujeron. La combinación de mayores ingresos, menores gastos y menores previsiones explica la fuerte mejora del resultado acumulado.</w:t>
      </w:r>
    </w:p>
    <w:p>
      <w:pPr>
        <w:pStyle w:val="Heading1"/>
      </w:pPr>
      <w:r>
        <w:t>8. Ratios financieros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vAlign w:val="center"/>
            <w:shd w:fill="0F5B46"/>
          </w:tcPr>
          <w:p>
            <w:r/>
            <w:r>
              <w:rPr>
                <w:b/>
                <w:color w:val="FFFFFF"/>
                <w:sz w:val="17"/>
              </w:rPr>
              <w:t>Ratio</w:t>
            </w:r>
          </w:p>
        </w:tc>
        <w:tc>
          <w:tcPr>
            <w:tcW w:type="dxa" w:w="2520"/>
            <w:vAlign w:val="center"/>
            <w:shd w:fill="0F5B46"/>
          </w:tcPr>
          <w:p>
            <w:r/>
            <w:r>
              <w:rPr>
                <w:b/>
                <w:color w:val="FFFFFF"/>
                <w:sz w:val="17"/>
              </w:rPr>
              <w:t>CAH julio 2026</w:t>
            </w:r>
          </w:p>
        </w:tc>
        <w:tc>
          <w:tcPr>
            <w:tcW w:type="dxa" w:w="2520"/>
            <w:vAlign w:val="center"/>
            <w:shd w:fill="0F5B46"/>
          </w:tcPr>
          <w:p>
            <w:r/>
            <w:r>
              <w:rPr>
                <w:b/>
                <w:color w:val="FFFFFF"/>
                <w:sz w:val="17"/>
              </w:rPr>
              <w:t>Bancos</w:t>
            </w:r>
          </w:p>
        </w:tc>
        <w:tc>
          <w:tcPr>
            <w:tcW w:type="dxa" w:w="2520"/>
            <w:vAlign w:val="center"/>
            <w:shd w:fill="0F5B46"/>
          </w:tcPr>
          <w:p>
            <w:r/>
            <w:r>
              <w:rPr>
                <w:b/>
                <w:color w:val="FFFFFF"/>
                <w:sz w:val="17"/>
              </w:rPr>
              <w:t>Financieras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ROE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3,04%</w:t>
            </w:r>
          </w:p>
        </w:tc>
        <w:tc>
          <w:tcPr>
            <w:tcW w:type="dxa" w:w="2520"/>
            <w:vAlign w:val="center"/>
          </w:tcPr>
          <w:p>
            <w:r>
              <w:t>18,85%</w:t>
            </w:r>
          </w:p>
        </w:tc>
        <w:tc>
          <w:tcPr>
            <w:tcW w:type="dxa" w:w="2520"/>
            <w:vAlign w:val="center"/>
          </w:tcPr>
          <w:p>
            <w:r>
              <w:t>21,40%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ROA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  <w:sz w:val="17"/>
              </w:rPr>
              <w:t>2,77%</w:t>
            </w:r>
          </w:p>
        </w:tc>
        <w:tc>
          <w:tcPr>
            <w:tcW w:type="dxa" w:w="2520"/>
            <w:vAlign w:val="center"/>
          </w:tcPr>
          <w:p>
            <w:r>
              <w:t>2,14%</w:t>
            </w:r>
          </w:p>
        </w:tc>
        <w:tc>
          <w:tcPr>
            <w:tcW w:type="dxa" w:w="2520"/>
            <w:vAlign w:val="center"/>
          </w:tcPr>
          <w:p>
            <w:r>
              <w:t>2,30%</w:t>
            </w:r>
          </w:p>
        </w:tc>
      </w:tr>
      <w:tr>
        <w:tc>
          <w:tcPr>
            <w:tcW w:type="dxa" w:w="2520"/>
            <w:vAlign w:val="center"/>
          </w:tcPr>
          <w:p>
            <w:r>
              <w:t>Índice de solvencia</w:t>
            </w:r>
          </w:p>
        </w:tc>
        <w:tc>
          <w:tcPr>
            <w:tcW w:type="dxa" w:w="2520"/>
            <w:vAlign w:val="center"/>
          </w:tcPr>
          <w:p>
            <w:r>
              <w:t>11,18</w:t>
            </w:r>
          </w:p>
        </w:tc>
        <w:tc>
          <w:tcPr>
            <w:tcW w:type="dxa" w:w="2520"/>
            <w:vAlign w:val="center"/>
          </w:tcPr>
          <w:p>
            <w:r>
              <w:t>1,14</w:t>
            </w:r>
          </w:p>
        </w:tc>
        <w:tc>
          <w:tcPr>
            <w:tcW w:type="dxa" w:w="2520"/>
            <w:vAlign w:val="center"/>
          </w:tcPr>
          <w:p>
            <w:r>
              <w:t>1,14</w:t>
            </w:r>
          </w:p>
        </w:tc>
      </w:tr>
      <w:tr>
        <w:tc>
          <w:tcPr>
            <w:tcW w:type="dxa" w:w="2520"/>
            <w:vAlign w:val="center"/>
          </w:tcPr>
          <w:p>
            <w:r>
              <w:t>Liquidez</w:t>
            </w:r>
          </w:p>
        </w:tc>
        <w:tc>
          <w:tcPr>
            <w:tcW w:type="dxa" w:w="2520"/>
            <w:vAlign w:val="center"/>
          </w:tcPr>
          <w:p>
            <w:r>
              <w:t>23,23</w:t>
            </w:r>
          </w:p>
        </w:tc>
        <w:tc>
          <w:tcPr>
            <w:tcW w:type="dxa" w:w="2520"/>
            <w:vAlign w:val="center"/>
          </w:tcPr>
          <w:p>
            <w:r/>
          </w:p>
        </w:tc>
        <w:tc>
          <w:tcPr>
            <w:tcW w:type="dxa" w:w="2520"/>
            <w:vAlign w:val="center"/>
          </w:tcPr>
          <w:p>
            <w:r/>
          </w:p>
        </w:tc>
      </w:tr>
    </w:tbl>
    <w:p>
      <w:pPr>
        <w:spacing w:before="80" w:after="160"/>
      </w:pPr>
      <w:r>
        <w:t>Comentario gerencial: El ROE del CAH es 3,04%, frente a 18,85% del total de Bancos y 21,40% del total de Financieras. El ROA del CAH es 2,77%, frente a 2,14% y 2,30%, respectivamente. El índice de solvencia se presenta sin símbolo adicional. Para Liquidez se muestra únicamente la cifra del CAH, sin comparación con Bancos ni Financieras.</w:t>
      </w:r>
    </w:p>
    <w:p>
      <w:pPr>
        <w:pStyle w:val="Heading1"/>
      </w:pPr>
      <w:r>
        <w:t>9. Presupuesto 2026 y ejecución financiera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t>Indicador</w:t>
            </w:r>
          </w:p>
        </w:tc>
        <w:tc>
          <w:tcPr>
            <w:tcW w:type="dxa" w:w="3360"/>
          </w:tcPr>
          <w:p>
            <w:r>
              <w:t>Monto</w:t>
            </w:r>
          </w:p>
        </w:tc>
        <w:tc>
          <w:tcPr>
            <w:tcW w:type="dxa" w:w="3360"/>
          </w:tcPr>
          <w:p>
            <w:r>
              <w:t>Participación</w:t>
            </w:r>
          </w:p>
        </w:tc>
      </w:tr>
      <w:tr>
        <w:tc>
          <w:tcPr>
            <w:tcW w:type="dxa" w:w="3360"/>
          </w:tcPr>
          <w:p>
            <w:r>
              <w:t>Presupuesto 2026</w:t>
            </w:r>
          </w:p>
        </w:tc>
        <w:tc>
          <w:tcPr>
            <w:tcW w:type="dxa" w:w="3360"/>
          </w:tcPr>
          <w:p>
            <w:r>
              <w:t>₲ 500.596,8 M</w:t>
            </w:r>
          </w:p>
        </w:tc>
        <w:tc>
          <w:tcPr>
            <w:tcW w:type="dxa" w:w="3360"/>
          </w:tcPr>
          <w:p>
            <w:r>
              <w:t>100,0%</w:t>
            </w:r>
          </w:p>
        </w:tc>
      </w:tr>
      <w:tr>
        <w:tc>
          <w:tcPr>
            <w:tcW w:type="dxa" w:w="3360"/>
          </w:tcPr>
          <w:p>
            <w:r>
              <w:t>Desembolsos ene-jul 2026</w:t>
            </w:r>
          </w:p>
        </w:tc>
        <w:tc>
          <w:tcPr>
            <w:tcW w:type="dxa" w:w="3360"/>
          </w:tcPr>
          <w:p>
            <w:r>
              <w:t>₲ 365.465,7 M</w:t>
            </w:r>
          </w:p>
        </w:tc>
        <w:tc>
          <w:tcPr>
            <w:tcW w:type="dxa" w:w="3360"/>
          </w:tcPr>
          <w:p>
            <w:r>
              <w:t>73,0%</w:t>
            </w:r>
          </w:p>
        </w:tc>
      </w:tr>
      <w:tr>
        <w:tc>
          <w:tcPr>
            <w:tcW w:type="dxa" w:w="3360"/>
          </w:tcPr>
          <w:p>
            <w:r>
              <w:t>Saldo frente al presupuesto</w:t>
            </w:r>
          </w:p>
        </w:tc>
        <w:tc>
          <w:tcPr>
            <w:tcW w:type="dxa" w:w="3360"/>
          </w:tcPr>
          <w:p>
            <w:r>
              <w:t>₲ 135.131,1 M</w:t>
            </w:r>
          </w:p>
        </w:tc>
        <w:tc>
          <w:tcPr>
            <w:tcW w:type="dxa" w:w="3360"/>
          </w:tcPr>
          <w:p>
            <w:r>
              <w:t>27,0%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225379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253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Comentario gerencial: A julio de 2026, la ejecución acumulada de desembolsos representa aproximadamente el 73,0% del presupuesto anual.</w:t>
      </w:r>
    </w:p>
    <w:p>
      <w:pPr>
        <w:pStyle w:val="Heading1"/>
      </w:pPr>
      <w:r>
        <w:t>10. Conclusiones gerenciales</w:t>
      </w:r>
    </w:p>
    <w:p>
      <w:pPr>
        <w:ind w:left="216"/>
      </w:pPr>
      <w:r>
        <w:rPr>
          <w:b/>
        </w:rPr>
        <w:t xml:space="preserve">• </w:t>
      </w:r>
      <w:r>
        <w:t>La actividad crediticia mantiene una expansión relevante, con desembolsos acumulados superiores al año anterior.</w:t>
      </w:r>
    </w:p>
    <w:p>
      <w:pPr>
        <w:ind w:left="216"/>
      </w:pPr>
      <w:r>
        <w:rPr>
          <w:b/>
        </w:rPr>
        <w:t xml:space="preserve">• </w:t>
      </w:r>
      <w:r>
        <w:t>La recuperación de capital crece, aunque a un ritmo menor que los desembolsos, por lo que conviene monitorear la brecha financiera.</w:t>
      </w:r>
    </w:p>
    <w:p>
      <w:pPr>
        <w:ind w:left="216"/>
      </w:pPr>
      <w:r>
        <w:rPr>
          <w:b/>
        </w:rPr>
        <w:t xml:space="preserve">• </w:t>
      </w:r>
      <w:r>
        <w:t>La bancarización presenta cobertura muy alta; la caja tercerizada concentra 84,48% de las operaciones de cobranza/recuperación.</w:t>
      </w:r>
    </w:p>
    <w:p>
      <w:pPr>
        <w:ind w:left="216"/>
      </w:pPr>
      <w:r>
        <w:rPr>
          <w:b/>
        </w:rPr>
        <w:t xml:space="preserve">• </w:t>
      </w:r>
      <w:r>
        <w:t>La composición de cartera mejora respecto de 2025 por la fuerte reducción de cartera vencida y judicial, aunque PAR 0 y PAR 60 requieren seguimiento.</w:t>
      </w:r>
    </w:p>
    <w:p>
      <w:pPr>
        <w:ind w:left="216"/>
      </w:pPr>
      <w:r>
        <w:rPr>
          <w:b/>
        </w:rPr>
        <w:t xml:space="preserve">• </w:t>
      </w:r>
      <w:r>
        <w:t>El resultado acumulado mejora de forma significativa por mayores ingresos, menores gastos y menor carga de previsiones.</w:t>
      </w:r>
    </w:p>
    <w:p>
      <w:pPr>
        <w:ind w:left="216"/>
      </w:pPr>
      <w:r>
        <w:rPr>
          <w:b/>
        </w:rPr>
        <w:t xml:space="preserve">• </w:t>
      </w:r>
      <w:r>
        <w:t>El análisis mensual muestra que la mora de julio consume una porción material del resultado del mes, especialmente bajo el enfoque PAR 0.</w:t>
      </w:r>
    </w:p>
    <w:p/>
    <w:p>
      <w:r>
        <w:rPr>
          <w:b/>
        </w:rPr>
        <w:t xml:space="preserve">Fuentes: </w:t>
      </w:r>
      <w:r>
        <w:t>CIFRAS mes julio(1).xlsx; Balance General y Estado de Resultados al 31/07/2026; Balance General y Estado de Resultados al 31/07/2025; Banco Central del Paraguay, Boletines Estadístico-Financieros, datos a julio 2026.</w:t>
      </w:r>
    </w:p>
    <w:p>
      <w:r>
        <w:br w:type="page"/>
      </w:r>
    </w:p>
    <w:sectPr w:rsidR="00FC693F" w:rsidRPr="0006063C" w:rsidSect="00034616">
      <w:footerReference w:type="default" r:id="rId9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8827D"/>
        <w:sz w:val="16"/>
      </w:rPr>
      <w:t>Informe Gerencial · Julio 2026 · Gerencia de Planificación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F5B46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2B6F9E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