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CrearCuenta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AdminSQLLiteOpenHelper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activity_crear_cuenta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etNvoUsuario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etNvoContra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AdminSQLLiteOpenHelper(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crearCuenta(View v){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chkUsuario=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.checkUsuario(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(chkUsuario==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insert=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.insert(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nUsuario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nContra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(insert==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"Registro exitoso"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"Usuario inválido. Intente con otro"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