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79F3C1" w14:textId="77777777" w:rsidR="000B7506" w:rsidRDefault="00CE0EF0">
      <w:pPr>
        <w:spacing w:after="80"/>
      </w:pPr>
      <w:r>
        <w:rPr>
          <w:b/>
          <w:bCs/>
        </w:rPr>
        <w:t>CUMBRES CONSULTORÍA Y PROYECTOS</w:t>
      </w:r>
    </w:p>
    <w:p w14:paraId="5C890AA1" w14:textId="77777777" w:rsidR="000B7506" w:rsidRDefault="00CE0EF0">
      <w:pPr>
        <w:spacing w:after="80"/>
      </w:pPr>
      <w:r>
        <w:rPr>
          <w:b/>
          <w:bCs/>
        </w:rPr>
        <w:t>Plan de Trabajo y Cronograma de Desarrollo — CumbresBI</w:t>
      </w:r>
    </w:p>
    <w:p w14:paraId="1069A253" w14:textId="77777777" w:rsidR="000B7506" w:rsidRDefault="00CE0EF0">
      <w:pPr>
        <w:spacing w:after="200"/>
      </w:pPr>
      <w:r>
        <w:rPr>
          <w:i/>
          <w:iCs/>
        </w:rPr>
        <w:t>Sistema Interno de Inteligencia de Negocio</w:t>
      </w:r>
    </w:p>
    <w:tbl>
      <w:tblPr>
        <w:tblStyle w:val="a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200"/>
        <w:gridCol w:w="2800"/>
      </w:tblGrid>
      <w:tr w:rsidR="000B7506" w14:paraId="2B3608CC" w14:textId="77777777">
        <w:trPr>
          <w:tblHeader/>
        </w:trPr>
        <w:tc>
          <w:tcPr>
            <w:tcW w:w="260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8509D7" w14:textId="77777777" w:rsidR="000B7506" w:rsidRDefault="00CE0EF0">
            <w:r>
              <w:rPr>
                <w:b/>
                <w:bCs/>
              </w:rPr>
              <w:t>Fecha de inicio</w:t>
            </w:r>
          </w:p>
        </w:tc>
        <w:tc>
          <w:tcPr>
            <w:tcW w:w="420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D76614" w14:textId="77777777" w:rsidR="000B7506" w:rsidRDefault="00CE0EF0">
            <w:r>
              <w:rPr>
                <w:b/>
                <w:bCs/>
              </w:rPr>
              <w:t>Modalidad</w:t>
            </w:r>
          </w:p>
        </w:tc>
        <w:tc>
          <w:tcPr>
            <w:tcW w:w="280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3F975" w14:textId="77777777" w:rsidR="000B7506" w:rsidRDefault="00CE0EF0">
            <w:r>
              <w:rPr>
                <w:b/>
                <w:bCs/>
              </w:rPr>
              <w:t>Documento</w:t>
            </w:r>
          </w:p>
        </w:tc>
      </w:tr>
      <w:tr w:rsidR="000B7506" w14:paraId="01E51549" w14:textId="77777777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FC475C" w14:textId="77777777" w:rsidR="000B7506" w:rsidRDefault="00CE0EF0">
            <w:r>
              <w:t>27/Jul/2026 (Lunes)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4A78AD" w14:textId="77777777" w:rsidR="000B7506" w:rsidRDefault="00CE0EF0">
            <w:r>
              <w:t>Semanas laborales continuas (Lun–Vie)</w:t>
            </w:r>
          </w:p>
        </w:tc>
        <w:tc>
          <w:tcPr>
            <w:tcW w:w="2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46009" w14:textId="77777777" w:rsidR="000B7506" w:rsidRDefault="00CE0EF0">
            <w:r>
              <w:t>Control de proyecto — v2.0</w:t>
            </w:r>
          </w:p>
        </w:tc>
      </w:tr>
    </w:tbl>
    <w:p w14:paraId="4C6E4718" w14:textId="77777777" w:rsidR="000B7506" w:rsidRDefault="000B7506">
      <w:pPr>
        <w:spacing w:after="100"/>
      </w:pPr>
    </w:p>
    <w:p w14:paraId="3DAA38B1" w14:textId="77777777" w:rsidR="000B7506" w:rsidRDefault="00CE0EF0">
      <w:pPr>
        <w:pStyle w:val="Ttulo1"/>
        <w:spacing w:before="320" w:after="200"/>
      </w:pPr>
      <w:r>
        <w:rPr>
          <w:b/>
          <w:bCs/>
        </w:rPr>
        <w:t>1. Resumen Ejecutivo y Enfoque de Desarrollo</w:t>
      </w:r>
    </w:p>
    <w:p w14:paraId="464DA808" w14:textId="77777777" w:rsidR="000B7506" w:rsidRDefault="00CE0EF0">
      <w:pPr>
        <w:rPr>
          <w:b/>
          <w:bCs/>
        </w:rPr>
      </w:pPr>
      <w:r>
        <w:t xml:space="preserve">CumbresBI sustituye el conjunto disperso de flujos operativos en </w:t>
      </w:r>
      <w:r>
        <w:rPr>
          <w:b/>
          <w:bCs/>
        </w:rPr>
        <w:t>Google AppSheet</w:t>
      </w:r>
      <w:r>
        <w:t xml:space="preserve"> por una plataforma unificada de Inteligencia de Negocio, construida sobre un backend en </w:t>
      </w:r>
      <w:r>
        <w:rPr>
          <w:b/>
          <w:bCs/>
        </w:rPr>
        <w:t>Django REST Framework (Python)</w:t>
      </w:r>
      <w:r>
        <w:t xml:space="preserve"> y un frontend en </w:t>
      </w:r>
      <w:r>
        <w:rPr>
          <w:b/>
          <w:bCs/>
        </w:rPr>
        <w:t>Next.js + Material UI (MUI)</w:t>
      </w:r>
      <w:r>
        <w:t xml:space="preserve">, reutilizando y refactorizando el esquema </w:t>
      </w:r>
      <w:r>
        <w:rPr>
          <w:b/>
          <w:bCs/>
        </w:rPr>
        <w:t>MySQL existente en Google Cloud SQL</w:t>
      </w:r>
      <w:r>
        <w:t xml:space="preserve"> (iam_*, tesor</w:t>
      </w:r>
      <w:r>
        <w:t xml:space="preserve">eria_*, vivienda_*, rrhh_*, pld_*), e incorporando como componente transversal un </w:t>
      </w:r>
      <w:r>
        <w:rPr>
          <w:b/>
          <w:bCs/>
        </w:rPr>
        <w:t>Motor Inteligente de Procesamiento Documental basado en Gemini API.</w:t>
      </w:r>
    </w:p>
    <w:p w14:paraId="2C340A8E" w14:textId="77777777" w:rsidR="000B7506" w:rsidRDefault="00CE0EF0">
      <w:r>
        <w:t>El desarrollo sigue un enfoque secuencial por módulos de negocio, ejecutado con paralelismo permitido únic</w:t>
      </w:r>
      <w:r>
        <w:t xml:space="preserve">amente cuando no exista una dependencia técnica directa entre actividades. Se prioriza primero la infraestructura de datos, identidad y procesamiento documental (columna vertebral de todo el sistema) y después los módulos de negocio en el orden definitivo </w:t>
      </w:r>
      <w:r>
        <w:t xml:space="preserve">de la nueva arquitectura: </w:t>
      </w:r>
    </w:p>
    <w:p w14:paraId="6385C6A5" w14:textId="77777777" w:rsidR="000B7506" w:rsidRDefault="00CE0EF0">
      <w:pPr>
        <w:jc w:val="center"/>
      </w:pPr>
      <w:r>
        <w:t xml:space="preserve">Admin (IAM) → PLD/Cumplimiento → Ventas/Vivienda y Edificios → Compras/Tesorería/Materiales → RRHH y Talento. </w:t>
      </w:r>
    </w:p>
    <w:p w14:paraId="1E2298B6" w14:textId="77777777" w:rsidR="000B7506" w:rsidRDefault="00CE0EF0">
      <w:r>
        <w:t xml:space="preserve">Este orden es definitivo y no se modifica para conservar dependencias previas; cuando una dependencia técnica antigua </w:t>
      </w:r>
      <w:r>
        <w:t>entra en conflicto con la nueva arquitectura, es la dependencia la que se rediseña, nunca el orden de fases.</w:t>
      </w:r>
    </w:p>
    <w:p w14:paraId="30493FC1" w14:textId="77777777" w:rsidR="000B7506" w:rsidRDefault="00CE0EF0">
      <w:r>
        <w:rPr>
          <w:b/>
          <w:bCs/>
        </w:rPr>
        <w:t>PLD/Cumplimiento</w:t>
      </w:r>
      <w:r>
        <w:t xml:space="preserve"> se desarrolla de forma anticipada y funcionalmente autónoma: n</w:t>
      </w:r>
      <w:r>
        <w:rPr>
          <w:i/>
          <w:iCs/>
        </w:rPr>
        <w:t>o depende de Ventas, Compras/Tesorería ni RRHH,</w:t>
      </w:r>
      <w:r>
        <w:t xml:space="preserve"> y toda la carga de c</w:t>
      </w:r>
      <w:r>
        <w:t xml:space="preserve">ontrapartes durante esta fase es manual, vía documentos. Esto permite que PLD sirva simultáneamente como (a) módulo funcional de CumbresBI y (b) base de una aplicación piloto independiente de Prevención de Lavado de Dinero, que valida arquitectura, </w:t>
      </w:r>
      <w:r>
        <w:rPr>
          <w:i/>
          <w:iCs/>
        </w:rPr>
        <w:t>gestión</w:t>
      </w:r>
      <w:r>
        <w:rPr>
          <w:i/>
          <w:iCs/>
        </w:rPr>
        <w:t xml:space="preserve"> documental, expedientes KYC, workflow, auditoría, seguridad, reportes e integración futura</w:t>
      </w:r>
      <w:r>
        <w:t xml:space="preserve">. La integración de </w:t>
      </w:r>
      <w:r>
        <w:rPr>
          <w:b/>
          <w:bCs/>
        </w:rPr>
        <w:t xml:space="preserve">PLD </w:t>
      </w:r>
      <w:r>
        <w:t xml:space="preserve">con los registros generados por </w:t>
      </w:r>
      <w:r>
        <w:rPr>
          <w:b/>
          <w:bCs/>
        </w:rPr>
        <w:t>Ventas y Compras/Tesorería</w:t>
      </w:r>
      <w:r>
        <w:t xml:space="preserve"> se resuelve en fases posteriores mediante una contraparte maestra compartida, sin </w:t>
      </w:r>
      <w:r>
        <w:t>modificar la lógica propia del módulo.</w:t>
      </w:r>
    </w:p>
    <w:p w14:paraId="051FAD74" w14:textId="77777777" w:rsidR="000B7506" w:rsidRDefault="00CE0EF0">
      <w:pPr>
        <w:pStyle w:val="Ttulo2"/>
        <w:spacing w:before="280" w:after="160"/>
      </w:pPr>
      <w:r>
        <w:rPr>
          <w:b/>
          <w:bCs/>
        </w:rPr>
        <w:t>Principios de ejecución</w:t>
      </w:r>
    </w:p>
    <w:p w14:paraId="2B4DE28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Refactorización, no reconstrucción. </w:t>
      </w:r>
      <w:r>
        <w:rPr>
          <w:color w:val="000000"/>
          <w:sz w:val="21"/>
          <w:szCs w:val="21"/>
        </w:rPr>
        <w:t>El esquema iam_*, tesoreria_*, vivienda_*, rrhh_*, pld_* ya existe y se ajusta — no se recrea desde cero.</w:t>
      </w:r>
    </w:p>
    <w:p w14:paraId="65F929E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lastRenderedPageBreak/>
        <w:t>RLS a nivel de base de datos, no solo de aplicación</w:t>
      </w:r>
      <w:r>
        <w:rPr>
          <w:b/>
          <w:bCs/>
          <w:color w:val="000000"/>
          <w:sz w:val="21"/>
          <w:szCs w:val="21"/>
        </w:rPr>
        <w:t xml:space="preserve">. </w:t>
      </w:r>
      <w:r>
        <w:rPr>
          <w:color w:val="000000"/>
          <w:sz w:val="21"/>
          <w:szCs w:val="21"/>
        </w:rPr>
        <w:t>Todo QuerySet de Django hereda un mecanismo de filtrado por alcance (GLOBAL / SOCIEDAD / PROYECTO / CENTRO) aplicado en la capa de consulta.</w:t>
      </w:r>
    </w:p>
    <w:p w14:paraId="22C8F48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Auditoría inmutable desde el día uno. </w:t>
      </w:r>
      <w:r>
        <w:rPr>
          <w:color w:val="000000"/>
          <w:sz w:val="21"/>
          <w:szCs w:val="21"/>
        </w:rPr>
        <w:t>La tabla de bitácora se diseña en la Fase 0 y ningún módulo se libera sin i</w:t>
      </w:r>
      <w:r>
        <w:rPr>
          <w:color w:val="000000"/>
          <w:sz w:val="21"/>
          <w:szCs w:val="21"/>
        </w:rPr>
        <w:t>ntegrarse a ella.</w:t>
      </w:r>
    </w:p>
    <w:p w14:paraId="1259E40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Motor Inteligente de Procesamiento Documental como capacidad transversal. </w:t>
      </w:r>
      <w:r>
        <w:rPr>
          <w:color w:val="000000"/>
          <w:sz w:val="21"/>
          <w:szCs w:val="21"/>
        </w:rPr>
        <w:t>Se construye en la Fase 0 como servicio desacoplado de la lógica de negocio, reutilizable por cualquier módulo (PLD, Compras/Tesorería/Materiales, RRHH y futuros) sin modificar su núcleo; nunca escribe directamente en la base de datos.</w:t>
      </w:r>
    </w:p>
    <w:p w14:paraId="1D8E3D4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Autonomía de módulos con dependencias diferidas. </w:t>
      </w:r>
      <w:r>
        <w:rPr>
          <w:color w:val="000000"/>
          <w:sz w:val="21"/>
          <w:szCs w:val="21"/>
        </w:rPr>
        <w:t>Cuando un módulo requiere datos que otro módulo posterior producirá (p. ej. contrapartes o materiales), construye su propio registro autónomo y la reconciliación se realiza después, sin bloquear el desarroll</w:t>
      </w:r>
      <w:r>
        <w:rPr>
          <w:color w:val="000000"/>
          <w:sz w:val="21"/>
          <w:szCs w:val="21"/>
        </w:rPr>
        <w:t>o inicial.</w:t>
      </w:r>
    </w:p>
    <w:p w14:paraId="74D1D15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Cada módulo cierra su propio ciclo: </w:t>
      </w:r>
      <w:r>
        <w:rPr>
          <w:color w:val="000000"/>
          <w:sz w:val="21"/>
          <w:szCs w:val="21"/>
        </w:rPr>
        <w:t>modelado de datos → lógica de negocio/API → integración frontend → pruebas de seguridad (RLS + auditoría) → despliegue. Ningún módulo se considera "entregado" sin pasar por las cuatro etapas.</w:t>
      </w:r>
    </w:p>
    <w:p w14:paraId="3058DCCF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 xml:space="preserve">Cero contraseñas </w:t>
      </w:r>
      <w:r>
        <w:rPr>
          <w:b/>
          <w:bCs/>
          <w:color w:val="000000"/>
          <w:sz w:val="21"/>
          <w:szCs w:val="21"/>
        </w:rPr>
        <w:t xml:space="preserve">y cero almacenamiento local de archivos </w:t>
      </w:r>
      <w:r>
        <w:rPr>
          <w:color w:val="000000"/>
          <w:sz w:val="21"/>
          <w:szCs w:val="21"/>
        </w:rPr>
        <w:t>son restricciones transversales verificadas en cada Pull Request, no decisiones puntuales por módulo; aplican también a los documentos transmitidos temporalmente hacia Gemini API para su análisis.</w:t>
      </w:r>
    </w:p>
    <w:p w14:paraId="5C1BC1BF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b/>
          <w:bCs/>
          <w:color w:val="000000"/>
          <w:sz w:val="21"/>
          <w:szCs w:val="21"/>
        </w:rPr>
        <w:t>Equipo reducido con</w:t>
      </w:r>
      <w:r>
        <w:rPr>
          <w:b/>
          <w:bCs/>
          <w:color w:val="000000"/>
          <w:sz w:val="21"/>
          <w:szCs w:val="21"/>
        </w:rPr>
        <w:t xml:space="preserve"> paralelismo controlado. </w:t>
      </w:r>
      <w:r>
        <w:rPr>
          <w:color w:val="000000"/>
          <w:sz w:val="21"/>
          <w:szCs w:val="21"/>
        </w:rPr>
        <w:t>Dos desarrolladores ejecutan el proyecto; las actividades sin dependencia técnica directa entre sí pueden trabajarse en paralelo dentro de una misma fase para optimizar el calendario.</w:t>
      </w:r>
    </w:p>
    <w:p w14:paraId="2FE4A058" w14:textId="77777777" w:rsidR="000B7506" w:rsidRDefault="00CE0EF0">
      <w:r>
        <w:rPr>
          <w:b/>
          <w:bCs/>
        </w:rPr>
        <w:t>Duración total estimada: 26 semanas laborales e</w:t>
      </w:r>
      <w:r>
        <w:rPr>
          <w:b/>
          <w:bCs/>
        </w:rPr>
        <w:t>fectivas (27/Jul/2026 → 29/Ene/2027), sin contar el receso decembrino (28/Dic/2026 – 01/Ene/2027), e incluyendo una semana de estabilización y UAT integral al cierre del MVP. La Fase de Ventas/Vivienda y Edificios se mantiene en 6 semanas para incorporar e</w:t>
      </w:r>
      <w:r>
        <w:rPr>
          <w:b/>
          <w:bCs/>
        </w:rPr>
        <w:t>l alcance de Edificios y el motor de presupuesto automatizado; la Fase de Compras/Tesorería/Materiales se amplía a 5 semanas para incorporar la reutilización del Motor Inteligente de Procesamiento Documental en la captura automatizada de cotizaciones y fac</w:t>
      </w:r>
      <w:r>
        <w:rPr>
          <w:b/>
          <w:bCs/>
        </w:rPr>
        <w:t>turas.</w:t>
      </w:r>
    </w:p>
    <w:p w14:paraId="70E80F48" w14:textId="77777777" w:rsidR="000B7506" w:rsidRDefault="00CE0EF0">
      <w:pPr>
        <w:pStyle w:val="Ttulo1"/>
        <w:spacing w:before="320" w:after="200"/>
      </w:pPr>
      <w:r>
        <w:rPr>
          <w:b/>
          <w:bCs/>
        </w:rPr>
        <w:t>2. Matriz de Fases y Cronograma Semanal</w:t>
      </w:r>
    </w:p>
    <w:tbl>
      <w:tblPr>
        <w:tblStyle w:val="a0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90"/>
        <w:gridCol w:w="3480"/>
        <w:gridCol w:w="1185"/>
        <w:gridCol w:w="2640"/>
        <w:gridCol w:w="1605"/>
      </w:tblGrid>
      <w:tr w:rsidR="000B7506" w14:paraId="4E5096C8" w14:textId="77777777">
        <w:trPr>
          <w:tblHeader/>
        </w:trPr>
        <w:tc>
          <w:tcPr>
            <w:tcW w:w="69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9F29A8" w14:textId="77777777" w:rsidR="000B7506" w:rsidRDefault="00CE0EF0">
            <w:r>
              <w:rPr>
                <w:b/>
                <w:bCs/>
              </w:rPr>
              <w:t>Fase</w:t>
            </w:r>
          </w:p>
        </w:tc>
        <w:tc>
          <w:tcPr>
            <w:tcW w:w="348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0DC61C" w14:textId="77777777" w:rsidR="000B7506" w:rsidRDefault="00CE0EF0">
            <w:r>
              <w:rPr>
                <w:b/>
                <w:bCs/>
              </w:rPr>
              <w:t>Módulo</w:t>
            </w:r>
          </w:p>
        </w:tc>
        <w:tc>
          <w:tcPr>
            <w:tcW w:w="1185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75DCDE" w14:textId="77777777" w:rsidR="000B7506" w:rsidRDefault="00CE0EF0">
            <w:r>
              <w:rPr>
                <w:b/>
                <w:bCs/>
              </w:rPr>
              <w:t>Semanas</w:t>
            </w:r>
          </w:p>
        </w:tc>
        <w:tc>
          <w:tcPr>
            <w:tcW w:w="2640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A6E913" w14:textId="77777777" w:rsidR="000B7506" w:rsidRDefault="00CE0EF0">
            <w:r>
              <w:rPr>
                <w:b/>
                <w:bCs/>
              </w:rPr>
              <w:t>Fechas</w:t>
            </w:r>
          </w:p>
        </w:tc>
        <w:tc>
          <w:tcPr>
            <w:tcW w:w="1605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4828C3" w14:textId="77777777" w:rsidR="000B7506" w:rsidRDefault="00CE0EF0">
            <w:r>
              <w:rPr>
                <w:b/>
                <w:bCs/>
              </w:rPr>
              <w:t>Complejidad</w:t>
            </w:r>
          </w:p>
        </w:tc>
      </w:tr>
      <w:tr w:rsidR="000B7506" w14:paraId="538E7B35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55D9D" w14:textId="77777777" w:rsidR="000B7506" w:rsidRDefault="00CE0EF0">
            <w:r>
              <w:t>0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D4F32D" w14:textId="77777777" w:rsidR="000B7506" w:rsidRDefault="00CE0EF0">
            <w:r>
              <w:t>Arquitectura Base, Refactorización DDL y Motor Documental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1E674" w14:textId="77777777" w:rsidR="000B7506" w:rsidRDefault="00CE0EF0">
            <w:r>
              <w:t>1–3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2D991" w14:textId="77777777" w:rsidR="000B7506" w:rsidRDefault="00CE0EF0">
            <w:r>
              <w:t>27/Jul – 14/Ago/2026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1158F5" w14:textId="77777777" w:rsidR="000B7506" w:rsidRDefault="00CE0EF0">
            <w:r>
              <w:t>Fundacional</w:t>
            </w:r>
          </w:p>
        </w:tc>
      </w:tr>
      <w:tr w:rsidR="000B7506" w14:paraId="5B65493A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196FAE" w14:textId="77777777" w:rsidR="000B7506" w:rsidRDefault="00CE0EF0">
            <w:r>
              <w:t>1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DE2E5F" w14:textId="77777777" w:rsidR="000B7506" w:rsidRDefault="00CE0EF0">
            <w:r>
              <w:t>Admin (IAM)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A5A2EA" w14:textId="77777777" w:rsidR="000B7506" w:rsidRDefault="00CE0EF0">
            <w:r>
              <w:t>4–6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7D1E2" w14:textId="77777777" w:rsidR="000B7506" w:rsidRDefault="00CE0EF0">
            <w:r>
              <w:t>17/Ago – 04/Sep/2026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BB400" w14:textId="77777777" w:rsidR="000B7506" w:rsidRDefault="00CE0EF0">
            <w:r>
              <w:t>Media</w:t>
            </w:r>
          </w:p>
        </w:tc>
      </w:tr>
      <w:tr w:rsidR="000B7506" w14:paraId="63F9D9B8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B71F1E" w14:textId="77777777" w:rsidR="000B7506" w:rsidRDefault="00CE0EF0">
            <w:r>
              <w:lastRenderedPageBreak/>
              <w:t>2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31B511" w14:textId="77777777" w:rsidR="000B7506" w:rsidRDefault="00CE0EF0">
            <w:r>
              <w:t>PLD / Cumplimiento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FC079F" w14:textId="77777777" w:rsidR="000B7506" w:rsidRDefault="00CE0EF0">
            <w:r>
              <w:t>7–10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BD2C50" w14:textId="77777777" w:rsidR="000B7506" w:rsidRDefault="00CE0EF0">
            <w:r>
              <w:t>07/Sep – 02/Oct/2026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59D2D3" w14:textId="77777777" w:rsidR="000B7506" w:rsidRDefault="00CE0EF0">
            <w:r>
              <w:t>Alta</w:t>
            </w:r>
          </w:p>
        </w:tc>
      </w:tr>
      <w:tr w:rsidR="000B7506" w14:paraId="62AB55C5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22456F" w14:textId="77777777" w:rsidR="000B7506" w:rsidRDefault="00CE0EF0">
            <w:r>
              <w:t>3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E61C7" w14:textId="77777777" w:rsidR="000B7506" w:rsidRDefault="00CE0EF0">
            <w:r>
              <w:t>Ventas / Vivienda y Edificios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A00D1" w14:textId="77777777" w:rsidR="000B7506" w:rsidRDefault="00CE0EF0">
            <w:r>
              <w:t>11–16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4DFD29" w14:textId="77777777" w:rsidR="000B7506" w:rsidRDefault="00CE0EF0">
            <w:r>
              <w:t>05/Oct – 13/Nov/2026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F5E051" w14:textId="77777777" w:rsidR="000B7506" w:rsidRDefault="00CE0EF0">
            <w:r>
              <w:t>Alta</w:t>
            </w:r>
          </w:p>
        </w:tc>
      </w:tr>
      <w:tr w:rsidR="000B7506" w14:paraId="1A8F5471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06584E" w14:textId="77777777" w:rsidR="000B7506" w:rsidRDefault="00CE0EF0">
            <w:r>
              <w:t>4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769E33" w14:textId="77777777" w:rsidR="000B7506" w:rsidRDefault="00CE0EF0">
            <w:r>
              <w:t>Compras / Tesorería / Materiales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9FD9A6" w14:textId="77777777" w:rsidR="000B7506" w:rsidRDefault="00CE0EF0">
            <w:r>
              <w:t>17–21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DAE51" w14:textId="77777777" w:rsidR="000B7506" w:rsidRDefault="00CE0EF0">
            <w:r>
              <w:t>16/Nov – 18/Dic/2026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C51A50" w14:textId="77777777" w:rsidR="000B7506" w:rsidRDefault="00CE0EF0">
            <w:r>
              <w:t>Alta</w:t>
            </w:r>
          </w:p>
        </w:tc>
      </w:tr>
      <w:tr w:rsidR="000B7506" w14:paraId="75F1B17E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A743C1" w14:textId="77777777" w:rsidR="000B7506" w:rsidRDefault="00CE0EF0">
            <w:r>
              <w:t>5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DEE847" w14:textId="77777777" w:rsidR="000B7506" w:rsidRDefault="00CE0EF0">
            <w:r>
              <w:t>RRHH y Talento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81C93B" w14:textId="77777777" w:rsidR="000B7506" w:rsidRDefault="00CE0EF0">
            <w:r>
              <w:t>22–25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11A351" w14:textId="77777777" w:rsidR="000B7506" w:rsidRDefault="00CE0EF0">
            <w:r>
              <w:t>21/Dic/2026 – 22/Ene/2027*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B32DD1" w14:textId="77777777" w:rsidR="000B7506" w:rsidRDefault="00CE0EF0">
            <w:r>
              <w:t>Muy alta</w:t>
            </w:r>
          </w:p>
        </w:tc>
      </w:tr>
      <w:tr w:rsidR="000B7506" w14:paraId="242132F8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3337AB" w14:textId="77777777" w:rsidR="000B7506" w:rsidRDefault="00CE0EF0">
            <w:r>
              <w:t>—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EB6F91" w14:textId="77777777" w:rsidR="000B7506" w:rsidRDefault="00CE0EF0">
            <w:r>
              <w:t>Receso decembrino (sin desarrollo)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3DC5A" w14:textId="77777777" w:rsidR="000B7506" w:rsidRDefault="00CE0EF0">
            <w:r>
              <w:t>—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937E5" w14:textId="77777777" w:rsidR="000B7506" w:rsidRDefault="00CE0EF0">
            <w:r>
              <w:t>28/Dic/2026 – 01/Ene/2027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7225CE" w14:textId="77777777" w:rsidR="000B7506" w:rsidRDefault="00CE0EF0">
            <w:r>
              <w:t>—</w:t>
            </w:r>
          </w:p>
        </w:tc>
      </w:tr>
      <w:tr w:rsidR="000B7506" w14:paraId="45DAD45F" w14:textId="77777777">
        <w:tc>
          <w:tcPr>
            <w:tcW w:w="69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AD137C" w14:textId="77777777" w:rsidR="000B7506" w:rsidRDefault="00CE0EF0">
            <w:r>
              <w:t>6</w:t>
            </w:r>
          </w:p>
        </w:tc>
        <w:tc>
          <w:tcPr>
            <w:tcW w:w="348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D14927" w14:textId="77777777" w:rsidR="000B7506" w:rsidRDefault="00CE0EF0">
            <w:r>
              <w:t>Estabilización y UAT integral</w:t>
            </w:r>
          </w:p>
        </w:tc>
        <w:tc>
          <w:tcPr>
            <w:tcW w:w="118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F00D20" w14:textId="77777777" w:rsidR="000B7506" w:rsidRDefault="00CE0EF0">
            <w:r>
              <w:t>26</w:t>
            </w:r>
          </w:p>
        </w:tc>
        <w:tc>
          <w:tcPr>
            <w:tcW w:w="264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3441B0" w14:textId="77777777" w:rsidR="000B7506" w:rsidRDefault="00CE0EF0">
            <w:r>
              <w:t>25/Ene – 29/Ene/2027</w:t>
            </w:r>
          </w:p>
        </w:tc>
        <w:tc>
          <w:tcPr>
            <w:tcW w:w="160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C8FE90" w14:textId="77777777" w:rsidR="000B7506" w:rsidRDefault="00CE0EF0">
            <w:r>
              <w:t>Cierre</w:t>
            </w:r>
          </w:p>
        </w:tc>
      </w:tr>
    </w:tbl>
    <w:p w14:paraId="7712164D" w14:textId="77777777" w:rsidR="000B7506" w:rsidRDefault="00CE0EF0">
      <w:pPr>
        <w:spacing w:before="80" w:after="200"/>
      </w:pPr>
      <w:r>
        <w:rPr>
          <w:i/>
          <w:iCs/>
        </w:rPr>
        <w:t>*La Fase 5 (RRHH y Talento) inicia con la semana 22 (21/Dic – 25/Dic/2026, semana corta — el viernes 25/Dic es festivo por Navidad), continúa después del receso decembrino en la semana 23 (04/Ene – 08/Ene/2027) y cierra en la semana 25 (18/Ene – 22/Ene/202</w:t>
      </w:r>
      <w:r>
        <w:rPr>
          <w:i/>
          <w:iCs/>
        </w:rPr>
        <w:t>7).</w:t>
      </w:r>
    </w:p>
    <w:p w14:paraId="0BEE875B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0 — Arquitectura Base, Refactorización DDL y Motor Inteligente de Procesamiento Documental</w:t>
      </w:r>
    </w:p>
    <w:p w14:paraId="58CB5971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 · 27/Jul – 31/Jul/2026</w:t>
      </w:r>
    </w:p>
    <w:p w14:paraId="0C332469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Levantar la infraestructura base del proyecto en Google Cloud.</w:t>
      </w:r>
    </w:p>
    <w:p w14:paraId="21089A4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Alta de proyecto en Google Cloud, instancia Cloud S</w:t>
      </w:r>
      <w:r>
        <w:rPr>
          <w:color w:val="000000"/>
          <w:sz w:val="21"/>
          <w:szCs w:val="21"/>
        </w:rPr>
        <w:t>QL (MySQL) y Cloud SQL Auth Proxy.</w:t>
      </w:r>
    </w:p>
    <w:p w14:paraId="6212556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Configuración inicial de Google Secret Manager (credenciales de BD, claves de integración y espacio reservado para la credencial de Gemini API).</w:t>
      </w:r>
    </w:p>
    <w:p w14:paraId="746232B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Registro de la aplicación OIDC en Google Workspace para autenticación interna sin contraseñas.</w:t>
      </w:r>
    </w:p>
    <w:p w14:paraId="763FA2F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Esqueleto del proyecto Django (apps por módulo: admin_iam, pld, vivienda, compras_tesoreria, rrhh) y del proyecto Next.js (panel corporativo + shell de páginas p</w:t>
      </w:r>
      <w:r>
        <w:rPr>
          <w:color w:val="000000"/>
          <w:sz w:val="21"/>
          <w:szCs w:val="21"/>
        </w:rPr>
        <w:t>úblicas), con Material UI (MUI) como librería de componentes.</w:t>
      </w:r>
    </w:p>
    <w:p w14:paraId="025ACE1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Configuración del tema de MUI (createTheme) con los tokens de marca (color, tipografía, breakpoints) como fuente única de estilos — sin overrides de estilo sueltos por componente.</w:t>
      </w:r>
    </w:p>
    <w:p w14:paraId="70A140C3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Definición de </w:t>
      </w:r>
      <w:r>
        <w:rPr>
          <w:color w:val="000000"/>
          <w:sz w:val="21"/>
          <w:szCs w:val="21"/>
        </w:rPr>
        <w:t>la arquitectura de RLS: middleware/mixin base de Django que inyecta el alcance del usuario (GLOBAL/SOCIEDAD/PROYECTO/CENTRO) en cada QuerySet.</w:t>
      </w:r>
    </w:p>
    <w:p w14:paraId="753E7512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lastRenderedPageBreak/>
        <w:t>Pipeline de CI/CD inicial (build, lint, pruebas) y ambientes (dev/staging).</w:t>
      </w:r>
    </w:p>
    <w:p w14:paraId="781E2A99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 · 03/Ago – 07/Ago/2026</w:t>
      </w:r>
    </w:p>
    <w:p w14:paraId="3855218C" w14:textId="77777777" w:rsidR="000B7506" w:rsidRDefault="00CE0EF0">
      <w:pPr>
        <w:spacing w:after="140"/>
      </w:pPr>
      <w:r>
        <w:rPr>
          <w:b/>
          <w:bCs/>
          <w:i/>
          <w:iCs/>
        </w:rPr>
        <w:t>Objet</w:t>
      </w:r>
      <w:r>
        <w:rPr>
          <w:b/>
          <w:bCs/>
          <w:i/>
          <w:iCs/>
        </w:rPr>
        <w:t xml:space="preserve">ivo: </w:t>
      </w:r>
      <w:r>
        <w:rPr>
          <w:i/>
          <w:iCs/>
        </w:rPr>
        <w:t>Refactorizar el DDL existente y modelarlo en el ORM de Django.</w:t>
      </w:r>
    </w:p>
    <w:p w14:paraId="34F4DC5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Auditoría completa del esquema actual (schema.csv / fk_relationships.csv): columnas faltantes, tipos inconsistentes, llaves foráneas no declaradas.</w:t>
      </w:r>
    </w:p>
    <w:p w14:paraId="30B5BF5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Diseño y creación de la tabla de auditor</w:t>
      </w:r>
      <w:r>
        <w:rPr>
          <w:color w:val="000000"/>
          <w:sz w:val="21"/>
          <w:szCs w:val="21"/>
        </w:rPr>
        <w:t>ía inmutable (append-only, sin permisos de UPDATE/DELETE a nivel de rol de base de datos).</w:t>
      </w:r>
    </w:p>
    <w:p w14:paraId="477A15E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Adición de columnas transversales requeridas por RLS y auditoría (alcance_tipo, alcance_id, created_by, created_at, updated_at) donde falten.</w:t>
      </w:r>
    </w:p>
    <w:p w14:paraId="31A6A8E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Generación de modelos D</w:t>
      </w:r>
      <w:r>
        <w:rPr>
          <w:color w:val="000000"/>
          <w:sz w:val="21"/>
          <w:szCs w:val="21"/>
        </w:rPr>
        <w:t>jango vía inspectdb sobre el esquema existente + refinamiento manual (managed = False donde aplique, relaciones explícitas).</w:t>
      </w:r>
    </w:p>
    <w:p w14:paraId="61A9FD3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Scripts de migración versionados (Django migrations) documentando cada ajuste al esquema heredado de AppSheet.</w:t>
      </w:r>
    </w:p>
    <w:p w14:paraId="5164A86F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3 · 10/Ago – 14/Ago/2026</w:t>
      </w:r>
    </w:p>
    <w:p w14:paraId="1D9E88A9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Construir la base transversal del Motor Inteligente de Procesamiento Documental.</w:t>
      </w:r>
    </w:p>
    <w:p w14:paraId="65ED892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Definición del contrato de servicio: entrada (documento PDF/imagen, metadatos, tipo documental esperado, prompt interno) y salida (ti</w:t>
      </w:r>
      <w:r>
        <w:rPr>
          <w:color w:val="000000"/>
          <w:sz w:val="21"/>
          <w:szCs w:val="21"/>
        </w:rPr>
        <w:t>po documental detectado, resultado de validación, nivel de confianza, información extraída, JSON estructurado, advertencias).</w:t>
      </w:r>
    </w:p>
    <w:p w14:paraId="64B4254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Integración inicial con Gemini API como proveedor exclusivo de esta primera versión; credenciales alojadas únicamente en Google Se</w:t>
      </w:r>
      <w:r>
        <w:rPr>
          <w:color w:val="000000"/>
          <w:sz w:val="21"/>
          <w:szCs w:val="21"/>
        </w:rPr>
        <w:t>cret Manager, consumidas solo desde el backend — el usuario nunca interactúa directamente con la IA.</w:t>
      </w:r>
    </w:p>
    <w:p w14:paraId="6E076C9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Diseño del mecanismo de clasificación inicial por nombre de archivo, basado en palabras clave configurables, como paso previo a la validación de contenido </w:t>
      </w:r>
      <w:r>
        <w:rPr>
          <w:color w:val="000000"/>
          <w:sz w:val="21"/>
          <w:szCs w:val="21"/>
        </w:rPr>
        <w:t>por Gemini API.</w:t>
      </w:r>
    </w:p>
    <w:p w14:paraId="2DDD952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Definición de la capa de validación en backend (integridad del JSON, tipos de datos, campos obligatorios, reglas de negocio, consistencia) previa a presentar cualquier resultado al usuario.</w:t>
      </w:r>
    </w:p>
    <w:p w14:paraId="28AED65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Confirmación arquitectónica de que el motor no acc</w:t>
      </w:r>
      <w:r>
        <w:rPr>
          <w:color w:val="000000"/>
          <w:sz w:val="21"/>
          <w:szCs w:val="21"/>
        </w:rPr>
        <w:t>ede directamente a la base de datos ni crea, modifica o elimina registros por sí mismo; toda persistencia ocurre en el backend del módulo consumidor, tras confirmación explícita del usuario.</w:t>
      </w:r>
    </w:p>
    <w:p w14:paraId="5661F97C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Documentación de Google Cloud Document AI como alternativa futura</w:t>
      </w:r>
      <w:r>
        <w:rPr>
          <w:color w:val="000000"/>
          <w:sz w:val="21"/>
          <w:szCs w:val="21"/>
        </w:rPr>
        <w:t xml:space="preserve"> (procesamiento altamente especializado, documentos estructurados, requerimientos regulatorios/legales, controles adicionales de seguridad), sin desarrollarse en esta versión del proyecto.</w:t>
      </w:r>
    </w:p>
    <w:p w14:paraId="07ACEC22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0: Repositorio base funcional, conexión Django ↔</w:t>
      </w:r>
      <w:r>
        <w:rPr>
          <w:b/>
          <w:bCs/>
          <w:i/>
          <w:iCs/>
        </w:rPr>
        <w:t xml:space="preserve"> Cloud SQL verificada, modelo de auditoría operativo, documento de mapeo DDL (ver Sección 3), y Motor Inteligente de Procesamiento Documental operativo en su versión base — </w:t>
      </w:r>
      <w:r>
        <w:rPr>
          <w:b/>
          <w:bCs/>
          <w:i/>
          <w:iCs/>
        </w:rPr>
        <w:lastRenderedPageBreak/>
        <w:t>transversal, desacoplado de la lógica de negocio y sin acceso directo a base de dat</w:t>
      </w:r>
      <w:r>
        <w:rPr>
          <w:b/>
          <w:bCs/>
          <w:i/>
          <w:iCs/>
        </w:rPr>
        <w:t>os — listo para ser consumido por PLD en la Fase 2.</w:t>
      </w:r>
    </w:p>
    <w:p w14:paraId="0FEB7EEA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1 — Módulo Admin (IAM): columna vertebral de permisos y RLS</w:t>
      </w:r>
    </w:p>
    <w:p w14:paraId="58709113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4 · 17/Ago – 21/Ago/2026</w:t>
      </w:r>
    </w:p>
    <w:p w14:paraId="717A7D56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Modelos de identidad y autenticación.</w:t>
      </w:r>
    </w:p>
    <w:p w14:paraId="03273A9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Django sobre iam_users, iam_identities, general_sociedades.</w:t>
      </w:r>
    </w:p>
    <w:p w14:paraId="130061F2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Servicio de autenticación Google OIDC para usuarios internos (@cypcumbres.com y dominios Workspace aprobados).</w:t>
      </w:r>
    </w:p>
    <w:p w14:paraId="10BA2A48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Servicio de generación y validación de Magic Links de un solo uso, expiración</w:t>
      </w:r>
      <w:r>
        <w:rPr>
          <w:color w:val="000000"/>
          <w:sz w:val="21"/>
          <w:szCs w:val="21"/>
        </w:rPr>
        <w:t xml:space="preserve"> de 7 días, con reenvío.</w:t>
      </w:r>
    </w:p>
    <w:p w14:paraId="50F4BA7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Endpoint de invitación individual y bitácora de estado de invitación (pendiente/aceptada/expirada).</w:t>
      </w:r>
    </w:p>
    <w:p w14:paraId="57A22472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5 · 24/Ago – 28/Ago/2026</w:t>
      </w:r>
    </w:p>
    <w:p w14:paraId="025D129E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Motor de roles, permisos y alcance.</w:t>
      </w:r>
    </w:p>
    <w:p w14:paraId="479FEBC6" w14:textId="77777777" w:rsidR="000B7506" w:rsidRPr="00CE0EF0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  <w:rPr>
          <w:color w:val="000000"/>
          <w:sz w:val="21"/>
          <w:szCs w:val="21"/>
          <w:lang w:val="en-US"/>
        </w:rPr>
      </w:pPr>
      <w:r w:rsidRPr="00CE0EF0">
        <w:rPr>
          <w:color w:val="000000"/>
          <w:sz w:val="21"/>
          <w:szCs w:val="21"/>
          <w:lang w:val="en-US"/>
        </w:rPr>
        <w:t>Modelos sobre iam_roles, iam_permissions, iam_role_pe</w:t>
      </w:r>
      <w:r w:rsidRPr="00CE0EF0">
        <w:rPr>
          <w:color w:val="000000"/>
          <w:sz w:val="21"/>
          <w:szCs w:val="21"/>
          <w:lang w:val="en-US"/>
        </w:rPr>
        <w:t>rmissions, iam_user_roles, iam_user_centro_access, iam_user_contrato_access.</w:t>
      </w:r>
    </w:p>
    <w:p w14:paraId="5D24E37F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Lógica de asignación de roles con alcance (GLOBAL/SOCIEDAD/PROYECTO/CENTRO) y fechas de vigencia.</w:t>
      </w:r>
    </w:p>
    <w:p w14:paraId="6B38647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Matriz de permisos (roles × permisos) expuesta vía API para consumo del frontend.</w:t>
      </w:r>
    </w:p>
    <w:p w14:paraId="6D720CB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Invitación masiva por CSV con validación de dominio de correo.</w:t>
      </w:r>
    </w:p>
    <w:p w14:paraId="4B5E4482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6 · 31/Ago – 04/Sep/2026</w:t>
      </w:r>
    </w:p>
    <w:p w14:paraId="7A771773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Auditoría, directorio y cierre del módulo.</w:t>
      </w:r>
    </w:p>
    <w:p w14:paraId="45CB8A0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API y frontend del visor de bitácora de auditoría (filtrable por usuario, fecha, módulo, acción), exportabl</w:t>
      </w:r>
      <w:r>
        <w:rPr>
          <w:color w:val="000000"/>
          <w:sz w:val="21"/>
          <w:szCs w:val="21"/>
        </w:rPr>
        <w:t>e a CSV/PDF.</w:t>
      </w:r>
    </w:p>
    <w:p w14:paraId="2C7AA36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Directorio de usuarios (búsqueda, filtros por estado) y CRUD de perfil, desactivación/reactivación (borrado suave).</w:t>
      </w:r>
    </w:p>
    <w:p w14:paraId="77DA979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Reportes básicos de cumplimiento (matriz de acceso, historial de cambios de permisos).</w:t>
      </w:r>
    </w:p>
    <w:p w14:paraId="17F6E73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Pruebas de seguridad: verificación cruza</w:t>
      </w:r>
      <w:r>
        <w:rPr>
          <w:color w:val="000000"/>
          <w:sz w:val="21"/>
          <w:szCs w:val="21"/>
        </w:rPr>
        <w:t>da de que ningún endpoint devuelve datos fuera del alcance del usuario.</w:t>
      </w:r>
    </w:p>
    <w:p w14:paraId="7610A442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Despliegue a staging y validación con Dirección antes de continuar a PLD.</w:t>
      </w:r>
    </w:p>
    <w:p w14:paraId="777A672B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1: Módulo Admin en producción; todos los módulos subsecuentes consumen su sistema de permisos y RLS.</w:t>
      </w:r>
    </w:p>
    <w:p w14:paraId="2DD4CBBE" w14:textId="77777777" w:rsidR="000B7506" w:rsidRDefault="00CE0EF0">
      <w:pPr>
        <w:pStyle w:val="Ttulo2"/>
        <w:spacing w:before="280" w:after="160"/>
      </w:pPr>
      <w:r>
        <w:rPr>
          <w:b/>
          <w:bCs/>
        </w:rPr>
        <w:lastRenderedPageBreak/>
        <w:t>Fase 2 — Módulo de PLD / Cumplimiento (autónomo, primer consumidor del Motor Documental)</w:t>
      </w:r>
    </w:p>
    <w:p w14:paraId="5798F9E2" w14:textId="77777777" w:rsidR="000B7506" w:rsidRDefault="00CE0EF0">
      <w:r>
        <w:rPr>
          <w:i/>
          <w:iCs/>
        </w:rPr>
        <w:t>Alcance: PLD se desarrolla como módulo funciona</w:t>
      </w:r>
      <w:r>
        <w:rPr>
          <w:i/>
          <w:iCs/>
        </w:rPr>
        <w:t>l de CumbresBI y, simultáneamente, como base de una aplicación piloto independiente de Prevención de Lavado de Dinero. Durante esta fase opera de forma completamente autónoma — sin depender de Ventas, Compras/Tesorería ni RRHH — con carga manual de documen</w:t>
      </w:r>
      <w:r>
        <w:rPr>
          <w:i/>
          <w:iCs/>
        </w:rPr>
        <w:t>tos por parte del usuario. La integración con contrapartes de otros módulos se resuelve en fases posteriores mediante una contraparte maestra compartida, sin modificar la lógica propia del módulo.</w:t>
      </w:r>
    </w:p>
    <w:p w14:paraId="22B74658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7 · 07/Sep – 11/Sep/2026</w:t>
      </w:r>
    </w:p>
    <w:p w14:paraId="6C125F61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Modelos de expediente KYC y contraparte propia.</w:t>
      </w:r>
    </w:p>
    <w:p w14:paraId="17E1FC0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pld_contrapartes_kyc, pld_contrapartes_docs, pld_ticket_cliente, incluyendo un registro propio y autónomo de contraparte para esta fase.</w:t>
      </w:r>
    </w:p>
    <w:p w14:paraId="538E990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Definición de un campo de referencia externa reservado, q</w:t>
      </w:r>
      <w:r>
        <w:rPr>
          <w:color w:val="000000"/>
          <w:sz w:val="21"/>
          <w:szCs w:val="21"/>
        </w:rPr>
        <w:t>ue servirá como base de la futura contraparte maestra compartida (Fase 4), sin integrarse todavía a otros módulos.</w:t>
      </w:r>
    </w:p>
    <w:p w14:paraId="2092288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Carga manual de documentos vía formulario interno: INE, pasaporte, RFC, Constancia de Situación Fiscal, comprobante de domicilio, acta consti</w:t>
      </w:r>
      <w:r>
        <w:rPr>
          <w:color w:val="000000"/>
          <w:sz w:val="21"/>
          <w:szCs w:val="21"/>
        </w:rPr>
        <w:t>tutiva, poder notarial, estados de cuenta y documentación adicional.</w:t>
      </w:r>
    </w:p>
    <w:p w14:paraId="222A256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Definición de los estados de documento: pendiente, en revisión, aprobado, rechazado, solicitar actualización.</w:t>
      </w:r>
    </w:p>
    <w:p w14:paraId="45E9B024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8 · 14/Sep – 18/Sep/2026</w:t>
      </w:r>
    </w:p>
    <w:p w14:paraId="3117391C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Integración de PLD con el Motor Int</w:t>
      </w:r>
      <w:r>
        <w:rPr>
          <w:i/>
          <w:iCs/>
        </w:rPr>
        <w:t>eligente de Procesamiento Documental.</w:t>
      </w:r>
    </w:p>
    <w:p w14:paraId="62F6AD7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PLD como primer módulo consumidor del motor: definición de sus tipos documentales (INE, RFC, Constancia Fiscal, Acta Constitutiva, Poder Notarial, Estados de Cuenta, Comprobante de Domicilio), prompts internos y reglas</w:t>
      </w:r>
      <w:r>
        <w:rPr>
          <w:color w:val="000000"/>
          <w:sz w:val="21"/>
          <w:szCs w:val="21"/>
        </w:rPr>
        <w:t xml:space="preserve"> de validación propias de cumplimiento — sin modificar el núcleo del motor.</w:t>
      </w:r>
    </w:p>
    <w:p w14:paraId="2C69238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Flujo de carga: el usuario sube uno o varios PDF → clasificación inicial automática por nombre de archivo → selección automática del prompt interno → Gemini API valida que el conte</w:t>
      </w:r>
      <w:r>
        <w:rPr>
          <w:color w:val="000000"/>
          <w:sz w:val="21"/>
          <w:szCs w:val="21"/>
        </w:rPr>
        <w:t>nido corresponda al tipo esperado y extrae la información → el backend valida integridad, tipos y reglas de negocio → el usuario confirma, edita o rechaza → la persistencia ocurre solo tras confirmación explícita.</w:t>
      </w:r>
    </w:p>
    <w:p w14:paraId="588459C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Manejo de inconsistencias entre el nombre </w:t>
      </w:r>
      <w:r>
        <w:rPr>
          <w:color w:val="000000"/>
          <w:sz w:val="21"/>
          <w:szCs w:val="21"/>
        </w:rPr>
        <w:t>del archivo y el contenido real detectado: la extracción automática se detiene y se solicita al usuario revisar o reemplazar el documento.</w:t>
      </w:r>
    </w:p>
    <w:p w14:paraId="687493BC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9 · 21/Sep – 25/Sep/2026</w:t>
      </w:r>
    </w:p>
    <w:p w14:paraId="5B5483D6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Workflow de expediente y formularios públicos.</w:t>
      </w:r>
    </w:p>
    <w:p w14:paraId="5452A233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Workflow de expediente KYC (</w:t>
      </w:r>
      <w:r>
        <w:rPr>
          <w:color w:val="000000"/>
          <w:sz w:val="21"/>
          <w:szCs w:val="21"/>
        </w:rPr>
        <w:t>solicitud de documentos → validación → aprobación/rechazo), ahora asistido por la extracción automática del Motor Documental.</w:t>
      </w:r>
    </w:p>
    <w:p w14:paraId="0125693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lastRenderedPageBreak/>
        <w:t xml:space="preserve">Formularios públicos KYC con reCAPTCHA y límite de solicitudes; streaming de documentos vía Drive API — sin almacenamiento local, </w:t>
      </w:r>
      <w:r>
        <w:rPr>
          <w:color w:val="000000"/>
          <w:sz w:val="21"/>
          <w:szCs w:val="21"/>
        </w:rPr>
        <w:t>incluyendo los documentos transmitidos temporalmente a Gemini API para su análisis.</w:t>
      </w:r>
    </w:p>
    <w:p w14:paraId="1342A2BA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10 · 28/Sep – 02/Oct/2026</w:t>
      </w:r>
    </w:p>
    <w:p w14:paraId="7E696613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Reportes, auditoría y cierre del módulo.</w:t>
      </w:r>
    </w:p>
    <w:p w14:paraId="2C7DEE9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Reportes de cumplimiento PLD/AML exportables para auditores.</w:t>
      </w:r>
    </w:p>
    <w:p w14:paraId="7635CBB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Auditoría de toda operación del Motor Documental dentro de PLD: usuario, fecha, hora, documento procesado, tipo documental detectado, resultado de extracción, confirmación del usuario e historial</w:t>
      </w:r>
      <w:r>
        <w:rPr>
          <w:color w:val="000000"/>
          <w:sz w:val="21"/>
          <w:szCs w:val="21"/>
        </w:rPr>
        <w:t xml:space="preserve"> de modificaciones.</w:t>
      </w:r>
    </w:p>
    <w:p w14:paraId="08D5680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Validación funcional de PLD operando de manera completamente autónoma, como aplicación piloto: sin dependencias de Ventas, Compras/Tesorería ni RRHH.</w:t>
      </w:r>
    </w:p>
    <w:p w14:paraId="7E03A223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Despliegue a producción del módulo PLD integrado a CumbresBI, y documentación de la ap</w:t>
      </w:r>
      <w:r>
        <w:rPr>
          <w:color w:val="000000"/>
          <w:sz w:val="21"/>
          <w:szCs w:val="21"/>
        </w:rPr>
        <w:t>licación piloto independiente como artefacto de validación de arquitectura.</w:t>
      </w:r>
    </w:p>
    <w:p w14:paraId="6C700642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2: Módulo PLD operativo de forma autónoma dentro de CumbresBI, con expedientes KYC trazables, el Motor Inteligente de Procesamiento Documental validado como su p</w:t>
      </w:r>
      <w:r>
        <w:rPr>
          <w:b/>
          <w:bCs/>
          <w:i/>
          <w:iCs/>
        </w:rPr>
        <w:t>rimer consumidor, y base documentada para una aplicación piloto independiente de PLD. La integración con las contrapartes de Ventas y Compras/Tesorería queda diferida a fases posteriores mediante contraparte maestra compartida, sin condicionar el desarroll</w:t>
      </w:r>
      <w:r>
        <w:rPr>
          <w:b/>
          <w:bCs/>
          <w:i/>
          <w:iCs/>
        </w:rPr>
        <w:t>o de este módulo.</w:t>
      </w:r>
    </w:p>
    <w:p w14:paraId="20AD0166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3 — Módulo de Ventas / Vivienda y Edificios</w:t>
      </w:r>
    </w:p>
    <w:p w14:paraId="281B5D6E" w14:textId="77777777" w:rsidR="000B7506" w:rsidRDefault="00CE0EF0">
      <w:r>
        <w:rPr>
          <w:i/>
          <w:iCs/>
        </w:rPr>
        <w:t>Alcance ampliado: se agrega Edificios como línea de presupuesto paralela a Vivienda (misma lógica de presupuesto, materiales, etapas constructivas y avance de obra, aplicada a un tipo de ac</w:t>
      </w:r>
      <w:r>
        <w:rPr>
          <w:i/>
          <w:iCs/>
        </w:rPr>
        <w:t>tivo distinto). Además, el presupuesto incorpora un motor de generación automática de Conceptos, una Tabla de Materiales estructurada según el documento de referencia enviado por Rubén, apartado de firmas y exportación del presupuesto a hoja de cálculo. Es</w:t>
      </w:r>
      <w:r>
        <w:rPr>
          <w:i/>
          <w:iCs/>
        </w:rPr>
        <w:t>ta Tabla de Materiales se construye de forma autónoma en esta fase — sin depender de la Fase 4 — y será extendida y reconciliada posteriormente por el módulo de Compras/Tesorería/Materiales.</w:t>
      </w:r>
    </w:p>
    <w:p w14:paraId="3CDC015B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11 · 05/Oct – 09/Oct/2026</w:t>
      </w:r>
    </w:p>
    <w:p w14:paraId="5F2CC2F8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Modelos de proyectos e</w:t>
      </w:r>
      <w:r>
        <w:rPr>
          <w:i/>
          <w:iCs/>
        </w:rPr>
        <w:t xml:space="preserve"> inventario, para Vivienda y Edificios.</w:t>
      </w:r>
    </w:p>
    <w:p w14:paraId="534085C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vivienda_proyectos, vivienda_listado.</w:t>
      </w:r>
    </w:p>
    <w:p w14:paraId="6D59DDE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Diseño de las tablas equivalentes para Edificios (nuevas, análogas a vivienda_proyectos/vivienda_listado — nomenclatura y estructura final a validar en Etapa 3 de d</w:t>
      </w:r>
      <w:r>
        <w:rPr>
          <w:color w:val="000000"/>
          <w:sz w:val="21"/>
          <w:szCs w:val="21"/>
        </w:rPr>
        <w:t>iseño de BD).</w:t>
      </w:r>
    </w:p>
    <w:p w14:paraId="2BA34F0C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Motor de presupuesto (urbanización, ubicación) aplicable indistintamente a Vivienda o Edificios.</w:t>
      </w:r>
    </w:p>
    <w:p w14:paraId="331C4EB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lastRenderedPageBreak/>
        <w:t>Relación "Unidades que comprende el presupuesto": tabla intermedia que vincula un presupuesto con el conjunto de viviendas o edificios que lo com</w:t>
      </w:r>
      <w:r>
        <w:rPr>
          <w:color w:val="000000"/>
          <w:sz w:val="21"/>
          <w:szCs w:val="21"/>
        </w:rPr>
        <w:t>parten, reconociendo automáticamente las unidades que corresponden al mismo presupuesto base.</w:t>
      </w:r>
    </w:p>
    <w:p w14:paraId="60045D4E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12 · 12/Oct – 16/Oct/2026</w:t>
      </w:r>
    </w:p>
    <w:p w14:paraId="227C543A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Tabla de Materiales (autónoma) y catálogo de mano de obra.</w:t>
      </w:r>
    </w:p>
    <w:p w14:paraId="16B7F53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Tabla de Materiales estructurada conforme al documento envia</w:t>
      </w:r>
      <w:r>
        <w:rPr>
          <w:color w:val="000000"/>
          <w:sz w:val="21"/>
          <w:szCs w:val="21"/>
        </w:rPr>
        <w:t>do por Rubén, conservando la información general de presupuesto ya definida (no se sustituye, se integra). Campos base: material, unidad de medida, cantidad disponible, precio unitario, proveedor, cotización/fecha de vigencia.</w:t>
      </w:r>
    </w:p>
    <w:p w14:paraId="2A46DEA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Esta tabla se construye de ma</w:t>
      </w:r>
      <w:r>
        <w:rPr>
          <w:color w:val="000000"/>
          <w:sz w:val="21"/>
          <w:szCs w:val="21"/>
        </w:rPr>
        <w:t>nera autónoma dentro de la Fase 3, siguiendo el mismo principio de independencia aplicado a PLD, para no bloquear el presupuesto con una dependencia hacia la futura Fase 4 (Compras/Tesorería/Materiales).</w:t>
      </w:r>
    </w:p>
    <w:p w14:paraId="7BD9665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Registro de recepción de material y proceso de solic</w:t>
      </w:r>
      <w:r>
        <w:rPr>
          <w:color w:val="000000"/>
          <w:sz w:val="21"/>
          <w:szCs w:val="21"/>
        </w:rPr>
        <w:t>itud de material (conta ↔ almacén); descuento automático de material disponible contra lo presupuestado, para Vivienda y Edificios por igual.</w:t>
      </w:r>
    </w:p>
    <w:p w14:paraId="5E37189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Catálogo de mano de obra vinculado a las etapas de construcción (p. ej. muro de planta baja).</w:t>
      </w:r>
    </w:p>
    <w:p w14:paraId="02B7AA6F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13 · 19/Oct –</w:t>
      </w:r>
      <w:r>
        <w:rPr>
          <w:b/>
          <w:bCs/>
        </w:rPr>
        <w:t xml:space="preserve"> 23/Oct/2026</w:t>
      </w:r>
    </w:p>
    <w:p w14:paraId="5B1219AC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Motor automático de Conceptos y precios unitarios.</w:t>
      </w:r>
    </w:p>
    <w:p w14:paraId="606FC1E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Las etapas constructivas generan automáticamente los conceptos requeridos en el apartado "Conceptos" del presupuesto (motor de reglas etapa → concepto, sin captura manual del listado base).</w:t>
      </w:r>
    </w:p>
    <w:p w14:paraId="3A6F041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En Conceptos, el precio unitario se extrae automáticamente de las </w:t>
      </w:r>
      <w:r>
        <w:rPr>
          <w:color w:val="000000"/>
          <w:sz w:val="21"/>
          <w:szCs w:val="21"/>
        </w:rPr>
        <w:t>cotizaciones de los proveedores — tomando como fuente la Tabla de Materiales (cantidad disponible + precio unitario vigente) en lugar de captura manual.</w:t>
      </w:r>
    </w:p>
    <w:p w14:paraId="4FFD27F8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Validación de consistencia: si la cotización vigente cambia, el sistema debe señalar los conceptos que </w:t>
      </w:r>
      <w:r>
        <w:rPr>
          <w:color w:val="000000"/>
          <w:sz w:val="21"/>
          <w:szCs w:val="21"/>
        </w:rPr>
        <w:t>quedaron con un precio unitario desactualizado (no se sobrescribe silenciosamente un presupuesto ya cerrado).</w:t>
      </w:r>
    </w:p>
    <w:p w14:paraId="3DF33CB8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14 · 26/Oct – 30/Oct/2026</w:t>
      </w:r>
    </w:p>
    <w:p w14:paraId="376D40B3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Firmas y exportación del presupuesto.</w:t>
      </w:r>
    </w:p>
    <w:p w14:paraId="7557F568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Apartado de firmas al cierre del documento de presupuesto (firman</w:t>
      </w:r>
      <w:r>
        <w:rPr>
          <w:color w:val="000000"/>
          <w:sz w:val="21"/>
          <w:szCs w:val="21"/>
        </w:rPr>
        <w:t>te, cargo, fecha) — pendiente de confirmar con Dylan/Rubén si requiere firma electrónica de validez legal (Firmenti/DocuSeal) o basta con un registro de autorización interno vinculado a IAM.</w:t>
      </w:r>
    </w:p>
    <w:p w14:paraId="4A6E839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Exportación del presupuesto a hoja de cálculo al finalizar la pág</w:t>
      </w:r>
      <w:r>
        <w:rPr>
          <w:color w:val="000000"/>
          <w:sz w:val="21"/>
          <w:szCs w:val="21"/>
        </w:rPr>
        <w:t>ina. Se asume formato Excel (.xlsx); queda como pregunta abierta confirmar si se requiere .xlsm (con macros) o un .xml de datos — definir antes de construir el exportador.</w:t>
      </w:r>
    </w:p>
    <w:p w14:paraId="0CBA94B8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Prueba de extremo a extremo del flujo de presupuesto: unidades → materiales → concep</w:t>
      </w:r>
      <w:r>
        <w:rPr>
          <w:color w:val="000000"/>
          <w:sz w:val="21"/>
          <w:szCs w:val="21"/>
        </w:rPr>
        <w:t>tos automáticos → precio unitario automático → firmas → exportación.</w:t>
      </w:r>
    </w:p>
    <w:p w14:paraId="6CE8030D" w14:textId="77777777" w:rsidR="000B7506" w:rsidRDefault="00CE0EF0">
      <w:pPr>
        <w:pStyle w:val="Ttulo3"/>
        <w:spacing w:before="220" w:after="120"/>
      </w:pPr>
      <w:r>
        <w:rPr>
          <w:b/>
          <w:bCs/>
        </w:rPr>
        <w:lastRenderedPageBreak/>
        <w:t>Semana 15 · 02/Nov – 06/Nov/2026</w:t>
      </w:r>
    </w:p>
    <w:p w14:paraId="1BC9EA02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Avance de obra y pipeline de ventas.</w:t>
      </w:r>
    </w:p>
    <w:p w14:paraId="2C2311F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Flujo de reporte de avance por parte del trabajador y aprobación/rechazo por el supervisor, aplicable a Viv</w:t>
      </w:r>
      <w:r>
        <w:rPr>
          <w:color w:val="000000"/>
          <w:sz w:val="21"/>
          <w:szCs w:val="21"/>
        </w:rPr>
        <w:t>ienda y Edificios.</w:t>
      </w:r>
    </w:p>
    <w:p w14:paraId="5873FB6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Cálculo de porcentaje de avance en base al presupuesto y materiales consumidos.</w:t>
      </w:r>
    </w:p>
    <w:p w14:paraId="748088B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Modelos sobre vivienda_ventas_asesores, vivienda_ventas_expedientes, vivienda_ventas_expedientes_items, vivienda_rel_expediente_clientes; pipeline de ventas </w:t>
      </w:r>
      <w:r>
        <w:rPr>
          <w:color w:val="000000"/>
          <w:sz w:val="21"/>
          <w:szCs w:val="21"/>
        </w:rPr>
        <w:t>y expediente de cliente (mismo pipeline para unidades de Edificios).</w:t>
      </w:r>
    </w:p>
    <w:p w14:paraId="020AB133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16 · 09/Nov – 13/Nov/2026</w:t>
      </w:r>
    </w:p>
    <w:p w14:paraId="6F3CB2CA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Captación pública y cierre del módulo.</w:t>
      </w:r>
    </w:p>
    <w:p w14:paraId="06A3D13F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Páginas públicas de captación de clientes (Next.js) con límite de solicitudes, detección de bots y reCAPT</w:t>
      </w:r>
      <w:r>
        <w:rPr>
          <w:color w:val="000000"/>
          <w:sz w:val="21"/>
          <w:szCs w:val="21"/>
        </w:rPr>
        <w:t>CHA — para Vivienda y Edificios.</w:t>
      </w:r>
    </w:p>
    <w:p w14:paraId="559F0A9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Vínculo del expediente de cliente con el registro propio de contrapartes de esta fase, como insumo para la futura contraparte maestra compartida que se formalizará en la Fase 4 y se reconciliará con PLD.</w:t>
      </w:r>
    </w:p>
    <w:p w14:paraId="51673A18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 xml:space="preserve">Pruebas de RLS por </w:t>
      </w:r>
      <w:r>
        <w:rPr>
          <w:color w:val="000000"/>
          <w:sz w:val="21"/>
          <w:szCs w:val="21"/>
        </w:rPr>
        <w:t>PROYECTO (un asesor no ve expedientes de otro proyecto salvo asignación explícita) y despliegue a producción.</w:t>
      </w:r>
    </w:p>
    <w:p w14:paraId="002C9DBD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3: Módulo Ventas/Vivienda/Edificios operativo, con presupuesto automatizado (materiales, conceptos y precios unitarios), firmas</w:t>
      </w:r>
      <w:r>
        <w:rPr>
          <w:b/>
          <w:bCs/>
          <w:i/>
          <w:iCs/>
        </w:rPr>
        <w:t>, exportación a hoja de cálculo, control de obra y captación pública segura. El registro de contrapartes generado en esta fase queda listo para su reconciliación posterior en la Fase 4.</w:t>
      </w:r>
    </w:p>
    <w:p w14:paraId="4AAC082B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4 — Módulo de Compras / Tesorería / Materiales</w:t>
      </w:r>
    </w:p>
    <w:p w14:paraId="44C22F6A" w14:textId="77777777" w:rsidR="000B7506" w:rsidRDefault="00CE0EF0">
      <w:r>
        <w:rPr>
          <w:i/>
          <w:iCs/>
        </w:rPr>
        <w:t>Este módulo extiende y reconcilia el catálogo de materiales construido de forma autónoma en la Fase 3, incorpora el flujo operativo de Compras, y reutiliza el Motor Inteligente de Procesamiento Documental</w:t>
      </w:r>
      <w:r>
        <w:rPr>
          <w:i/>
          <w:iCs/>
        </w:rPr>
        <w:t xml:space="preserve"> para automatizar la captura de cotizaciones y facturas de proveedores. Adicionalmente formaliza la contraparte maestra compartida que reconcilia los registros generados de forma independiente por Ventas (Fase 3) y por PLD (Fase 2).</w:t>
      </w:r>
    </w:p>
    <w:p w14:paraId="68A1DCE8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17 · 16/Nov – 20</w:t>
      </w:r>
      <w:r>
        <w:rPr>
          <w:b/>
          <w:bCs/>
        </w:rPr>
        <w:t>/Nov/2026</w:t>
      </w:r>
    </w:p>
    <w:p w14:paraId="24A4A399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Modelos base de Compras y extensión del catálogo de materiales.</w:t>
      </w:r>
    </w:p>
    <w:p w14:paraId="5B24ECF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Extensión de la Tabla de Materiales creada de forma autónoma en la Fase 3: se conserva la información general de presupuesto ya definida, no se sustituye, se integra.</w:t>
      </w:r>
    </w:p>
    <w:p w14:paraId="32A3850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</w:t>
      </w:r>
      <w:r>
        <w:rPr>
          <w:color w:val="000000"/>
          <w:sz w:val="21"/>
          <w:szCs w:val="21"/>
        </w:rPr>
        <w:t>os de Compras: proveedores, solicitudes de compra, órdenes de compra, recepción de materiales.</w:t>
      </w:r>
    </w:p>
    <w:p w14:paraId="4633AB2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Reutilización del Motor Inteligente de Procesamiento Documental para Compras: definición de sus tipos documentales (cotizaciones de proveedor, facturas), prompts</w:t>
      </w:r>
      <w:r>
        <w:rPr>
          <w:color w:val="000000"/>
          <w:sz w:val="21"/>
          <w:szCs w:val="21"/>
        </w:rPr>
        <w:t xml:space="preserve"> internos y reglas de validación propias del área — sin modificar el núcleo del motor.</w:t>
      </w:r>
    </w:p>
    <w:p w14:paraId="47399477" w14:textId="77777777" w:rsidR="000B7506" w:rsidRDefault="00CE0EF0">
      <w:pPr>
        <w:pStyle w:val="Ttulo3"/>
        <w:spacing w:before="220" w:after="120"/>
      </w:pPr>
      <w:r>
        <w:rPr>
          <w:b/>
          <w:bCs/>
        </w:rPr>
        <w:lastRenderedPageBreak/>
        <w:t>Semana 18 · 23/Nov – 27/Nov/2026</w:t>
      </w:r>
    </w:p>
    <w:p w14:paraId="070173E6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Automatización de captura de cotizaciones y facturas.</w:t>
      </w:r>
    </w:p>
    <w:p w14:paraId="5DC7E9C9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Caso de uso: el usuario carga una cotización en PDF → clasificación auto</w:t>
      </w:r>
      <w:r>
        <w:rPr>
          <w:color w:val="000000"/>
          <w:sz w:val="21"/>
          <w:szCs w:val="21"/>
        </w:rPr>
        <w:t>mática por nombre de archivo → Gemini API valida que el contenido corresponda a una cotización → extracción de proveedor, fecha, vigencia, moneda, materiales, unidad de medida, cantidad, precio unitario, subtotal, impuestos y total → presentación al usuari</w:t>
      </w:r>
      <w:r>
        <w:rPr>
          <w:color w:val="000000"/>
          <w:sz w:val="21"/>
          <w:szCs w:val="21"/>
        </w:rPr>
        <w:t>o para revisión.</w:t>
      </w:r>
    </w:p>
    <w:p w14:paraId="5960BCC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Una vez confirmada la información por el usuario, el backend actualiza automáticamente: catálogo de materiales, solicitud de compra, precios unitarios, información del proveedor e historial de cotizaciones.</w:t>
      </w:r>
    </w:p>
    <w:p w14:paraId="6F37FD2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La escritura en base de datos oc</w:t>
      </w:r>
      <w:r>
        <w:rPr>
          <w:color w:val="000000"/>
          <w:sz w:val="21"/>
          <w:szCs w:val="21"/>
        </w:rPr>
        <w:t>urre exclusivamente desde el backend, nunca directamente desde Gemini API, y solo tras la confirmación explícita del usuario.</w:t>
      </w:r>
    </w:p>
    <w:p w14:paraId="51F8BF74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19 · 30/Nov – 04/Dic/2026</w:t>
      </w:r>
    </w:p>
    <w:p w14:paraId="4ED594CA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Modelos base de cuentas, bancos, contratos y contraparte maestra.</w:t>
      </w:r>
    </w:p>
    <w:p w14:paraId="72B9E67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tesorer</w:t>
      </w:r>
      <w:r>
        <w:rPr>
          <w:color w:val="000000"/>
          <w:sz w:val="21"/>
          <w:szCs w:val="21"/>
        </w:rPr>
        <w:t>ia_cuentas, tesoreria_bancos, tesoreria_contratos, tesoreria_contrapartes.</w:t>
      </w:r>
    </w:p>
    <w:p w14:paraId="60CA6DD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Diseño e implementación de la contraparte maestra compartida: tesoreria_contrapartes se establece como fuente única de verdad, reconciliando los registros autónomos generados previa</w:t>
      </w:r>
      <w:r>
        <w:rPr>
          <w:color w:val="000000"/>
          <w:sz w:val="21"/>
          <w:szCs w:val="21"/>
        </w:rPr>
        <w:t>mente por Ventas (Fase 3) y por PLD (Fase 2), mediante el campo de referencia reservado en cada uno.</w:t>
      </w:r>
    </w:p>
    <w:p w14:paraId="50E3D300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20 · 07/Dic – 11/Dic/2026</w:t>
      </w:r>
    </w:p>
    <w:p w14:paraId="4F228C4D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Facturación y documentos fiscales.</w:t>
      </w:r>
    </w:p>
    <w:p w14:paraId="7B6D55F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tesoreria_facturas, tesoreria_complementos_pago, tesoreria_notas_credito.</w:t>
      </w:r>
    </w:p>
    <w:p w14:paraId="2C88B9F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Flujos de registro y vinculación de facturas a contratos y contrapartes; reutilización del Motor Documental para la lectura automática de facturas de proveedores.</w:t>
      </w:r>
    </w:p>
    <w:p w14:paraId="1452A6FA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</w:t>
      </w:r>
      <w:r>
        <w:rPr>
          <w:b/>
          <w:bCs/>
        </w:rPr>
        <w:t>a 21 · 14/Dic – 18/Dic/2026</w:t>
      </w:r>
    </w:p>
    <w:p w14:paraId="41DC766C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Conciliación, flujo de efectivo y cierre del módulo.</w:t>
      </w:r>
    </w:p>
    <w:p w14:paraId="41B7F08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tesoreria_flujos, tesoreria_saldos, tesoreria_cortes_edc.</w:t>
      </w:r>
    </w:p>
    <w:p w14:paraId="4892C54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Motor de conciliación bancaria y reportes de flujo de efectivo.</w:t>
      </w:r>
    </w:p>
    <w:p w14:paraId="41A72004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Pruebas de seguridad y RLS por SOCIEDAD (Finance Manager de la Empresa A no ve datos de la Empresa B).</w:t>
      </w:r>
    </w:p>
    <w:p w14:paraId="4384108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Despliegue a producción.</w:t>
      </w:r>
    </w:p>
    <w:p w14:paraId="3C7A9AB4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4: Módulo Compras/Tesorería/Materiales operat</w:t>
      </w:r>
      <w:r>
        <w:rPr>
          <w:b/>
          <w:bCs/>
          <w:i/>
          <w:iCs/>
        </w:rPr>
        <w:t xml:space="preserve">ivo, con catálogo de materiales extendido y reconciliado, automatización de captura de cotizaciones y facturas vía Motor Inteligente de Procesamiento Documental, contraparte maestra </w:t>
      </w:r>
      <w:r>
        <w:rPr>
          <w:b/>
          <w:bCs/>
          <w:i/>
          <w:iCs/>
        </w:rPr>
        <w:lastRenderedPageBreak/>
        <w:t>compartida como fuente única de verdad (reconciliando Ventas y PLD), conci</w:t>
      </w:r>
      <w:r>
        <w:rPr>
          <w:b/>
          <w:bCs/>
          <w:i/>
          <w:iCs/>
        </w:rPr>
        <w:t>liación bancaria y reportes de flujo de efectivo.</w:t>
      </w:r>
    </w:p>
    <w:p w14:paraId="468DC3CE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5 — Módulo de RRHH y Talento</w:t>
      </w:r>
    </w:p>
    <w:p w14:paraId="479D9C90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22 · 21/Dic – 25/Dic/2026 (semana corta — viernes 25/Dic festivo)</w:t>
      </w:r>
    </w:p>
    <w:p w14:paraId="048C1B48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Refactorización de datos de RRHH y arranque del flujo de contratación.</w:t>
      </w:r>
    </w:p>
    <w:p w14:paraId="0DFF39E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Modelos sobre rrhh</w:t>
      </w:r>
      <w:r>
        <w:rPr>
          <w:color w:val="000000"/>
          <w:sz w:val="21"/>
          <w:szCs w:val="21"/>
        </w:rPr>
        <w:t>_empleados, rrhh_puestos; vínculo con iam_users para empleados con acceso al sistema.</w:t>
      </w:r>
    </w:p>
    <w:p w14:paraId="135D14DC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Backend del flujo de contratación (candidato → oferta → aceptación).</w:t>
      </w:r>
    </w:p>
    <w:p w14:paraId="74F5E96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Diseño del formulario público de solicitud de empleo (Next.js) con protección reCAPTCHA y límite de s</w:t>
      </w:r>
      <w:r>
        <w:rPr>
          <w:color w:val="000000"/>
          <w:sz w:val="21"/>
          <w:szCs w:val="21"/>
        </w:rPr>
        <w:t>olicitudes.</w:t>
      </w:r>
    </w:p>
    <w:p w14:paraId="1907F813" w14:textId="77777777" w:rsidR="000B7506" w:rsidRDefault="00CE0EF0">
      <w:pPr>
        <w:spacing w:before="80" w:after="200"/>
      </w:pPr>
      <w:r>
        <w:rPr>
          <w:i/>
          <w:iCs/>
        </w:rPr>
        <w:t>Receso decembrino · 28/Dic/2026 – 01/Ene/2027 — Sin actividad de desarrollo.</w:t>
      </w:r>
    </w:p>
    <w:p w14:paraId="61C4BADB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23 · 04/Ene – 08/Ene/2027</w:t>
      </w:r>
    </w:p>
    <w:p w14:paraId="5341481D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Onboarding, firma electrónica e integración con el Motor Documental.</w:t>
      </w:r>
    </w:p>
    <w:p w14:paraId="0A78513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Flujo de onboarding (documentación, alta en rrhh_emplea</w:t>
      </w:r>
      <w:r>
        <w:rPr>
          <w:color w:val="000000"/>
          <w:sz w:val="21"/>
          <w:szCs w:val="21"/>
        </w:rPr>
        <w:t>dos, generación de invitación IAM para el nuevo colaborador).</w:t>
      </w:r>
    </w:p>
    <w:p w14:paraId="44D13653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Integración con Firmenti (Firma Nivel A) para contratos laborales con validez legal plena.</w:t>
      </w:r>
    </w:p>
    <w:p w14:paraId="291DEB97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Integración con DocuSeal (Firma Nivel B) para documentos estándar (cartas oferta, políticas internas).</w:t>
      </w:r>
    </w:p>
    <w:p w14:paraId="7BE3C6BC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Combinado de plantillas .docx con datos del colaborador (sin generación de documentos desde cero).</w:t>
      </w:r>
    </w:p>
    <w:p w14:paraId="6C4C140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Reutilización del Motor Inteligente de Procesamiento Documental para la validación automática de identificaciones y comprobantes cargados durante el onboardi</w:t>
      </w:r>
      <w:r>
        <w:rPr>
          <w:color w:val="000000"/>
          <w:sz w:val="21"/>
          <w:szCs w:val="21"/>
        </w:rPr>
        <w:t>ng, con prompts y reglas propias de RRHH.</w:t>
      </w:r>
    </w:p>
    <w:p w14:paraId="3DAA3D5F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24 · 11/Ene – 15/Ene/2027</w:t>
      </w:r>
    </w:p>
    <w:p w14:paraId="470128B9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Portal de autoservicio "MiCumbres".</w:t>
      </w:r>
    </w:p>
    <w:p w14:paraId="1284186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Frontend del portal MiCumbres: perfil del colaborador, documentos propios, historial.</w:t>
      </w:r>
    </w:p>
    <w:p w14:paraId="70A9D18E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Entrega de nómina vía streaming de archivos con Google Drive API (sin almacenamiento local).</w:t>
      </w:r>
    </w:p>
    <w:p w14:paraId="3DD92B1F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Notificaciones enviadas desde la cuenta de Workspace del propio usuario (HTML</w:t>
      </w:r>
      <w:r>
        <w:rPr>
          <w:color w:val="000000"/>
          <w:sz w:val="21"/>
          <w:szCs w:val="21"/>
        </w:rPr>
        <w:t xml:space="preserve"> en cuerpo, no adjuntos).</w:t>
      </w:r>
    </w:p>
    <w:p w14:paraId="4F582BE3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25 · 18/Ene – 22/Ene/2027</w:t>
      </w:r>
    </w:p>
    <w:p w14:paraId="04988553" w14:textId="77777777" w:rsidR="000B7506" w:rsidRDefault="00CE0EF0">
      <w:pPr>
        <w:spacing w:after="140"/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Pruebas y cierre del módulo.</w:t>
      </w:r>
    </w:p>
    <w:p w14:paraId="6A3F7D2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Validación de RLS por CENTRO y PROYECTO (un supervisor de centro no ve empleados de otro centro).</w:t>
      </w:r>
    </w:p>
    <w:p w14:paraId="20B1C76B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lastRenderedPageBreak/>
        <w:t>Pruebas funcionales de firma electrónica (casos límite: firm</w:t>
      </w:r>
      <w:r>
        <w:rPr>
          <w:color w:val="000000"/>
          <w:sz w:val="21"/>
          <w:szCs w:val="21"/>
        </w:rPr>
        <w:t>a pendiente vs. documento eliminado).</w:t>
      </w:r>
    </w:p>
    <w:p w14:paraId="5F3C23D1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Pruebas de bitácora de auditoría sobre acciones sensibles de RRHH (altas, bajas, cambios de puesto).</w:t>
      </w:r>
    </w:p>
    <w:p w14:paraId="213701D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Despliegue a producción.</w:t>
      </w:r>
    </w:p>
    <w:p w14:paraId="564F3534" w14:textId="77777777" w:rsidR="000B7506" w:rsidRDefault="00CE0EF0">
      <w:pPr>
        <w:spacing w:before="100" w:after="200"/>
      </w:pPr>
      <w:r>
        <w:rPr>
          <w:b/>
          <w:bCs/>
          <w:i/>
          <w:iCs/>
        </w:rPr>
        <w:t>Entregable de Fase 5: Módulo RRHH operativo con portal MiCumbres, firma electrónica dual, validación documental automatizada vía Motor Inteligente de Procesamiento Documental, y trazabilidad completa.</w:t>
      </w:r>
    </w:p>
    <w:p w14:paraId="37B8F564" w14:textId="77777777" w:rsidR="000B7506" w:rsidRDefault="00CE0EF0">
      <w:pPr>
        <w:pStyle w:val="Ttulo2"/>
        <w:spacing w:before="280" w:after="160"/>
      </w:pPr>
      <w:r>
        <w:rPr>
          <w:b/>
          <w:bCs/>
        </w:rPr>
        <w:t>Fase 6 — Estabilización y UAT Integral</w:t>
      </w:r>
    </w:p>
    <w:p w14:paraId="4DAACD93" w14:textId="77777777" w:rsidR="000B7506" w:rsidRDefault="00CE0EF0">
      <w:pPr>
        <w:pStyle w:val="Ttulo3"/>
        <w:spacing w:before="220" w:after="120"/>
      </w:pPr>
      <w:r>
        <w:rPr>
          <w:b/>
          <w:bCs/>
        </w:rPr>
        <w:t>Semana 26 · 25/E</w:t>
      </w:r>
      <w:r>
        <w:rPr>
          <w:b/>
          <w:bCs/>
        </w:rPr>
        <w:t>ne – 29/Ene/2027</w:t>
      </w:r>
    </w:p>
    <w:p w14:paraId="2C9D6ED9" w14:textId="1570EDCD" w:rsidR="000B7506" w:rsidRDefault="00CE0EF0">
      <w:pPr>
        <w:spacing w:after="140"/>
        <w:rPr>
          <w:i/>
          <w:iCs/>
        </w:rPr>
      </w:pPr>
      <w:r>
        <w:rPr>
          <w:b/>
          <w:bCs/>
          <w:i/>
          <w:iCs/>
        </w:rPr>
        <w:t xml:space="preserve">Objetivo: </w:t>
      </w:r>
      <w:r>
        <w:rPr>
          <w:i/>
          <w:iCs/>
        </w:rPr>
        <w:t>Cierre del MVP.</w:t>
      </w:r>
    </w:p>
    <w:p w14:paraId="285F7B5C" w14:textId="4FB25F05" w:rsidR="00CE0EF0" w:rsidRPr="00CE0EF0" w:rsidRDefault="00CE0EF0" w:rsidP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  <w:rPr>
          <w:color w:val="000000"/>
          <w:sz w:val="21"/>
          <w:szCs w:val="21"/>
        </w:rPr>
      </w:pPr>
      <w:r w:rsidRPr="00CE0EF0">
        <w:rPr>
          <w:b/>
          <w:bCs/>
          <w:color w:val="000000"/>
        </w:rPr>
        <w:t>Módulo de Reporte de Problemas (Soporte):</w:t>
      </w:r>
      <w:r w:rsidRPr="00CE0EF0">
        <w:rPr>
          <w:color w:val="000000"/>
          <w:sz w:val="21"/>
          <w:szCs w:val="21"/>
        </w:rPr>
        <w:t> formulario accesible desde cualquier sección para que el usuario final reporte una falla del sistema, seleccionando el error de un catálogo predefinido y agregando una descripción libre; el reporte se registra como ticket visible únicamente para los roles IAM Admin y Super Admin, en un módulo nuevo "Soporte" dentro del panel de administración, con aviso en el ícono de notificaciones (campana) ya existente en el shell del frontend; sujeto a bitácora de auditoría igual que cualquier acción sensible.</w:t>
      </w:r>
    </w:p>
    <w:p w14:paraId="2EB24AA2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Pruebas de aceptación de usuario (UAT) cruzando los seis módulos — Admin (IAM), PLD/Cumplimiento, Ventas/Vivienda y Edificios, Compras/Tesorería/Materiales y RRHH y Talento — con usuarios reales de Cumbres.</w:t>
      </w:r>
    </w:p>
    <w:p w14:paraId="08E5ED7D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Correc</w:t>
      </w:r>
      <w:r>
        <w:rPr>
          <w:color w:val="000000"/>
          <w:sz w:val="21"/>
          <w:szCs w:val="21"/>
        </w:rPr>
        <w:t>ción de hallazgos críticos y de severidad media.</w:t>
      </w:r>
    </w:p>
    <w:p w14:paraId="77D49692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Validación final de auditoría inmutable, RLS end-to-end, motor de presupuesto automatizado (materiales → conceptos → precio unitario → firmas → exportación), Motor Inteligente de Procesamiento Documental ope</w:t>
      </w:r>
      <w:r>
        <w:rPr>
          <w:color w:val="000000"/>
          <w:sz w:val="21"/>
          <w:szCs w:val="21"/>
        </w:rPr>
        <w:t>rando de forma consistente en PLD, Compras/Tesorería/Materiales y RRHH, y sistema de diseño en todas las pantallas.</w:t>
      </w:r>
    </w:p>
    <w:p w14:paraId="31A147CA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Firma de aceptación del MVP por parte de la Dirección.</w:t>
      </w:r>
    </w:p>
    <w:p w14:paraId="134BE7D4" w14:textId="77777777" w:rsidR="000B7506" w:rsidRDefault="00CE0EF0">
      <w:pPr>
        <w:pStyle w:val="Ttulo1"/>
        <w:spacing w:before="320" w:after="200"/>
      </w:pPr>
      <w:r>
        <w:rPr>
          <w:b/>
          <w:bCs/>
        </w:rPr>
        <w:t>3. Estrategia de Refactorización de la Base de Datos Existente</w:t>
      </w:r>
    </w:p>
    <w:p w14:paraId="62096284" w14:textId="77777777" w:rsidR="000B7506" w:rsidRDefault="00CE0EF0">
      <w:r>
        <w:t xml:space="preserve">El esquema MySQL creado en AppSheet se reutiliza como base de datos de producción; no se migra a un modelo nuevo. El trabajo de refactorización consiste en adaptar el esquema a los requisitos de RLS, auditoría y al ORM de Django, sin romper la continuidad </w:t>
      </w:r>
      <w:r>
        <w:t>de datos. Se incorporan además dos componentes nuevos sin equivalente en el esquema original: el Motor Inteligente de Procesamiento Documental y la integración con Gemini API.</w:t>
      </w:r>
    </w:p>
    <w:tbl>
      <w:tblPr>
        <w:tblStyle w:val="a1"/>
        <w:tblW w:w="94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37"/>
        <w:gridCol w:w="3592"/>
        <w:gridCol w:w="4171"/>
      </w:tblGrid>
      <w:tr w:rsidR="000B7506" w14:paraId="199B4AC5" w14:textId="77777777">
        <w:trPr>
          <w:tblHeader/>
        </w:trPr>
        <w:tc>
          <w:tcPr>
            <w:tcW w:w="1637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154C21" w14:textId="77777777" w:rsidR="000B7506" w:rsidRDefault="00CE0EF0">
            <w:r>
              <w:rPr>
                <w:b/>
                <w:bCs/>
              </w:rPr>
              <w:lastRenderedPageBreak/>
              <w:t>Área</w:t>
            </w:r>
          </w:p>
        </w:tc>
        <w:tc>
          <w:tcPr>
            <w:tcW w:w="3592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165039" w14:textId="77777777" w:rsidR="000B7506" w:rsidRDefault="00CE0EF0">
            <w:r>
              <w:rPr>
                <w:b/>
                <w:bCs/>
              </w:rPr>
              <w:t>Tablas existentes a reutilizar</w:t>
            </w:r>
          </w:p>
        </w:tc>
        <w:tc>
          <w:tcPr>
            <w:tcW w:w="4171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108A6D" w14:textId="77777777" w:rsidR="000B7506" w:rsidRDefault="00CE0EF0">
            <w:r>
              <w:rPr>
                <w:b/>
                <w:bCs/>
              </w:rPr>
              <w:t>Ajustes necesarios para Django ORM / RLS</w:t>
            </w:r>
          </w:p>
        </w:tc>
      </w:tr>
      <w:tr w:rsidR="000B7506" w14:paraId="1DFAFB4C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9032DE" w14:textId="77777777" w:rsidR="000B7506" w:rsidRDefault="00CE0EF0">
            <w:r>
              <w:t>IA</w:t>
            </w:r>
            <w:r>
              <w:t>M (Admin)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FC5D8B" w14:textId="77777777" w:rsidR="000B7506" w:rsidRPr="00CE0EF0" w:rsidRDefault="00CE0EF0">
            <w:pPr>
              <w:rPr>
                <w:lang w:val="en-US"/>
              </w:rPr>
            </w:pPr>
            <w:r w:rsidRPr="00CE0EF0">
              <w:rPr>
                <w:lang w:val="en-US"/>
              </w:rPr>
              <w:t>iam_users, iam_identities, iam_roles, iam_permissions, iam_role_permissions, iam_user_roles, iam_user_centro_access, iam_user_contrato_access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9D70BD" w14:textId="77777777" w:rsidR="000B7506" w:rsidRDefault="00CE0EF0">
            <w:r>
              <w:t>Declarar llaves foráneas explícitas hacia general_sociedades; agregar columnas de vigencia (fecha_inicio</w:t>
            </w:r>
            <w:r>
              <w:t>, fecha_fin) en iam_user_roles si no existen; mapear con inspectdb y fijar managed = False donde el ciclo de vida del esquema deba permanecer fuera de las migraciones de Django.</w:t>
            </w:r>
          </w:p>
        </w:tc>
      </w:tr>
      <w:tr w:rsidR="000B7506" w14:paraId="7D1397DA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875705" w14:textId="77777777" w:rsidR="000B7506" w:rsidRDefault="00CE0EF0">
            <w:r>
              <w:t>Multi-empresa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222E70" w14:textId="77777777" w:rsidR="000B7506" w:rsidRDefault="00CE0EF0">
            <w:r>
              <w:t>general_sociedades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5C4D6F" w14:textId="77777777" w:rsidR="000B7506" w:rsidRDefault="00CE0EF0">
            <w:r>
              <w:t>Tabla raíz para el alcance SOCIEDAD; verificar que toda tabla con alcance por empresa tenga FK directa o indirecta hacia aquí.</w:t>
            </w:r>
          </w:p>
        </w:tc>
      </w:tr>
      <w:tr w:rsidR="000B7506" w14:paraId="2D624A00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B58233" w14:textId="77777777" w:rsidR="000B7506" w:rsidRDefault="00CE0EF0">
            <w:r>
              <w:t>PLD (Cumplimiento)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0D00C" w14:textId="77777777" w:rsidR="000B7506" w:rsidRDefault="00CE0EF0">
            <w:r>
              <w:t>pld_contrapartes_kyc, pld_contrapartes_docs, pld_ticket_cliente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4A1707" w14:textId="77777777" w:rsidR="000B7506" w:rsidRDefault="00CE0EF0">
            <w:r>
              <w:t xml:space="preserve">Modelo de contraparte propio y autónomo para </w:t>
            </w:r>
            <w:r>
              <w:t>la operación independiente de la Fase 2; campo de referencia reservado para integrarse posteriormente a la contraparte maestra compartida (Fase 4) sin modificar la lógica propia del módulo.</w:t>
            </w:r>
          </w:p>
        </w:tc>
      </w:tr>
      <w:tr w:rsidR="000B7506" w14:paraId="3D5ADD24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BDAF67" w14:textId="77777777" w:rsidR="000B7506" w:rsidRDefault="00CE0EF0">
            <w:r>
              <w:t>Vivienda (Ventas)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FECE3F" w14:textId="77777777" w:rsidR="000B7506" w:rsidRDefault="00CE0EF0">
            <w:r>
              <w:t>vivienda_proyectos, vivienda_listado, vivienda_</w:t>
            </w:r>
            <w:r>
              <w:t>ventas_asesores, vivienda_ventas_expedientes, vivienda_ventas_expedientes_items, vivienda_rel_expediente_clientes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3B19D4" w14:textId="77777777" w:rsidR="000B7506" w:rsidRDefault="00CE0EF0">
            <w:r>
              <w:t xml:space="preserve">Definir explícitamente la relación presupuesto↔tipo de vivienda↔consumo de materiales (posible tabla intermedia nueva si no existe); asegurar </w:t>
            </w:r>
            <w:r>
              <w:t>que vivienda_proyectos sea el ancla del alcance PROYECTO.</w:t>
            </w:r>
          </w:p>
        </w:tc>
      </w:tr>
      <w:tr w:rsidR="000B7506" w14:paraId="71666E36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E2831F" w14:textId="77777777" w:rsidR="000B7506" w:rsidRDefault="00CE0EF0">
            <w:r>
              <w:t>Edificios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CD1C52" w14:textId="77777777" w:rsidR="000B7506" w:rsidRDefault="00CE0EF0">
            <w:r>
              <w:t>(no existe — se crea en Fase 3, análoga a Vivienda)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C44A62" w14:textId="77777777" w:rsidR="000B7506" w:rsidRDefault="00CE0EF0">
            <w:r>
              <w:t>Tablas espejo de vivienda_proyectos/vivienda_listado para Edificios (nomenclatura a definir en Etapa 3); comparten la tabla int</w:t>
            </w:r>
            <w:r>
              <w:t>ermedia "unidades que comprende el presupuesto" con Vivienda para no duplicar el motor de presupuesto.</w:t>
            </w:r>
          </w:p>
        </w:tc>
      </w:tr>
      <w:tr w:rsidR="000B7506" w14:paraId="0C5212F6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EFAF1" w14:textId="77777777" w:rsidR="000B7506" w:rsidRDefault="00CE0EF0">
            <w:r>
              <w:lastRenderedPageBreak/>
              <w:t>Materiales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0DA3A0" w14:textId="77777777" w:rsidR="000B7506" w:rsidRDefault="00CE0EF0">
            <w:r>
              <w:t>(no existe — se crea de forma autónoma en Fase 3 a partir del documento de Rubén, y se extiende en Fase 4)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4B142E" w14:textId="77777777" w:rsidR="000B7506" w:rsidRDefault="00CE0EF0">
            <w:r>
              <w:t>Tabla materiales (o equiva</w:t>
            </w:r>
            <w:r>
              <w:t>lente): material, unidad, cantidad disponible, precio unitario, proveedor, cotización vigente/fecha. Debe conservar la información general de presupuesto ya definida — se integra, no se sustituye. Es la fuente para el precio unitario automático en Concepto</w:t>
            </w:r>
            <w:r>
              <w:t>s y para la captura automatizada vía Motor Documental en Fase 4.</w:t>
            </w:r>
          </w:p>
        </w:tc>
      </w:tr>
      <w:tr w:rsidR="000B7506" w14:paraId="2A075C9F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AE3092" w14:textId="77777777" w:rsidR="000B7506" w:rsidRDefault="00CE0EF0">
            <w:r>
              <w:t>Conceptos y Firmas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8A3CA4" w14:textId="77777777" w:rsidR="000B7506" w:rsidRDefault="00CE0EF0">
            <w:r>
              <w:t>(no existen — se crean en Fase 3)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E450CC3" w14:textId="77777777" w:rsidR="000B7506" w:rsidRDefault="00CE0EF0">
            <w:r>
              <w:t xml:space="preserve">Tabla conceptos_presupuesto generada por el motor etapa constructiva → concepto, con FK a materiales para el precio unitario; tabla presupuesto_firmas (firmante, cargo, fecha, referencia al presupuesto). Definir si presupuesto_firmas requiere integrarse a </w:t>
            </w:r>
            <w:r>
              <w:t>Firmenti/DocuSeal o es un registro interno simple.</w:t>
            </w:r>
          </w:p>
        </w:tc>
      </w:tr>
      <w:tr w:rsidR="000B7506" w14:paraId="2D42ECE7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91A0C" w14:textId="77777777" w:rsidR="000B7506" w:rsidRDefault="00CE0EF0">
            <w:r>
              <w:t>Compras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939D6" w14:textId="77777777" w:rsidR="000B7506" w:rsidRDefault="00CE0EF0">
            <w:r>
              <w:t>(no existe — se crea en Fase 4)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CD422" w14:textId="77777777" w:rsidR="000B7506" w:rsidRDefault="00CE0EF0">
            <w:r>
              <w:t xml:space="preserve">Tablas de proveedores, solicitudes de compra, órdenes de compra y recepción de materiales; se integra con el Motor Documental para la lectura automática de </w:t>
            </w:r>
            <w:r>
              <w:t>cotizaciones y facturas, sin escritura directa a BD desde el motor.</w:t>
            </w:r>
          </w:p>
        </w:tc>
      </w:tr>
      <w:tr w:rsidR="000B7506" w14:paraId="45C791D1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871781" w14:textId="77777777" w:rsidR="000B7506" w:rsidRDefault="00CE0EF0">
            <w:r>
              <w:t>Tesorería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9DBBE8" w14:textId="77777777" w:rsidR="000B7506" w:rsidRDefault="00CE0EF0">
            <w:r>
              <w:t>tesoreria_cuentas, tesoreria_bancos, tesoreria_contratos, tesoreria_flujos, tesoreria_facturas, tesoreria_complementos_pago, tesoreria_notas_credito, tesoreria_contrapartes, tesoreria_saldos, tesoreria_cortes_edc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3E797E" w14:textId="77777777" w:rsidR="000B7506" w:rsidRDefault="00CE0EF0">
            <w:r>
              <w:t>tesoreria_contrapartes se establece como la</w:t>
            </w:r>
            <w:r>
              <w:t xml:space="preserve"> contraparte maestra compartida y fuente única de verdad, reconciliando los registros autónomos generados por Ventas y PLD; revisar índices sobre columnas de conciliación (tesoreria_flujos, tesoreria_saldos) por volumen transaccional.</w:t>
            </w:r>
          </w:p>
        </w:tc>
      </w:tr>
      <w:tr w:rsidR="000B7506" w14:paraId="6650E537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31DDDD" w14:textId="77777777" w:rsidR="000B7506" w:rsidRDefault="00CE0EF0">
            <w:r>
              <w:lastRenderedPageBreak/>
              <w:t>RRHH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192014" w14:textId="77777777" w:rsidR="000B7506" w:rsidRDefault="00CE0EF0">
            <w:r>
              <w:t>rrhh_empleados,</w:t>
            </w:r>
            <w:r>
              <w:t xml:space="preserve"> rrhh_puestos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F09354" w14:textId="77777777" w:rsidR="000B7506" w:rsidRDefault="00CE0EF0">
            <w:r>
              <w:t>Vincular rrhh_empleados a iam_users (uno a uno) para habilitar login; agregar columna de centro_id/proyecto_id si el alcance de RLS lo requiere a nivel de empleado; integrar validación documental de onboarding vía Motor Documental.</w:t>
            </w:r>
          </w:p>
        </w:tc>
      </w:tr>
      <w:tr w:rsidR="000B7506" w14:paraId="1A156055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7657CE" w14:textId="77777777" w:rsidR="000B7506" w:rsidRDefault="00CE0EF0">
            <w:r>
              <w:t>Motor Int</w:t>
            </w:r>
            <w:r>
              <w:t>eligente de Procesamiento Documental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135818" w14:textId="77777777" w:rsidR="000B7506" w:rsidRDefault="00CE0EF0">
            <w:r>
              <w:t>(no existe — se crea en Fase 0)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277DE4" w14:textId="77777777" w:rsidR="000B7506" w:rsidRDefault="00CE0EF0">
            <w:r>
              <w:t>Sin tablas propias de negocio; opcionalmente una bitácora de invocaciones al servicio (documento, tipo detectado, resultado, nivel de confianza) referenciada desde la tabla de aud</w:t>
            </w:r>
            <w:r>
              <w:t>itoría general. Sin acceso directo a ninguna otra tabla del sistema.</w:t>
            </w:r>
          </w:p>
        </w:tc>
      </w:tr>
      <w:tr w:rsidR="000B7506" w14:paraId="01FCE4A0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D61D0" w14:textId="77777777" w:rsidR="000B7506" w:rsidRDefault="00CE0EF0">
            <w:r>
              <w:t>Gemini API (integración externa, 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3E469A" w14:textId="77777777" w:rsidR="000B7506" w:rsidRDefault="00CE0EF0">
            <w:r>
              <w:t>(no aplica — servicio externo)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733D9" w14:textId="77777777" w:rsidR="000B7506" w:rsidRDefault="00CE0EF0">
            <w:r>
              <w:t>Sin tablas propias; credenciales exclusivamente en Google Secret Manager; consumido únicamente desde el backend, nunca expuesto al frontend ni al usuario final.</w:t>
            </w:r>
          </w:p>
        </w:tc>
      </w:tr>
      <w:tr w:rsidR="000B7506" w14:paraId="525AB540" w14:textId="77777777">
        <w:tc>
          <w:tcPr>
            <w:tcW w:w="1637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DB8AF7" w14:textId="77777777" w:rsidR="000B7506" w:rsidRDefault="00CE0EF0">
            <w:r>
              <w:t>Transversal (nueva)</w:t>
            </w:r>
          </w:p>
        </w:tc>
        <w:tc>
          <w:tcPr>
            <w:tcW w:w="3592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6F1274" w14:textId="77777777" w:rsidR="000B7506" w:rsidRDefault="00CE0EF0">
            <w:r>
              <w:t>(no existe — se crea en Fase 0)</w:t>
            </w:r>
          </w:p>
        </w:tc>
        <w:tc>
          <w:tcPr>
            <w:tcW w:w="417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23CC20" w14:textId="77777777" w:rsidR="000B7506" w:rsidRDefault="00CE0EF0">
            <w:r>
              <w:t>Tabla de auditoría inmutable (bitacora_aud</w:t>
            </w:r>
            <w:r>
              <w:t>itoria o equivalente): usuario_id, timestamp, accion, modulo, registro_afectado_id, ip, resultado. Sin permisos de UPDATE/DELETE a nivel de motor de base de datos, incluso para roles administrativos de la aplicación.</w:t>
            </w:r>
          </w:p>
        </w:tc>
      </w:tr>
    </w:tbl>
    <w:p w14:paraId="7CE838FB" w14:textId="77777777" w:rsidR="000B7506" w:rsidRDefault="00CE0EF0">
      <w:pPr>
        <w:pStyle w:val="Ttulo2"/>
        <w:spacing w:before="280" w:after="160"/>
      </w:pPr>
      <w:r>
        <w:rPr>
          <w:b/>
          <w:bCs/>
        </w:rPr>
        <w:t>Reglas de refactorización</w:t>
      </w:r>
    </w:p>
    <w:p w14:paraId="73DEE220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Ninguna tabl</w:t>
      </w:r>
      <w:r>
        <w:rPr>
          <w:color w:val="000000"/>
          <w:sz w:val="21"/>
          <w:szCs w:val="21"/>
        </w:rPr>
        <w:t>a existente se elimina o renombra sin documentar el impacto en los módulos que ya la consumen.</w:t>
      </w:r>
    </w:p>
    <w:p w14:paraId="4895EA06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Toda tabla con datos sensibles debe exponer una columna (directa o vía FK) que permita resolver su alcance (GLOBAL/SOCIEDAD/PROYECTO/CENTRO) sin JOINs costosos e</w:t>
      </w:r>
      <w:r>
        <w:rPr>
          <w:color w:val="000000"/>
          <w:sz w:val="21"/>
          <w:szCs w:val="21"/>
        </w:rPr>
        <w:t>n cada consulta.</w:t>
      </w:r>
    </w:p>
    <w:p w14:paraId="3A3FC085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Los ajustes de esquema se versionan como migraciones de Django, nunca como cambios manuales directos en Cloud SQL.</w:t>
      </w:r>
    </w:p>
    <w:p w14:paraId="3AC98E13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lastRenderedPageBreak/>
        <w:t>Si un requerimiento de un módulo no encaja con las tablas existentes, se señala explícitamente antes de forzar el modelo — n</w:t>
      </w:r>
      <w:r>
        <w:rPr>
          <w:color w:val="000000"/>
          <w:sz w:val="21"/>
          <w:szCs w:val="21"/>
        </w:rPr>
        <w:t>o se improvisan columnas "temporales".</w:t>
      </w:r>
    </w:p>
    <w:p w14:paraId="615C4DFC" w14:textId="77777777" w:rsidR="000B7506" w:rsidRDefault="00CE0EF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/>
        <w:jc w:val="left"/>
      </w:pPr>
      <w:r>
        <w:rPr>
          <w:color w:val="000000"/>
          <w:sz w:val="21"/>
          <w:szCs w:val="21"/>
        </w:rPr>
        <w:t>El Motor Inteligente de Procesamiento Documental nunca debe implementarse con acceso directo a la base de datos; toda persistencia ocurre a través del backend del módulo consumidor, tras validación y confirmación explícita del usuario.</w:t>
      </w:r>
    </w:p>
    <w:p w14:paraId="2D28A9A5" w14:textId="77777777" w:rsidR="000B7506" w:rsidRDefault="00CE0EF0">
      <w:pPr>
        <w:pStyle w:val="Ttulo1"/>
        <w:spacing w:before="320" w:after="200"/>
      </w:pPr>
      <w:r>
        <w:rPr>
          <w:b/>
          <w:bCs/>
        </w:rPr>
        <w:t xml:space="preserve">4. Matriz de Reglas </w:t>
      </w:r>
      <w:r>
        <w:rPr>
          <w:b/>
          <w:bCs/>
        </w:rPr>
        <w:t>de Negocio y Seguridad No Negociables</w:t>
      </w:r>
    </w:p>
    <w:tbl>
      <w:tblPr>
        <w:tblStyle w:val="a2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93"/>
        <w:gridCol w:w="4546"/>
        <w:gridCol w:w="3061"/>
      </w:tblGrid>
      <w:tr w:rsidR="000B7506" w14:paraId="4051205B" w14:textId="77777777">
        <w:trPr>
          <w:tblHeader/>
        </w:trPr>
        <w:tc>
          <w:tcPr>
            <w:tcW w:w="1993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00E467" w14:textId="77777777" w:rsidR="000B7506" w:rsidRDefault="00CE0EF0">
            <w:r>
              <w:rPr>
                <w:b/>
                <w:bCs/>
              </w:rPr>
              <w:t>Regla</w:t>
            </w:r>
          </w:p>
        </w:tc>
        <w:tc>
          <w:tcPr>
            <w:tcW w:w="4546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70582" w14:textId="77777777" w:rsidR="000B7506" w:rsidRDefault="00CE0EF0">
            <w:r>
              <w:rPr>
                <w:b/>
                <w:bCs/>
              </w:rPr>
              <w:t>Descripción</w:t>
            </w:r>
          </w:p>
        </w:tc>
        <w:tc>
          <w:tcPr>
            <w:tcW w:w="3061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AB07A5" w14:textId="77777777" w:rsidR="000B7506" w:rsidRDefault="00CE0EF0">
            <w:r>
              <w:rPr>
                <w:b/>
                <w:bCs/>
              </w:rPr>
              <w:t>Aplica a</w:t>
            </w:r>
          </w:p>
        </w:tc>
      </w:tr>
      <w:tr w:rsidR="000B7506" w14:paraId="4E22A9BB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530D9E" w14:textId="77777777" w:rsidR="000B7506" w:rsidRDefault="00CE0EF0">
            <w:r>
              <w:t>Interfaz 100% en español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3E0F9C" w14:textId="77777777" w:rsidR="000B7506" w:rsidRDefault="00CE0EF0">
            <w:r>
              <w:t xml:space="preserve">Todas las etiquetas, botones, mensajes de error y textos visibles al usuario final están en español. Términos técnicos/financieros estándar (TIR, VPN, m², MXN, USD) </w:t>
            </w:r>
            <w:r>
              <w:t>se mantienen en su forma habitual. Código y comentarios internos pueden estar en inglés.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E9A9C3" w14:textId="77777777" w:rsidR="000B7506" w:rsidRDefault="00CE0EF0">
            <w:r>
              <w:t>Todos los módulos, frontend Next.js</w:t>
            </w:r>
          </w:p>
        </w:tc>
      </w:tr>
      <w:tr w:rsidR="000B7506" w14:paraId="345D5072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D64992" w14:textId="77777777" w:rsidR="000B7506" w:rsidRDefault="00CE0EF0">
            <w:r>
              <w:t>Cero contraseñas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D12954" w14:textId="77777777" w:rsidR="000B7506" w:rsidRDefault="00CE0EF0">
            <w:r>
              <w:t>Autenticación exclusivamente vía Google Workspace OIDC (usuarios internos) o Magic Links de un solo uso, expiración de 7 días (usuarios externos). Ningún flujo de login con contraseña.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2B3357" w14:textId="77777777" w:rsidR="000B7506" w:rsidRDefault="00CE0EF0">
            <w:r>
              <w:t>Todos los módulos</w:t>
            </w:r>
          </w:p>
        </w:tc>
      </w:tr>
      <w:tr w:rsidR="000B7506" w14:paraId="31ADE678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3F5F5" w14:textId="77777777" w:rsidR="000B7506" w:rsidRDefault="00CE0EF0">
            <w:r>
              <w:t>RLS por alcance (GLOBAL / SOCIEDAD / PROYECTO / CENT</w:t>
            </w:r>
            <w:r>
              <w:t>RO)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5FC253" w14:textId="77777777" w:rsidR="000B7506" w:rsidRDefault="00CE0EF0">
            <w:r>
              <w:t>Todo QuerySet de Django debe filtrarse según el alcance del usuario autenticado, implementado en la cláusula WHERE de la consulta — nunca únicamente en la capa de presentación.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AEA99D" w14:textId="77777777" w:rsidR="000B7506" w:rsidRDefault="00CE0EF0">
            <w:r>
              <w:t>Todos los módulos, sin excepción</w:t>
            </w:r>
          </w:p>
        </w:tc>
      </w:tr>
      <w:tr w:rsidR="000B7506" w14:paraId="0FBC503C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6F5BF0" w14:textId="77777777" w:rsidR="000B7506" w:rsidRDefault="00CE0EF0">
            <w:r>
              <w:t>Auditoría inmutable (append-only)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626F7EF" w14:textId="77777777" w:rsidR="000B7506" w:rsidRDefault="00CE0EF0">
            <w:r>
              <w:t>Toda ac</w:t>
            </w:r>
            <w:r>
              <w:t>ción que modifique datos o acceda a información sensible se registra: usuario, fecha/hora, acción, módulo, registro afectado, IP, resultado. Ningún rol —incluido Super Admin— puede borrar una entrada de auditoría.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2351D" w14:textId="77777777" w:rsidR="000B7506" w:rsidRDefault="00CE0EF0">
            <w:r>
              <w:t>Todos los módulos</w:t>
            </w:r>
          </w:p>
        </w:tc>
      </w:tr>
      <w:tr w:rsidR="000B7506" w14:paraId="42EF9004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5ED833" w14:textId="77777777" w:rsidR="000B7506" w:rsidRDefault="00CE0EF0">
            <w:r>
              <w:t>Motor Inteligente de Pr</w:t>
            </w:r>
            <w:r>
              <w:t>ocesamiento Documental (Gemini API)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990487" w14:textId="77777777" w:rsidR="000B7506" w:rsidRDefault="00CE0EF0">
            <w:r>
              <w:t xml:space="preserve">Servicio transversal que analiza documentos PDF/imágenes y devuelve JSON estructurado; nunca escribe directamente en base de datos ni almacena archivos. El usuario nunca interactúa con la IA ni con los prompts </w:t>
            </w:r>
            <w:r>
              <w:lastRenderedPageBreak/>
              <w:t xml:space="preserve">internos: </w:t>
            </w:r>
            <w:r>
              <w:t xml:space="preserve">la clasificación, el prompt y la validación son responsabilidad exclusiva del backend. Dato ausente en el documento = null; nunca se infiere ni se inventa información. Toda persistencia requiere validación del backend y confirmación explícita del usuario. </w:t>
            </w:r>
            <w:r>
              <w:t>Google Cloud Document AI queda documentado únicamente como alternativa futura para necesidades especializadas o regulatorias.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4F8D60" w14:textId="77777777" w:rsidR="000B7506" w:rsidRDefault="00CE0EF0">
            <w:r>
              <w:lastRenderedPageBreak/>
              <w:t>PLD, Compras/Tesorería/Materiales, RRHH y cualquier módulo futuro que lo reutilice</w:t>
            </w:r>
          </w:p>
        </w:tc>
      </w:tr>
      <w:tr w:rsidR="000B7506" w14:paraId="75B5B4C3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74B1E8" w14:textId="77777777" w:rsidR="000B7506" w:rsidRDefault="00CE0EF0">
            <w:r>
              <w:t>Sistema de diseño estricto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DA03EC" w14:textId="77777777" w:rsidR="000B7506" w:rsidRDefault="00CE0EF0">
            <w:r>
              <w:t xml:space="preserve">Azul de marca #1C75BC (acciones primarias/enlaces), Charcoal #343741 (sidebar/encabezados), fondo #F1F3F5; tipografía DM Sans (cuerpo, 13px) y DM Mono (cifras, tabular-nums); iconografía exclusivamente Lucide, grosor 1.5, nunca emoji. Tokens implementados </w:t>
            </w:r>
            <w:r>
              <w:t>como tema centralizado de Material UI (createTheme), no como estilos sueltos por componente.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D54B47" w14:textId="77777777" w:rsidR="000B7506" w:rsidRDefault="00CE0EF0">
            <w:r>
              <w:t>Frontend Next.js, todos los módulos</w:t>
            </w:r>
          </w:p>
        </w:tc>
      </w:tr>
      <w:tr w:rsidR="000B7506" w14:paraId="2426911B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E4921A" w14:textId="77777777" w:rsidR="000B7506" w:rsidRDefault="00CE0EF0">
            <w:r>
              <w:t>Secretos únicamente en Google Secret Manager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C5D3A1" w14:textId="77777777" w:rsidR="000B7506" w:rsidRDefault="00CE0EF0">
            <w:r>
              <w:t>Ninguna clave de API o credencial —incluida la credencial de Gemini API— se coloca directamente en código ni se registra en logs.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547558" w14:textId="77777777" w:rsidR="000B7506" w:rsidRDefault="00CE0EF0">
            <w:r>
              <w:t>Backend Django, integraciones externas</w:t>
            </w:r>
          </w:p>
        </w:tc>
      </w:tr>
      <w:tr w:rsidR="000B7506" w14:paraId="7BCE75A2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996E01" w14:textId="77777777" w:rsidR="000B7506" w:rsidRDefault="00CE0EF0">
            <w:r>
              <w:t>Sin almacenamiento local de archivos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1E1B37" w14:textId="77777777" w:rsidR="000B7506" w:rsidRDefault="00CE0EF0">
            <w:r>
              <w:t>Todo documento se transmite (streaming) vía Googl</w:t>
            </w:r>
            <w:r>
              <w:t>e Drive API; el servidor de la aplicación no persiste archivos en disco. Los documentos enviados temporalmente a Gemini API para su análisis tampoco se persisten localmente.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906FAC0" w14:textId="77777777" w:rsidR="000B7506" w:rsidRDefault="00CE0EF0">
            <w:r>
              <w:t>PLD, RRHH, Vivienda/Edificios, Compras/Tesorería/Materiales</w:t>
            </w:r>
          </w:p>
        </w:tc>
      </w:tr>
      <w:tr w:rsidR="000B7506" w14:paraId="4FE039E6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83B88B" w14:textId="77777777" w:rsidR="000B7506" w:rsidRDefault="00CE0EF0">
            <w:r>
              <w:t>Páginas públicas prot</w:t>
            </w:r>
            <w:r>
              <w:t>egidas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4B8D87" w14:textId="77777777" w:rsidR="000B7506" w:rsidRDefault="00CE0EF0">
            <w:r>
              <w:t>Formularios de solicitud de empleo, captación de clientes y KYC requieren límite de solicitudes (rate limiting), detección de bots y reCAPTCHA.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81567F" w14:textId="77777777" w:rsidR="000B7506" w:rsidRDefault="00CE0EF0">
            <w:r>
              <w:t>RRHH, Ventas/Vivienda/Edificios, PLD</w:t>
            </w:r>
          </w:p>
        </w:tc>
      </w:tr>
      <w:tr w:rsidR="000B7506" w14:paraId="681B65AC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1A1ED1" w14:textId="77777777" w:rsidR="000B7506" w:rsidRDefault="00CE0EF0">
            <w:r>
              <w:t>Firma electrónica dual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1D3834" w14:textId="77777777" w:rsidR="000B7506" w:rsidRDefault="00CE0EF0">
            <w:r>
              <w:t>Firmenti para documentos de Nivel A (validez</w:t>
            </w:r>
            <w:r>
              <w:t xml:space="preserve"> legal plena, p. ej. contratos </w:t>
            </w:r>
            <w:r>
              <w:lastRenderedPageBreak/>
              <w:t>laborales); DocuSeal para Nivel B (estándar, p. ej. ofertas de trabajo).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01FB87" w14:textId="77777777" w:rsidR="000B7506" w:rsidRDefault="00CE0EF0">
            <w:r>
              <w:lastRenderedPageBreak/>
              <w:t>RRHH y cualquier módulo con documentos firmables</w:t>
            </w:r>
          </w:p>
        </w:tc>
      </w:tr>
      <w:tr w:rsidR="000B7506" w14:paraId="682073C4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186C98" w14:textId="77777777" w:rsidR="000B7506" w:rsidRDefault="00CE0EF0">
            <w:r>
              <w:t>Plantillas, no generación libre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0AFFC1" w14:textId="77777777" w:rsidR="000B7506" w:rsidRDefault="00CE0EF0">
            <w:r>
              <w:t>Contratos, cartas y formularios se combinan sobre plantillas .docx con</w:t>
            </w:r>
            <w:r>
              <w:t xml:space="preserve"> marcadores de posición; el sistema no genera el documento desde cero.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023E64" w14:textId="77777777" w:rsidR="000B7506" w:rsidRDefault="00CE0EF0">
            <w:r>
              <w:t>RRHH, Ventas/Vivienda/Edificios, Compras/Tesorería/Materiales</w:t>
            </w:r>
          </w:p>
        </w:tc>
      </w:tr>
      <w:tr w:rsidR="000B7506" w14:paraId="729DDC09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06268E" w14:textId="77777777" w:rsidR="000B7506" w:rsidRDefault="00CE0EF0">
            <w:r>
              <w:t>Formato numérico y de fecha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01F532" w14:textId="77777777" w:rsidR="000B7506" w:rsidRDefault="00CE0EF0">
            <w:r>
              <w:t>Cifras en formato tabular/monoespaciado, moneda a 2 decimales, separador de miles con coma (1,234,567.00). Fechas en formato DD/MMM/AAAA, con formato relativo en feeds de actividad reciente.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285050" w14:textId="77777777" w:rsidR="000B7506" w:rsidRDefault="00CE0EF0">
            <w:r>
              <w:t>Todos los módulos, frontend</w:t>
            </w:r>
          </w:p>
        </w:tc>
      </w:tr>
      <w:tr w:rsidR="000B7506" w14:paraId="60B12FAC" w14:textId="77777777">
        <w:tc>
          <w:tcPr>
            <w:tcW w:w="19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0F3058" w14:textId="77777777" w:rsidR="000B7506" w:rsidRDefault="00CE0EF0">
            <w:r>
              <w:t xml:space="preserve">Presupuesto automatizado con firmas </w:t>
            </w:r>
            <w:r>
              <w:t>y exportación (pendiente de confirmación)</w:t>
            </w:r>
          </w:p>
        </w:tc>
        <w:tc>
          <w:tcPr>
            <w:tcW w:w="4546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BE692D" w14:textId="77777777" w:rsidR="000B7506" w:rsidRDefault="00CE0EF0">
            <w:r>
              <w:t>El precio unitario en Conceptos se extrae automáticamente de la Tabla de Materiales/cotizaciones — nunca se captura a mano mientras exista una cotización vigente. El presupuesto cierra con un apartado de firmas y s</w:t>
            </w:r>
            <w:r>
              <w:t>e exporta a hoja de cálculo (.xlsx asumido) al finalizar la página. Abierto: confirmar con Rubén/Dylan el formato exacto de exportación y si las firmas requieren validez legal (Firmenti/DocuSeal) o registro interno.</w:t>
            </w:r>
          </w:p>
        </w:tc>
        <w:tc>
          <w:tcPr>
            <w:tcW w:w="3061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D5A895" w14:textId="77777777" w:rsidR="000B7506" w:rsidRDefault="00CE0EF0">
            <w:r>
              <w:t>Ventas/Vivienda/Edificios</w:t>
            </w:r>
          </w:p>
        </w:tc>
      </w:tr>
    </w:tbl>
    <w:p w14:paraId="087EC7A2" w14:textId="77777777" w:rsidR="000B7506" w:rsidRDefault="00CE0EF0">
      <w:pPr>
        <w:spacing w:before="80" w:after="200"/>
      </w:pPr>
      <w:r>
        <w:rPr>
          <w:i/>
          <w:iCs/>
        </w:rPr>
        <w:t>Cualquier dud</w:t>
      </w:r>
      <w:r>
        <w:rPr>
          <w:i/>
          <w:iCs/>
        </w:rPr>
        <w:t>a sobre si un dato requiere filtrado por RLS se resuelve asumiendo que sí lo requiere y escalando la pregunta — no se asume lo contrario.</w:t>
      </w:r>
    </w:p>
    <w:p w14:paraId="02BD45C8" w14:textId="77777777" w:rsidR="000B7506" w:rsidRDefault="00CE0EF0">
      <w:pPr>
        <w:pStyle w:val="Ttulo1"/>
        <w:spacing w:before="320" w:after="200"/>
      </w:pPr>
      <w:r>
        <w:rPr>
          <w:b/>
          <w:bCs/>
        </w:rPr>
        <w:t>5. Definición de Hitos de Entrega (Milestones) y Criterios de Aceptación</w:t>
      </w:r>
    </w:p>
    <w:tbl>
      <w:tblPr>
        <w:tblStyle w:val="a3"/>
        <w:tblW w:w="96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93"/>
        <w:gridCol w:w="1464"/>
        <w:gridCol w:w="6243"/>
      </w:tblGrid>
      <w:tr w:rsidR="000B7506" w14:paraId="637638C9" w14:textId="77777777">
        <w:trPr>
          <w:tblHeader/>
        </w:trPr>
        <w:tc>
          <w:tcPr>
            <w:tcW w:w="1893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2AB86A" w14:textId="77777777" w:rsidR="000B7506" w:rsidRDefault="00CE0EF0">
            <w:r>
              <w:rPr>
                <w:b/>
                <w:bCs/>
              </w:rPr>
              <w:t>Hito</w:t>
            </w:r>
          </w:p>
        </w:tc>
        <w:tc>
          <w:tcPr>
            <w:tcW w:w="1464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F17B2D" w14:textId="77777777" w:rsidR="000B7506" w:rsidRDefault="00CE0EF0">
            <w:r>
              <w:rPr>
                <w:b/>
                <w:bCs/>
              </w:rPr>
              <w:t>Fecha objetivo</w:t>
            </w:r>
          </w:p>
        </w:tc>
        <w:tc>
          <w:tcPr>
            <w:tcW w:w="6243" w:type="dxa"/>
            <w:shd w:val="clear" w:color="auto" w:fill="F1F3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0F2E75" w14:textId="77777777" w:rsidR="000B7506" w:rsidRDefault="00CE0EF0">
            <w:r>
              <w:rPr>
                <w:b/>
                <w:bCs/>
              </w:rPr>
              <w:t>Criterios de aceptación</w:t>
            </w:r>
          </w:p>
        </w:tc>
      </w:tr>
      <w:tr w:rsidR="000B7506" w14:paraId="0495DD52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6D61A4" w14:textId="77777777" w:rsidR="000B7506" w:rsidRDefault="00CE0EF0">
            <w:r>
              <w:t xml:space="preserve">M0 — Arquitectura base y Motor </w:t>
            </w:r>
            <w:r>
              <w:lastRenderedPageBreak/>
              <w:t>Documental listos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47BCA1" w14:textId="77777777" w:rsidR="000B7506" w:rsidRDefault="00CE0EF0">
            <w:r>
              <w:lastRenderedPageBreak/>
              <w:t>14/Ago/2026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1C1D1E" w14:textId="77777777" w:rsidR="000B7506" w:rsidRDefault="00CE0EF0">
            <w:r>
              <w:t>Conexión Django ↔ Cloud SQL verificada en dev/staging; tabla de auditoría inmutable creada y probada (intento de DELETE/UPDATE rechazado a nivel de motor); pipeline de CI/CD ejecutando build + p</w:t>
            </w:r>
            <w:r>
              <w:t xml:space="preserve">ruebas en cada commit; Motor </w:t>
            </w:r>
            <w:r>
              <w:lastRenderedPageBreak/>
              <w:t>Inteligente de Procesamiento Documental integrado con Gemini API y probado con al menos un tipo documental de referencia, sin escritura directa a base de datos.</w:t>
            </w:r>
          </w:p>
        </w:tc>
      </w:tr>
      <w:tr w:rsidR="000B7506" w14:paraId="7393023A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5848F7" w14:textId="77777777" w:rsidR="000B7506" w:rsidRDefault="00CE0EF0">
            <w:r>
              <w:lastRenderedPageBreak/>
              <w:t>M1 — Admin (IAM) en producción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F3EBB8" w14:textId="77777777" w:rsidR="000B7506" w:rsidRDefault="00CE0EF0">
            <w:r>
              <w:t>04/Sep/2026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A6D054" w14:textId="77777777" w:rsidR="000B7506" w:rsidRDefault="00CE0EF0">
            <w:r>
              <w:t>Login funcional vía Go</w:t>
            </w:r>
            <w:r>
              <w:t>ogle OIDC (interno) y Magic Link (externo); asignación de roles con alcance operativa en los cuatro niveles; bitácora de auditoría visible y filtrable; ningún endpoint de prueba devuelve datos fuera del alcance asignado al usuario de prueba.</w:t>
            </w:r>
          </w:p>
        </w:tc>
      </w:tr>
      <w:tr w:rsidR="000B7506" w14:paraId="7557A841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C9517F" w14:textId="77777777" w:rsidR="000B7506" w:rsidRDefault="00CE0EF0">
            <w:r>
              <w:t>M2 — PLD / Cumplimiento en producción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85AAA" w14:textId="77777777" w:rsidR="000B7506" w:rsidRDefault="00CE0EF0">
            <w:r>
              <w:t>02/Oct/2026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CB0A51" w14:textId="77777777" w:rsidR="000B7506" w:rsidRDefault="00CE0EF0">
            <w:r>
              <w:t>Expediente KYC completo (documentos + validación + aprobación) probado de forma autónoma, sin depender de otros módulos; Motor Inteligente de Procesamiento Documental validado como primer consumidor en la e</w:t>
            </w:r>
            <w:r>
              <w:t>xtracción de documentos KYC (INE, RFC, actas constitutivas, poderes notariales, entre otros); reporte de cumplimiento exportable; base de la aplicación piloto independiente de PLD documentada.</w:t>
            </w:r>
          </w:p>
        </w:tc>
      </w:tr>
      <w:tr w:rsidR="000B7506" w14:paraId="10637947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DEB5DB" w14:textId="77777777" w:rsidR="000B7506" w:rsidRDefault="00CE0EF0">
            <w:r>
              <w:t>M3 — Ventas / Vivienda y Edificios en producción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F3704C" w14:textId="77777777" w:rsidR="000B7506" w:rsidRDefault="00CE0EF0">
            <w:r>
              <w:t>13/Nov/2026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7D001" w14:textId="77777777" w:rsidR="000B7506" w:rsidRDefault="00CE0EF0">
            <w:r>
              <w:t>P</w:t>
            </w:r>
            <w:r>
              <w:t>resupuesto calculado correctamente para Vivienda y Edificios; Tabla de Materiales autónoma integrada y consumida por Conceptos con precio unitario automático desde cotizaciones vigentes; presupuesto exportable a hoja de cálculo con apartado de firmas compl</w:t>
            </w:r>
            <w:r>
              <w:t>eto; reporte de avance de obra con flujo trabajador→supervisor operativo; página pública de captación protegida y generando expedientes de cliente listos para su reconciliación posterior.</w:t>
            </w:r>
          </w:p>
        </w:tc>
      </w:tr>
      <w:tr w:rsidR="000B7506" w14:paraId="5F240D4D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305FA3" w14:textId="77777777" w:rsidR="000B7506" w:rsidRDefault="00CE0EF0">
            <w:r>
              <w:t>M4 — Compras / Tesorería / Materiales en producción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D1D350" w14:textId="77777777" w:rsidR="000B7506" w:rsidRDefault="00CE0EF0">
            <w:r>
              <w:t>18/Dic/2026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9A44CD2" w14:textId="77777777" w:rsidR="000B7506" w:rsidRDefault="00CE0EF0">
            <w:r>
              <w:t>Cat</w:t>
            </w:r>
            <w:r>
              <w:t>álogo de materiales extendido y reconciliado con el generado en Fase 3; automatización de captura de cotizaciones y facturas vía Motor Inteligente de Procesamiento Documental validada de extremo a extremo; contraparte maestra compartida operando como fuent</w:t>
            </w:r>
            <w:r>
              <w:t>e única de verdad, reconciliando los registros autónomos de Ventas y PLD; conciliación bancaria correcta sobre un periodo de prueba; reporte de flujo de efectivo generado sin discrepancias; RLS por SOCIEDAD verificado con al menos dos empresas de prueba.</w:t>
            </w:r>
          </w:p>
        </w:tc>
      </w:tr>
      <w:tr w:rsidR="000B7506" w14:paraId="67FB2663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1F1ADE" w14:textId="77777777" w:rsidR="000B7506" w:rsidRDefault="00CE0EF0">
            <w:r>
              <w:lastRenderedPageBreak/>
              <w:t>M5 — RRHH y Talento en producción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566C9A" w14:textId="77777777" w:rsidR="000B7506" w:rsidRDefault="00CE0EF0">
            <w:r>
              <w:t>22/Ene/2027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90FB08" w14:textId="77777777" w:rsidR="000B7506" w:rsidRDefault="00CE0EF0">
            <w:r>
              <w:t>Flujo de contratación de punta a punta (candidato → firma → alta en IAM) probado con un caso real; portal MiCumbres accesible y mostrando datos propios del colaborador únicamente; firma electrónica Firmenti/Doc</w:t>
            </w:r>
            <w:r>
              <w:t>uSeal validada con documentos de prueba; validación documental de onboarding mediante el Motor Inteligente de Procesamiento Documental operativa.</w:t>
            </w:r>
          </w:p>
        </w:tc>
      </w:tr>
      <w:tr w:rsidR="000B7506" w14:paraId="77CA2A8A" w14:textId="77777777">
        <w:tc>
          <w:tcPr>
            <w:tcW w:w="189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FCA4EB" w14:textId="77777777" w:rsidR="000B7506" w:rsidRDefault="00CE0EF0">
            <w:r>
              <w:t>M6 — Cierre de MVP</w:t>
            </w:r>
          </w:p>
        </w:tc>
        <w:tc>
          <w:tcPr>
            <w:tcW w:w="1464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4F95FF" w14:textId="77777777" w:rsidR="000B7506" w:rsidRDefault="00CE0EF0">
            <w:r>
              <w:t>29/Ene/2027</w:t>
            </w:r>
          </w:p>
        </w:tc>
        <w:tc>
          <w:tcPr>
            <w:tcW w:w="6243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3A548B" w14:textId="77777777" w:rsidR="000B7506" w:rsidRDefault="00CE0EF0">
            <w:r>
              <w:t xml:space="preserve">UAT integral aprobada por la Dirección sobre los seis módulos (Admin/IAM, PLD, Ventas/Vivienda/Edificios, Compras/Tesorería/Materiales y RRHH); cero hallazgos críticos de seguridad o RLS abiertos; Motor Inteligente de Procesamiento Documental (Gemini API) </w:t>
            </w:r>
            <w:r>
              <w:t>validado de forma consistente en los módulos que lo reutilizan; sistema de diseño aplicado de forma consistente en el 100% de las pantallas; firma formal de aceptación del MVP.</w:t>
            </w:r>
          </w:p>
        </w:tc>
      </w:tr>
    </w:tbl>
    <w:p w14:paraId="21CEEC5E" w14:textId="77777777" w:rsidR="000B7506" w:rsidRDefault="00CE0EF0">
      <w:pPr>
        <w:spacing w:before="80" w:after="200"/>
      </w:pPr>
      <w:r>
        <w:rPr>
          <w:i/>
          <w:iCs/>
        </w:rPr>
        <w:t>Regla de cierre de fase: ningún módulo pasa a "Aceptado" sin evidencia documentada de (a) prueba de RLS cruzada entre al menos dos usuarios con distinto alcance, y (b) revisión de que sus acciones sensibles quedan registradas en la bitácora de auditoría.</w:t>
      </w:r>
    </w:p>
    <w:p w14:paraId="1A4E8BEC" w14:textId="77777777" w:rsidR="000B7506" w:rsidRDefault="00CE0EF0">
      <w:pPr>
        <w:spacing w:after="80"/>
      </w:pPr>
      <w:r>
        <w:rPr>
          <w:b/>
          <w:bCs/>
          <w:i/>
          <w:iCs/>
        </w:rPr>
        <w:t>G</w:t>
      </w:r>
      <w:r>
        <w:rPr>
          <w:b/>
          <w:bCs/>
          <w:i/>
          <w:iCs/>
        </w:rPr>
        <w:t>oogle Cloud</w:t>
      </w:r>
    </w:p>
    <w:p w14:paraId="525A91EF" w14:textId="77777777" w:rsidR="000B7506" w:rsidRDefault="00CE0EF0">
      <w:pPr>
        <w:spacing w:after="80"/>
      </w:pPr>
      <w:hyperlink r:id="rId6">
        <w:r>
          <w:rPr>
            <w:b/>
            <w:bCs/>
            <w:i/>
            <w:iCs/>
            <w:color w:val="1C75BC"/>
            <w:u w:val="single"/>
          </w:rPr>
          <w:t>Cotización Cloud SQL</w:t>
        </w:r>
      </w:hyperlink>
    </w:p>
    <w:p w14:paraId="779D5650" w14:textId="77777777" w:rsidR="000B7506" w:rsidRDefault="00CE0EF0">
      <w:pPr>
        <w:spacing w:after="80"/>
      </w:pPr>
      <w:hyperlink r:id="rId7">
        <w:r>
          <w:rPr>
            <w:b/>
            <w:bCs/>
            <w:i/>
            <w:iCs/>
            <w:color w:val="1C75BC"/>
            <w:u w:val="single"/>
          </w:rPr>
          <w:t>Cotización Directa Cloud SQL</w:t>
        </w:r>
      </w:hyperlink>
    </w:p>
    <w:p w14:paraId="6A0528C1" w14:textId="77777777" w:rsidR="000B7506" w:rsidRDefault="00CE0EF0">
      <w:pPr>
        <w:spacing w:after="80"/>
      </w:pPr>
      <w:hyperlink r:id="rId8">
        <w:r>
          <w:rPr>
            <w:i/>
            <w:iCs/>
            <w:color w:val="1C75BC"/>
            <w:u w:val="single"/>
          </w:rPr>
          <w:t>https://docs.cloud.google.com/run/docs/quickstarts/build-and-deploy/deploy-node</w:t>
        </w:r>
        <w:r>
          <w:rPr>
            <w:i/>
            <w:iCs/>
            <w:color w:val="1C75BC"/>
            <w:u w:val="single"/>
          </w:rPr>
          <w:t>js-service?hl=es</w:t>
        </w:r>
      </w:hyperlink>
    </w:p>
    <w:sectPr w:rsidR="000B7506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M Sans">
    <w:charset w:val="00"/>
    <w:family w:val="auto"/>
    <w:pitch w:val="default"/>
    <w:embedRegular r:id="rId1" w:fontKey="{5291BD2A-C4BD-4569-8114-1A40E46DD318}"/>
    <w:embedBold r:id="rId2" w:fontKey="{3ADFAB8C-7848-4473-BDBB-3ABF8BBFC2D1}"/>
    <w:embedItalic r:id="rId3" w:fontKey="{05A1C663-6E54-4286-88B3-CF15C2E3EA5D}"/>
    <w:embedBoldItalic r:id="rId4" w:fontKey="{87EB82BD-CAC1-469C-B3AA-42E65D58DCDB}"/>
  </w:font>
  <w:font w:name="Georgia">
    <w:panose1 w:val="02040502050405020303"/>
    <w:charset w:val="00"/>
    <w:family w:val="auto"/>
    <w:pitch w:val="default"/>
    <w:embedItalic r:id="rId5" w:fontKey="{6479F0B7-BE59-4D2D-B24D-CAE1CE4E3C0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CEA08E24-4C48-44E4-BE16-0043119DD6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E650134-99B1-4E45-BF83-32BC0F4C63A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BB6856"/>
    <w:multiLevelType w:val="multilevel"/>
    <w:tmpl w:val="0E2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451A93"/>
    <w:multiLevelType w:val="multilevel"/>
    <w:tmpl w:val="3DCE5B1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7506"/>
    <w:rsid w:val="000B7506"/>
    <w:rsid w:val="00CE0E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D1E46"/>
  <w15:docId w15:val="{34BF5761-6548-4DF9-B6C5-74431960E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DM Sans" w:eastAsia="DM Sans" w:hAnsi="DM Sans" w:cs="DM Sans"/>
        <w:sz w:val="22"/>
        <w:szCs w:val="22"/>
        <w:lang w:val="es-MX" w:eastAsia="es-MX" w:bidi="ar-SA"/>
      </w:rPr>
    </w:rPrDefault>
    <w:pPrDefault>
      <w:pPr>
        <w:spacing w:after="1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3"/>
    </w:pPr>
    <w:rPr>
      <w:i/>
      <w:iCs/>
      <w:color w:val="2E74B5"/>
      <w:sz w:val="21"/>
      <w:szCs w:val="2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4"/>
    </w:pPr>
    <w:rPr>
      <w:color w:val="2E74B5"/>
      <w:sz w:val="21"/>
      <w:szCs w:val="2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  <w:outlineLvl w:val="5"/>
    </w:pPr>
    <w:rPr>
      <w:color w:val="1F4D7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after="0"/>
      <w:jc w:val="left"/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customStyle="1" w:styleId="code-line">
    <w:name w:val="code-line"/>
    <w:basedOn w:val="Normal"/>
    <w:rsid w:val="00CE0EF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CE0EF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48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cloud.google.com/run/docs/quickstarts/build-and-deploy/deploy-nodejs-service?hl=es" TargetMode="External"/><Relationship Id="rId3" Type="http://schemas.openxmlformats.org/officeDocument/2006/relationships/styles" Target="styles.xml"/><Relationship Id="rId7" Type="http://schemas.openxmlformats.org/officeDocument/2006/relationships/hyperlink" Target="https://cloud.google.com/contact/for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cloud.google.com/products/calculator?dl=CjhDaVE1WkRJellqRTBNUzB6T1RNeUxUUmhOR1F0T0dKaU9TMDJOREJtTkRnMk1EVm1ORE1RQVE9PRAHGiQ0NEZFQ0Q5Qi0yRTQyLTRDNjctQjA1Ni03QzYyNDE5QjJFQTA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SuAWwDraVpLLj3+xJUQZdovhhA==">CgMxLjA4AHIhMTNQOXd1VzNtVWpWSVdfRGY5WE1EMm0wSWtQclV0MEsy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20</Pages>
  <Words>6330</Words>
  <Characters>34820</Characters>
  <Application>Microsoft Office Word</Application>
  <DocSecurity>0</DocSecurity>
  <Lines>290</Lines>
  <Paragraphs>82</Paragraphs>
  <ScaleCrop>false</ScaleCrop>
  <Company/>
  <LinksUpToDate>false</LinksUpToDate>
  <CharactersWithSpaces>41068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Mariana</cp:lastModifiedBy>
  <cp:revision>2</cp:revision>
  <dcterms:created xsi:type="dcterms:W3CDTF">2026-08-05T22:18:00Z</dcterms:created>
  <dcterms:modified xsi:type="dcterms:W3CDTF">2026-08-05T22:19:00Z</dcterms:modified>
</cp:coreProperties>
</file>