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ermStart w:edGrp="everyone" w:id="1881496130"/>
    <w:permEnd w:id="1881496130"/>
    <w:p w:rsidRPr="009C2CC7" w:rsidR="001439C9" w:rsidP="1F2BA446" w:rsidRDefault="009C2CC7" w14:paraId="68059DE6" w14:textId="69CC4E5C">
      <w:pPr>
        <w:rPr>
          <w:lang w:val="en-US"/>
        </w:rPr>
      </w:pPr>
      <w:r w:rsidR="1F2BA446">
        <w:rPr/>
        <w:t>ARTICLE INFORMATION</w:t>
      </w:r>
    </w:p>
    <w:p w:rsidRPr="001439C9" w:rsidR="001439C9" w:rsidP="001439C9" w:rsidRDefault="001439C9" w14:paraId="27DBA5C2" w14:textId="215F81DC">
      <w:r w:rsidRPr="1F2BA446" w:rsidR="1F2BA446">
        <w:rPr>
          <w:b w:val="1"/>
          <w:bCs w:val="1"/>
        </w:rPr>
        <w:t>Article title</w:t>
      </w:r>
    </w:p>
    <w:permStart w:edGrp="everyone" w:id="542378134"/>
    <w:permEnd w:id="542378134"/>
    <w:p w:rsidRPr="001439C9" w:rsidR="001439C9" w:rsidP="1F2BA446" w:rsidRDefault="001439C9" w14:paraId="3E08B214" w14:textId="05EEB413">
      <w:pPr>
        <w:jc w:val="both"/>
        <w:rPr>
          <w:b w:val="1"/>
          <w:bCs w:val="1"/>
          <w:i w:val="0"/>
          <w:iCs w:val="0"/>
          <w:color w:val="auto"/>
        </w:rPr>
      </w:pPr>
      <w:r w:rsidRPr="1F2BA446" w:rsidR="1F2BA446">
        <w:rPr>
          <w:i w:val="0"/>
          <w:iCs w:val="0"/>
          <w:color w:val="auto"/>
        </w:rPr>
        <w:t>Follow-up Validation of Urinary Metabolite Profiling to Non-Invasively Monitor the Omega-3 Index in Young Adults: Dataset</w:t>
      </w:r>
    </w:p>
    <w:p w:rsidRPr="001439C9" w:rsidR="001439C9" w:rsidP="1F2BA446" w:rsidRDefault="001439C9" w14:paraId="3F9055E5" w14:textId="12CD3809">
      <w:pPr>
        <w:rPr>
          <w:b w:val="1"/>
          <w:bCs w:val="1"/>
        </w:rPr>
      </w:pPr>
      <w:r w:rsidRPr="1F2BA446" w:rsidR="1F2BA446">
        <w:rPr>
          <w:b w:val="1"/>
          <w:bCs w:val="1"/>
        </w:rPr>
        <w:t>Authors</w:t>
      </w:r>
    </w:p>
    <w:p w:rsidR="1F2BA446" w:rsidP="1F2BA446" w:rsidRDefault="1F2BA446" w14:paraId="46C692E4" w14:textId="5602D9A6">
      <w:pPr>
        <w:jc w:val="both"/>
        <w:rPr>
          <w:rFonts w:ascii="Calibri" w:hAnsi="Calibri" w:eastAsia="Calibri" w:cs="Calibri"/>
          <w:i w:val="0"/>
          <w:iCs w:val="0"/>
          <w:noProof w:val="0"/>
          <w:color w:val="auto"/>
          <w:sz w:val="22"/>
          <w:szCs w:val="22"/>
          <w:lang w:val="en-GB"/>
        </w:rPr>
      </w:pPr>
      <w:r w:rsidRPr="1F2BA446" w:rsidR="1F2BA446">
        <w:rPr>
          <w:rFonts w:ascii="Calibri" w:hAnsi="Calibri" w:eastAsia="Calibri" w:cs="Calibri"/>
          <w:b w:val="0"/>
          <w:bCs w:val="0"/>
          <w:i w:val="0"/>
          <w:iCs w:val="0"/>
          <w:caps w:val="0"/>
          <w:smallCaps w:val="0"/>
          <w:strike w:val="0"/>
          <w:dstrike w:val="0"/>
          <w:noProof w:val="0"/>
          <w:color w:val="auto"/>
          <w:sz w:val="22"/>
          <w:szCs w:val="22"/>
          <w:u w:val="single"/>
          <w:lang w:val="en-CA"/>
        </w:rPr>
        <w:t>*Mariana Buitrago</w:t>
      </w:r>
      <w:r w:rsidRPr="1F2BA446" w:rsidR="1F2BA446">
        <w:rPr>
          <w:rFonts w:ascii="Calibri" w:hAnsi="Calibri" w:eastAsia="Calibri" w:cs="Calibri"/>
          <w:b w:val="0"/>
          <w:bCs w:val="0"/>
          <w:i w:val="0"/>
          <w:iCs w:val="0"/>
          <w:caps w:val="0"/>
          <w:smallCaps w:val="0"/>
          <w:strike w:val="0"/>
          <w:dstrike w:val="0"/>
          <w:noProof w:val="0"/>
          <w:color w:val="auto"/>
          <w:sz w:val="22"/>
          <w:szCs w:val="22"/>
          <w:u w:val="single"/>
          <w:vertAlign w:val="superscript"/>
          <w:lang w:val="en-CA"/>
        </w:rPr>
        <w:t>1</w:t>
      </w:r>
      <w:r w:rsidRPr="1F2BA446" w:rsidR="1F2BA446">
        <w:rPr>
          <w:rFonts w:ascii="Calibri" w:hAnsi="Calibri" w:eastAsia="Calibri" w:cs="Calibri"/>
          <w:b w:val="0"/>
          <w:bCs w:val="0"/>
          <w:i w:val="0"/>
          <w:iCs w:val="0"/>
          <w:caps w:val="0"/>
          <w:smallCaps w:val="0"/>
          <w:noProof w:val="0"/>
          <w:color w:val="auto"/>
          <w:sz w:val="22"/>
          <w:szCs w:val="22"/>
          <w:lang w:val="en-CA"/>
        </w:rPr>
        <w:t>, Brittany MacIntyre</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2</w:t>
      </w:r>
      <w:r w:rsidRPr="1F2BA446" w:rsidR="1F2BA446">
        <w:rPr>
          <w:rFonts w:ascii="Calibri" w:hAnsi="Calibri" w:eastAsia="Calibri" w:cs="Calibri"/>
          <w:b w:val="0"/>
          <w:bCs w:val="0"/>
          <w:i w:val="0"/>
          <w:iCs w:val="0"/>
          <w:caps w:val="0"/>
          <w:smallCaps w:val="0"/>
          <w:noProof w:val="0"/>
          <w:color w:val="auto"/>
          <w:sz w:val="22"/>
          <w:szCs w:val="22"/>
          <w:lang w:val="en-CA"/>
        </w:rPr>
        <w:t>, David M. Mutch</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2</w:t>
      </w:r>
      <w:r w:rsidRPr="1F2BA446" w:rsidR="1F2BA446">
        <w:rPr>
          <w:rFonts w:ascii="Calibri" w:hAnsi="Calibri" w:eastAsia="Calibri" w:cs="Calibri"/>
          <w:b w:val="0"/>
          <w:bCs w:val="0"/>
          <w:i w:val="0"/>
          <w:iCs w:val="0"/>
          <w:caps w:val="0"/>
          <w:smallCaps w:val="0"/>
          <w:noProof w:val="0"/>
          <w:color w:val="auto"/>
          <w:sz w:val="22"/>
          <w:szCs w:val="22"/>
          <w:lang w:val="en-CA"/>
        </w:rPr>
        <w:t>, Meera Shanmuganathan</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1</w:t>
      </w:r>
      <w:r w:rsidRPr="1F2BA446" w:rsidR="1F2BA446">
        <w:rPr>
          <w:rFonts w:ascii="Calibri" w:hAnsi="Calibri" w:eastAsia="Calibri" w:cs="Calibri"/>
          <w:b w:val="0"/>
          <w:bCs w:val="0"/>
          <w:i w:val="0"/>
          <w:iCs w:val="0"/>
          <w:caps w:val="0"/>
          <w:smallCaps w:val="0"/>
          <w:noProof w:val="0"/>
          <w:color w:val="auto"/>
          <w:sz w:val="22"/>
          <w:szCs w:val="22"/>
          <w:lang w:val="en-CA"/>
        </w:rPr>
        <w:t>, Shannon L. Klingel</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2</w:t>
      </w:r>
      <w:r w:rsidRPr="1F2BA446" w:rsidR="1F2BA446">
        <w:rPr>
          <w:rFonts w:ascii="Calibri" w:hAnsi="Calibri" w:eastAsia="Calibri" w:cs="Calibri"/>
          <w:b w:val="0"/>
          <w:bCs w:val="0"/>
          <w:i w:val="0"/>
          <w:iCs w:val="0"/>
          <w:caps w:val="0"/>
          <w:smallCaps w:val="0"/>
          <w:noProof w:val="0"/>
          <w:color w:val="auto"/>
          <w:sz w:val="22"/>
          <w:szCs w:val="22"/>
          <w:lang w:val="en-CA"/>
        </w:rPr>
        <w:t>, Zachary Kroezen</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2</w:t>
      </w:r>
      <w:r w:rsidRPr="1F2BA446" w:rsidR="1F2BA446">
        <w:rPr>
          <w:rFonts w:ascii="Calibri" w:hAnsi="Calibri" w:eastAsia="Calibri" w:cs="Calibri"/>
          <w:b w:val="0"/>
          <w:bCs w:val="0"/>
          <w:i w:val="0"/>
          <w:iCs w:val="0"/>
          <w:caps w:val="0"/>
          <w:smallCaps w:val="0"/>
          <w:noProof w:val="0"/>
          <w:color w:val="auto"/>
          <w:sz w:val="22"/>
          <w:szCs w:val="22"/>
          <w:lang w:val="en-CA"/>
        </w:rPr>
        <w:t>, Erick Helmeczi</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1</w:t>
      </w:r>
      <w:r w:rsidRPr="1F2BA446" w:rsidR="1F2BA446">
        <w:rPr>
          <w:rFonts w:ascii="Calibri" w:hAnsi="Calibri" w:eastAsia="Calibri" w:cs="Calibri"/>
          <w:b w:val="0"/>
          <w:bCs w:val="0"/>
          <w:i w:val="0"/>
          <w:iCs w:val="0"/>
          <w:caps w:val="0"/>
          <w:smallCaps w:val="0"/>
          <w:noProof w:val="0"/>
          <w:color w:val="auto"/>
          <w:sz w:val="22"/>
          <w:szCs w:val="22"/>
          <w:lang w:val="en-CA"/>
        </w:rPr>
        <w:t>, Na-Yung Seoh</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1</w:t>
      </w:r>
      <w:r w:rsidRPr="1F2BA446" w:rsidR="1F2BA446">
        <w:rPr>
          <w:rFonts w:ascii="Calibri" w:hAnsi="Calibri" w:eastAsia="Calibri" w:cs="Calibri"/>
          <w:b w:val="0"/>
          <w:bCs w:val="0"/>
          <w:i w:val="0"/>
          <w:iCs w:val="0"/>
          <w:caps w:val="0"/>
          <w:smallCaps w:val="0"/>
          <w:noProof w:val="0"/>
          <w:color w:val="auto"/>
          <w:sz w:val="22"/>
          <w:szCs w:val="22"/>
          <w:lang w:val="en-CA"/>
        </w:rPr>
        <w:t>, Vanessa Martínez</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2</w:t>
      </w:r>
      <w:r w:rsidRPr="1F2BA446" w:rsidR="1F2BA446">
        <w:rPr>
          <w:rFonts w:ascii="Calibri" w:hAnsi="Calibri" w:eastAsia="Calibri" w:cs="Calibri"/>
          <w:b w:val="0"/>
          <w:bCs w:val="0"/>
          <w:i w:val="0"/>
          <w:iCs w:val="0"/>
          <w:caps w:val="0"/>
          <w:smallCaps w:val="0"/>
          <w:noProof w:val="0"/>
          <w:color w:val="auto"/>
          <w:sz w:val="22"/>
          <w:szCs w:val="22"/>
          <w:lang w:val="en-CA"/>
        </w:rPr>
        <w:t>, Adrian Chabowski</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3</w:t>
      </w:r>
      <w:r w:rsidRPr="1F2BA446" w:rsidR="1F2BA446">
        <w:rPr>
          <w:rFonts w:ascii="Calibri" w:hAnsi="Calibri" w:eastAsia="Calibri" w:cs="Calibri"/>
          <w:b w:val="0"/>
          <w:bCs w:val="0"/>
          <w:i w:val="0"/>
          <w:iCs w:val="0"/>
          <w:caps w:val="0"/>
          <w:smallCaps w:val="0"/>
          <w:noProof w:val="0"/>
          <w:color w:val="auto"/>
          <w:sz w:val="22"/>
          <w:szCs w:val="22"/>
          <w:lang w:val="en-CA"/>
        </w:rPr>
        <w:t>, Zeny Feng</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4</w:t>
      </w:r>
      <w:r w:rsidRPr="1F2BA446" w:rsidR="1F2BA446">
        <w:rPr>
          <w:rFonts w:ascii="Calibri" w:hAnsi="Calibri" w:eastAsia="Calibri" w:cs="Calibri"/>
          <w:b w:val="0"/>
          <w:bCs w:val="0"/>
          <w:i w:val="0"/>
          <w:iCs w:val="0"/>
          <w:caps w:val="0"/>
          <w:smallCaps w:val="0"/>
          <w:noProof w:val="0"/>
          <w:color w:val="auto"/>
          <w:sz w:val="22"/>
          <w:szCs w:val="22"/>
          <w:lang w:val="en-CA"/>
        </w:rPr>
        <w:t xml:space="preserve"> and Philip Britz-McKibbin</w:t>
      </w:r>
      <w:r w:rsidRPr="1F2BA446" w:rsidR="1F2BA446">
        <w:rPr>
          <w:rFonts w:ascii="Calibri" w:hAnsi="Calibri" w:eastAsia="Calibri" w:cs="Calibri"/>
          <w:b w:val="0"/>
          <w:bCs w:val="0"/>
          <w:i w:val="0"/>
          <w:iCs w:val="0"/>
          <w:caps w:val="0"/>
          <w:smallCaps w:val="0"/>
          <w:noProof w:val="0"/>
          <w:color w:val="auto"/>
          <w:sz w:val="22"/>
          <w:szCs w:val="22"/>
          <w:vertAlign w:val="superscript"/>
          <w:lang w:val="en-CA"/>
        </w:rPr>
        <w:t>1</w:t>
      </w:r>
    </w:p>
    <w:p w:rsidRPr="001439C9" w:rsidR="001439C9" w:rsidP="001439C9" w:rsidRDefault="001439C9" w14:paraId="5C3C30DF" w14:textId="77777777">
      <w:pPr>
        <w:rPr>
          <w:b/>
        </w:rPr>
      </w:pPr>
      <w:r w:rsidRPr="1F2BA446" w:rsidR="1F2BA446">
        <w:rPr>
          <w:b w:val="1"/>
          <w:bCs w:val="1"/>
        </w:rPr>
        <w:t>Affiliations</w:t>
      </w:r>
    </w:p>
    <w:permStart w:edGrp="everyone" w:id="887948492"/>
    <w:permEnd w:id="887948492"/>
    <w:p w:rsidR="1F2BA446" w:rsidP="1F2BA446" w:rsidRDefault="1F2BA446" w14:paraId="0190FB28" w14:textId="61B6A8BD">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CA"/>
        </w:rPr>
        <w:t>1</w:t>
      </w: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Department of Chemistry and Chemical Biology, McMaster University, Hamilton, ON L8S 3W3, Canada</w:t>
      </w:r>
    </w:p>
    <w:p w:rsidR="1F2BA446" w:rsidP="1F2BA446" w:rsidRDefault="1F2BA446" w14:paraId="6904A6B6" w14:textId="2E22F20D">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CA"/>
        </w:rPr>
        <w:t>2</w:t>
      </w: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Department of Human Health and Nutritional Sciences, University of Guelph, Guelph, ON N1G 2W1, Canada</w:t>
      </w:r>
    </w:p>
    <w:p w:rsidR="1F2BA446" w:rsidP="1F2BA446" w:rsidRDefault="1F2BA446" w14:paraId="5A2D2BD7" w14:textId="1A23AE5D">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CA"/>
        </w:rPr>
        <w:t>3</w:t>
      </w: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Department of Physiology, Medical University of Bialystok, 15-222 Bialystok, Poland</w:t>
      </w:r>
    </w:p>
    <w:p w:rsidR="1F2BA446" w:rsidP="1F2BA446" w:rsidRDefault="1F2BA446" w14:paraId="11825C67" w14:textId="3C639E30">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CA"/>
        </w:rPr>
        <w:t>4</w:t>
      </w: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Department of Mathematics &amp; Statistics, University of Guelph, Guelph, ON N1G 2W1</w:t>
      </w:r>
    </w:p>
    <w:p w:rsidRPr="001439C9" w:rsidR="001439C9" w:rsidP="001439C9" w:rsidRDefault="001439C9" w14:paraId="06C83E36" w14:textId="77777777">
      <w:pPr>
        <w:rPr>
          <w:b/>
        </w:rPr>
      </w:pPr>
      <w:r w:rsidRPr="1F2BA446" w:rsidR="1F2BA446">
        <w:rPr>
          <w:b w:val="1"/>
          <w:bCs w:val="1"/>
        </w:rPr>
        <w:t>Corresponding author’s email address and Twitter handle</w:t>
      </w:r>
    </w:p>
    <w:permStart w:edGrp="everyone" w:id="1882672549"/>
    <w:permEnd w:id="1882672549"/>
    <w:p w:rsidR="1F2BA446" w:rsidP="1F2BA446" w:rsidRDefault="1F2BA446" w14:paraId="1D6874DB" w14:textId="2AB1942E">
      <w:pPr>
        <w:pStyle w:val="Normal"/>
        <w:suppressLineNumbers w:val="0"/>
        <w:bidi w:val="0"/>
        <w:spacing w:before="0" w:beforeAutospacing="off" w:after="160" w:afterAutospacing="off" w:line="259" w:lineRule="auto"/>
        <w:ind w:left="0" w:right="0"/>
        <w:jc w:val="left"/>
        <w:rPr>
          <w:i w:val="0"/>
          <w:iCs w:val="0"/>
          <w:color w:val="auto"/>
        </w:rPr>
      </w:pPr>
      <w:r w:rsidRPr="1F2BA446" w:rsidR="1F2BA446">
        <w:rPr>
          <w:i w:val="0"/>
          <w:iCs w:val="0"/>
          <w:color w:val="auto"/>
        </w:rPr>
        <w:t>buitragm</w:t>
      </w:r>
      <w:r w:rsidRPr="1F2BA446" w:rsidR="1F2BA446">
        <w:rPr>
          <w:i w:val="0"/>
          <w:iCs w:val="0"/>
          <w:color w:val="auto"/>
        </w:rPr>
        <w:t>@mcmaster.ca</w:t>
      </w:r>
    </w:p>
    <w:p w:rsidRPr="001439C9" w:rsidR="001439C9" w:rsidP="001439C9" w:rsidRDefault="001439C9" w14:paraId="0E682192" w14:textId="77777777">
      <w:pPr>
        <w:rPr>
          <w:i/>
        </w:rPr>
      </w:pPr>
      <w:r w:rsidRPr="1F2BA446" w:rsidR="1F2BA446">
        <w:rPr>
          <w:b w:val="1"/>
          <w:bCs w:val="1"/>
        </w:rPr>
        <w:t>Keywords</w:t>
      </w:r>
    </w:p>
    <w:permStart w:edGrp="everyone" w:id="1803944091"/>
    <w:permEnd w:id="1803944091"/>
    <w:p w:rsidR="1F2BA446" w:rsidP="1F2BA446" w:rsidRDefault="1F2BA446" w14:paraId="7EC89CF5" w14:textId="243172E4">
      <w:pPr>
        <w:jc w:val="both"/>
        <w:rPr>
          <w:i w:val="0"/>
          <w:iCs w:val="0"/>
          <w:color w:val="auto"/>
        </w:rPr>
      </w:pPr>
      <w:r w:rsidRPr="1F2BA446" w:rsidR="1F2BA446">
        <w:rPr>
          <w:i w:val="0"/>
          <w:iCs w:val="0"/>
          <w:color w:val="auto"/>
        </w:rPr>
        <w:t xml:space="preserve">precision nutrition; metabolomics; omega-3 long-chain polyunsaturated fatty acids (n3-LCPUFA); omega-3 index; dietary biomarkers; urinary metabolites </w:t>
      </w:r>
    </w:p>
    <w:p w:rsidRPr="001439C9" w:rsidR="001439C9" w:rsidP="001439C9" w:rsidRDefault="001439C9" w14:paraId="6606DACC" w14:textId="77777777">
      <w:pPr>
        <w:rPr>
          <w:b/>
        </w:rPr>
      </w:pPr>
      <w:r w:rsidRPr="1F2BA446" w:rsidR="1F2BA446">
        <w:rPr>
          <w:b w:val="1"/>
          <w:bCs w:val="1"/>
        </w:rPr>
        <w:t>Abstract</w:t>
      </w:r>
    </w:p>
    <w:permStart w:edGrp="everyone" w:id="1376275999"/>
    <w:permEnd w:id="1376275999"/>
    <w:p w:rsidR="00BC70CA" w:rsidP="1F2BA446" w:rsidRDefault="00BC70CA" w14:paraId="0E27F5D0" w14:textId="77AF4555">
      <w:pPr>
        <w:jc w:val="both"/>
        <w:rPr>
          <w:i w:val="0"/>
          <w:iCs w:val="0"/>
          <w:color w:val="auto"/>
        </w:rPr>
      </w:pPr>
      <w:r w:rsidRPr="1F2BA446" w:rsidR="1F2BA446">
        <w:rPr>
          <w:i w:val="0"/>
          <w:iCs w:val="0"/>
          <w:color w:val="auto"/>
        </w:rPr>
        <w:t xml:space="preserve">The dataset comprises metabolomic and clinical data/information collected from a double-blind, randomized controlled trial involving 120 participants (18-45 years old), who were assigned to one four groups: olive oil control (~3 g/day), low-dose EPA+DHA (~1 g/day), high-dose EPA+DHA (~3 g/day), or biweekly salmon consumption (~1.8 g EPA+DHA per serving). Data collection </w:t>
      </w:r>
      <w:r w:rsidRPr="1F2BA446" w:rsidR="1F2BA446">
        <w:rPr>
          <w:i w:val="0"/>
          <w:iCs w:val="0"/>
          <w:color w:val="auto"/>
        </w:rPr>
        <w:t xml:space="preserve">occurred </w:t>
      </w:r>
      <w:r w:rsidRPr="1F2BA446" w:rsidR="1F2BA446">
        <w:rPr>
          <w:i w:val="0"/>
          <w:iCs w:val="0"/>
          <w:color w:val="auto"/>
        </w:rPr>
        <w:t xml:space="preserve">over a 24-week period, including a 12-week intervention phase followed by a 12-week washout phase. </w:t>
      </w:r>
      <w:r w:rsidRPr="1F2BA446" w:rsidR="1F2BA446">
        <w:rPr>
          <w:i w:val="0"/>
          <w:iCs w:val="0"/>
          <w:color w:val="auto"/>
        </w:rPr>
        <w:t>Biological samples, as fasted blood and first-void urine</w:t>
      </w:r>
      <w:r w:rsidRPr="1F2BA446" w:rsidR="1F2BA446">
        <w:rPr>
          <w:i w:val="0"/>
          <w:iCs w:val="0"/>
          <w:color w:val="auto"/>
        </w:rPr>
        <w:t xml:space="preserve"> were collected at baseline, during the intervention, and after the washout period.</w:t>
      </w:r>
    </w:p>
    <w:p w:rsidR="00BC70CA" w:rsidP="1F2BA446" w:rsidRDefault="00BC70CA" w14:paraId="699A94D3" w14:textId="45AE6DBA">
      <w:pPr>
        <w:pStyle w:val="Normal"/>
        <w:jc w:val="both"/>
        <w:rPr>
          <w:i w:val="0"/>
          <w:iCs w:val="0"/>
          <w:color w:val="auto"/>
        </w:rPr>
      </w:pPr>
      <w:r w:rsidRPr="1F2BA446" w:rsidR="1F2BA446">
        <w:rPr>
          <w:i w:val="0"/>
          <w:iCs w:val="0"/>
          <w:color w:val="auto"/>
        </w:rPr>
        <w:t xml:space="preserve">Metabolomic analyses were performed using </w:t>
      </w:r>
      <w:r w:rsidRPr="1F2BA446" w:rsidR="1F2BA446">
        <w:rPr>
          <w:i w:val="0"/>
          <w:iCs w:val="0"/>
          <w:color w:val="auto"/>
        </w:rPr>
        <w:t>multisegmented</w:t>
      </w:r>
      <w:r w:rsidRPr="1F2BA446" w:rsidR="1F2BA446">
        <w:rPr>
          <w:i w:val="0"/>
          <w:iCs w:val="0"/>
          <w:color w:val="auto"/>
        </w:rPr>
        <w:t xml:space="preserve"> injection-capillary electrophoresis-mass spectrometry (MSI-CE-MS) and liquid chromatography-mass spectrometry (LC-MS) to generate detailed chromatograms, electropherograms, and mass spectra from the urine samples. Fatty acid profiles, including EPA and DHA concentrations in red blood cells, were measured using gas chromatography-flame ionization detection. </w:t>
      </w:r>
      <w:r w:rsidRPr="1F2BA446" w:rsidR="1F2BA446">
        <w:rPr>
          <w:i w:val="0"/>
          <w:iCs w:val="0"/>
          <w:color w:val="auto"/>
        </w:rPr>
        <w:t>Additional</w:t>
      </w:r>
      <w:r w:rsidRPr="1F2BA446" w:rsidR="1F2BA446">
        <w:rPr>
          <w:i w:val="0"/>
          <w:iCs w:val="0"/>
          <w:color w:val="auto"/>
        </w:rPr>
        <w:t xml:space="preserve"> clinical data such as triglyceride levels, cholesterol profiles, blood pressure, and inflammatory markers were obtained from blood samples.</w:t>
      </w:r>
    </w:p>
    <w:p w:rsidR="00BC70CA" w:rsidP="1F2BA446" w:rsidRDefault="00BC70CA" w14:paraId="7B0EB4C4" w14:textId="7BD750AA">
      <w:pPr>
        <w:pStyle w:val="Normal"/>
        <w:jc w:val="both"/>
        <w:rPr>
          <w:i w:val="0"/>
          <w:iCs w:val="0"/>
          <w:color w:val="auto"/>
        </w:rPr>
      </w:pPr>
      <w:r w:rsidRPr="1F2BA446" w:rsidR="1F2BA446">
        <w:rPr>
          <w:i w:val="0"/>
          <w:iCs w:val="0"/>
          <w:color w:val="auto"/>
        </w:rPr>
        <w:t xml:space="preserve">The dataset includes tabular data in .csv format for clinical variables and for processed metabolomic data. All data include a comprehensive metadata describing sample collection procedures, instrument settings for each analytical technique, quality control measures, quality assurance procedures and data preprocessing and processing workflows.  </w:t>
      </w:r>
    </w:p>
    <w:p w:rsidR="00BC70CA" w:rsidP="1F2BA446" w:rsidRDefault="00BC70CA" w14:paraId="27079908" w14:textId="655E0000">
      <w:pPr>
        <w:pStyle w:val="Normal"/>
        <w:jc w:val="both"/>
        <w:rPr>
          <w:i w:val="0"/>
          <w:iCs w:val="0"/>
          <w:color w:val="auto" w:themeColor="accent1"/>
        </w:rPr>
      </w:pPr>
      <w:r w:rsidRPr="1F2BA446" w:rsidR="1F2BA446">
        <w:rPr>
          <w:i w:val="0"/>
          <w:iCs w:val="0"/>
          <w:color w:val="auto"/>
        </w:rPr>
        <w:t>The dataset has potential reuse applications in metabolomics, cardiovascular research, and precision nutrition. It can be used for secondary analysis to explore biomarker discovery, dose-response relationships, and correlations between omega-3 intake and cardiovascular risk factors. Additionally, the data can contribute to method development for metabolomics and to statistical modelling.</w:t>
      </w:r>
    </w:p>
    <w:p w:rsidRPr="0046718D" w:rsidR="0046718D" w:rsidP="0046718D" w:rsidRDefault="001955DF" w14:paraId="67254D57" w14:textId="000A7EE1">
      <w:pPr>
        <w:pStyle w:val="Heading1"/>
      </w:pPr>
      <w:r>
        <w:rPr/>
        <w:t>SPECIFICATIONS TABLE</w:t>
      </w:r>
      <w:permStart w:edGrp="everyone" w:id="1809930958"/>
      <w:permEnd w:id="1809930958"/>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Pr="001955DF" w:rsidR="001955DF" w:rsidTr="1F2BA446" w14:paraId="2544B580" w14:textId="77777777">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6A7E3C0A" w14:textId="77777777">
            <w:pPr>
              <w:rPr>
                <w:b/>
                <w:color w:val="000000" w:themeColor="text1"/>
              </w:rPr>
            </w:pPr>
            <w:r w:rsidRPr="001955DF">
              <w:rPr>
                <w:b/>
                <w:color w:val="000000" w:themeColor="text1"/>
              </w:rPr>
              <w:t>Subject</w:t>
            </w:r>
          </w:p>
        </w:tc>
        <w:tc>
          <w:tcPr>
            <w:tcW w:w="7455" w:type="dxa"/>
            <w:tcBorders>
              <w:top w:val="single" w:color="000000" w:themeColor="text1" w:sz="8" w:space="0"/>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1F2BA446" w:rsidRDefault="001955DF" w14:paraId="07D22E3E" w14:textId="53AA7F0A">
            <w:pPr>
              <w:pStyle w:val="Normal"/>
              <w:suppressLineNumbers w:val="0"/>
              <w:bidi w:val="0"/>
              <w:spacing w:before="0" w:beforeAutospacing="off" w:after="160" w:afterAutospacing="off" w:line="259" w:lineRule="auto"/>
              <w:ind w:left="0" w:right="0"/>
              <w:jc w:val="left"/>
            </w:pPr>
            <w:permStart w:edGrp="everyone" w:id="390491263"/>
            <w:permEnd w:id="390491263"/>
            <w:r w:rsidRPr="1F2BA446" w:rsidR="1F2BA446">
              <w:rPr>
                <w:i w:val="0"/>
                <w:iCs w:val="0"/>
                <w:color w:val="auto"/>
              </w:rPr>
              <w:t>Biological Sciences - Metabolomics</w:t>
            </w:r>
          </w:p>
        </w:tc>
      </w:tr>
      <w:tr w:rsidRPr="001955DF" w:rsidR="001955DF" w:rsidTr="1F2BA446" w14:paraId="5B1B03A7"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57F3B316" w14:textId="77777777">
            <w:pPr>
              <w:rPr>
                <w:b/>
                <w:color w:val="000000" w:themeColor="text1"/>
              </w:rPr>
            </w:pPr>
            <w:r w:rsidRPr="001955DF">
              <w:rPr>
                <w:b/>
                <w:color w:val="000000" w:themeColor="text1"/>
              </w:rPr>
              <w:t>Specific subject area</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1F2BA446" w:rsidRDefault="001955DF" w14:paraId="3B2A26B0" w14:textId="71CAE923">
            <w:pPr>
              <w:jc w:val="both"/>
              <w:rPr>
                <w:i w:val="0"/>
                <w:iCs w:val="0"/>
                <w:color w:val="auto" w:themeColor="accent1"/>
              </w:rPr>
            </w:pPr>
            <w:permStart w:edGrp="everyone" w:id="856555520"/>
            <w:permEnd w:id="856555520"/>
            <w:r w:rsidRPr="1F2BA446" w:rsidR="1F2BA446">
              <w:rPr>
                <w:i w:val="0"/>
                <w:iCs w:val="0"/>
                <w:color w:val="auto"/>
              </w:rPr>
              <w:t>Metabolomics data from human clinical trials examining omega-3 fatty acid intake.</w:t>
            </w:r>
          </w:p>
        </w:tc>
      </w:tr>
      <w:tr w:rsidRPr="001955DF" w:rsidR="001955DF" w:rsidTr="1F2BA446" w14:paraId="58F36373"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4CB2F2D4" w14:textId="77777777">
            <w:pPr>
              <w:rPr>
                <w:b/>
                <w:color w:val="000000" w:themeColor="text1"/>
              </w:rPr>
            </w:pPr>
            <w:r w:rsidRPr="001955DF">
              <w:rPr>
                <w:b/>
                <w:color w:val="000000" w:themeColor="text1"/>
              </w:rPr>
              <w:t>Type of data</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ermStart w:edGrp="everyone" w:id="909319737"/>
          <w:p w:rsidRPr="001955DF" w:rsidR="00806532" w:rsidP="1F2BA446" w:rsidRDefault="00806532" w14:paraId="02331EB7" w14:textId="70E2E0DA">
            <w:pPr>
              <w:spacing w:after="0"/>
              <w:rPr>
                <w:i w:val="0"/>
                <w:iCs w:val="0"/>
                <w:color w:val="auto"/>
              </w:rPr>
            </w:pPr>
            <w:proofErr w:type="spellStart"/>
            <w:proofErr w:type="spellEnd"/>
            <w:permEnd w:id="909319737"/>
            <w:r w:rsidRPr="1F2BA446" w:rsidR="1F2BA446">
              <w:rPr>
                <w:i w:val="0"/>
                <w:iCs w:val="0"/>
                <w:color w:val="auto"/>
              </w:rPr>
              <w:t>Table: .csv (clinical and metabolomic data)</w:t>
            </w:r>
          </w:p>
          <w:p w:rsidRPr="001955DF" w:rsidR="00806532" w:rsidP="1F2BA446" w:rsidRDefault="00806532" w14:paraId="6A8B48FA" w14:textId="7F54456E">
            <w:pPr>
              <w:pStyle w:val="Normal"/>
              <w:spacing w:after="0"/>
              <w:rPr>
                <w:i w:val="0"/>
                <w:iCs w:val="0"/>
                <w:color w:val="auto"/>
              </w:rPr>
            </w:pPr>
            <w:r w:rsidRPr="1F2BA446" w:rsidR="1F2BA446">
              <w:rPr>
                <w:i w:val="0"/>
                <w:iCs w:val="0"/>
                <w:color w:val="auto"/>
              </w:rPr>
              <w:t>Image: .</w:t>
            </w:r>
            <w:r w:rsidRPr="1F2BA446" w:rsidR="1F2BA446">
              <w:rPr>
                <w:i w:val="0"/>
                <w:iCs w:val="0"/>
                <w:color w:val="auto"/>
              </w:rPr>
              <w:t>mzML</w:t>
            </w:r>
            <w:r w:rsidRPr="1F2BA446" w:rsidR="1F2BA446">
              <w:rPr>
                <w:i w:val="0"/>
                <w:iCs w:val="0"/>
                <w:color w:val="auto"/>
              </w:rPr>
              <w:t>, .</w:t>
            </w:r>
            <w:r w:rsidRPr="1F2BA446" w:rsidR="1F2BA446">
              <w:rPr>
                <w:i w:val="0"/>
                <w:iCs w:val="0"/>
                <w:color w:val="auto"/>
              </w:rPr>
              <w:t>cdf</w:t>
            </w:r>
            <w:r w:rsidRPr="1F2BA446" w:rsidR="1F2BA446">
              <w:rPr>
                <w:i w:val="0"/>
                <w:iCs w:val="0"/>
                <w:color w:val="auto"/>
              </w:rPr>
              <w:t xml:space="preserve"> (mass spectrometry data)</w:t>
            </w:r>
          </w:p>
          <w:p w:rsidRPr="001955DF" w:rsidR="00806532" w:rsidP="1F2BA446" w:rsidRDefault="00806532" w14:paraId="303B2888" w14:textId="42C041EA">
            <w:pPr>
              <w:pStyle w:val="Normal"/>
              <w:spacing w:after="0"/>
              <w:jc w:val="both"/>
              <w:rPr>
                <w:i w:val="0"/>
                <w:iCs w:val="0"/>
                <w:color w:val="auto"/>
              </w:rPr>
            </w:pPr>
            <w:r w:rsidRPr="1F2BA446" w:rsidR="1F2BA446">
              <w:rPr>
                <w:i w:val="0"/>
                <w:iCs w:val="0"/>
                <w:color w:val="auto"/>
              </w:rPr>
              <w:t>Chart: graphs for metabolite profiles and for statistical/chemometrics analyses for processed and pre-processed data.</w:t>
            </w:r>
          </w:p>
          <w:p w:rsidRPr="001955DF" w:rsidR="00806532" w:rsidP="1F2BA446" w:rsidRDefault="00806532" w14:paraId="47EA603B" w14:textId="0EE17423">
            <w:pPr>
              <w:pStyle w:val="Normal"/>
              <w:spacing w:after="0"/>
              <w:jc w:val="both"/>
              <w:rPr>
                <w:i w:val="0"/>
                <w:iCs w:val="0"/>
                <w:color w:val="auto"/>
              </w:rPr>
            </w:pPr>
            <w:r w:rsidRPr="1F2BA446" w:rsidR="1F2BA446">
              <w:rPr>
                <w:i w:val="0"/>
                <w:iCs w:val="0"/>
                <w:color w:val="auto"/>
              </w:rPr>
              <w:t>Figure: .</w:t>
            </w:r>
            <w:r w:rsidRPr="1F2BA446" w:rsidR="1F2BA446">
              <w:rPr>
                <w:i w:val="0"/>
                <w:iCs w:val="0"/>
                <w:color w:val="auto"/>
              </w:rPr>
              <w:t>png</w:t>
            </w:r>
            <w:r w:rsidRPr="1F2BA446" w:rsidR="1F2BA446">
              <w:rPr>
                <w:i w:val="0"/>
                <w:iCs w:val="0"/>
                <w:color w:val="auto"/>
              </w:rPr>
              <w:t xml:space="preserve"> (chromatograms, electropherograms, metabolomic spectra, figures from statistical methods applied to pre and processed data).</w:t>
            </w:r>
          </w:p>
          <w:p w:rsidRPr="001955DF" w:rsidR="00806532" w:rsidP="1F2BA446" w:rsidRDefault="00806532" w14:paraId="1C6B3C42" w14:textId="4734AC99">
            <w:pPr>
              <w:pStyle w:val="Normal"/>
              <w:spacing w:after="0"/>
              <w:rPr>
                <w:i w:val="0"/>
                <w:iCs w:val="0"/>
                <w:color w:val="auto" w:themeColor="text1"/>
              </w:rPr>
            </w:pPr>
            <w:r w:rsidRPr="1F2BA446" w:rsidR="1F2BA446">
              <w:rPr>
                <w:i w:val="0"/>
                <w:iCs w:val="0"/>
                <w:color w:val="auto"/>
              </w:rPr>
              <w:t>Data formats: Raw, processed, normalized.</w:t>
            </w:r>
          </w:p>
        </w:tc>
      </w:tr>
      <w:tr w:rsidRPr="001955DF" w:rsidR="001955DF" w:rsidTr="1F2BA446" w14:paraId="37A9FE93"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0C3B2AD1" w14:textId="77777777">
            <w:pPr>
              <w:rPr>
                <w:b/>
                <w:color w:val="000000" w:themeColor="text1"/>
              </w:rPr>
            </w:pPr>
            <w:r w:rsidRPr="001955DF">
              <w:rPr>
                <w:b/>
                <w:color w:val="000000" w:themeColor="text1"/>
              </w:rPr>
              <w:t>Data collection</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D26C75" w:rsidP="1F2BA446" w:rsidRDefault="00FA7BB2" w14:paraId="00903766" w14:textId="7ECAB370">
            <w:pPr>
              <w:jc w:val="both"/>
              <w:rPr>
                <w:i w:val="0"/>
                <w:iCs w:val="0"/>
                <w:color w:val="auto" w:themeColor="accent1"/>
              </w:rPr>
            </w:pPr>
            <w:permStart w:edGrp="everyone" w:id="466183822"/>
            <w:permEnd w:id="466183822"/>
            <w:r w:rsidRPr="1F2BA446" w:rsidR="1F2BA446">
              <w:rPr>
                <w:i w:val="0"/>
                <w:iCs w:val="0"/>
                <w:color w:val="auto"/>
              </w:rPr>
              <w:t xml:space="preserve">Data were collected from fasted blood and urine samples in a double-blind randomized trial with 120 participants. Metabolomic analyses were performed using MSI-CE-MS (Agilent G7100A) and LC-MS, while fatty acids were measured in RBCs via gas chromatography-flame ionization detection (Agilent 7890A). Data were pre-processed in </w:t>
            </w:r>
            <w:r w:rsidRPr="1F2BA446" w:rsidR="1F2BA446">
              <w:rPr>
                <w:i w:val="0"/>
                <w:iCs w:val="0"/>
                <w:color w:val="auto"/>
              </w:rPr>
              <w:t>MassHunter</w:t>
            </w:r>
            <w:r w:rsidRPr="1F2BA446" w:rsidR="1F2BA446">
              <w:rPr>
                <w:i w:val="0"/>
                <w:iCs w:val="0"/>
                <w:color w:val="auto"/>
              </w:rPr>
              <w:t xml:space="preserve"> Quantitative Analysis Software and in Excel, normalized using log transformation and autoscaling and processed in the software </w:t>
            </w:r>
            <w:bookmarkStart w:name="_Int_juneKSs8" w:id="872620582"/>
            <w:r w:rsidRPr="1F2BA446" w:rsidR="1F2BA446">
              <w:rPr>
                <w:i w:val="0"/>
                <w:iCs w:val="0"/>
                <w:color w:val="auto"/>
              </w:rPr>
              <w:t>Metaboanalyst</w:t>
            </w:r>
            <w:bookmarkEnd w:id="872620582"/>
            <w:r w:rsidRPr="1F2BA446" w:rsidR="1F2BA446">
              <w:rPr>
                <w:i w:val="0"/>
                <w:iCs w:val="0"/>
                <w:color w:val="auto"/>
              </w:rPr>
              <w:t>. Inclusion criteria included participants aged 18-45 with an Omega-3 Index ≤4%.</w:t>
            </w:r>
          </w:p>
        </w:tc>
      </w:tr>
      <w:tr w:rsidRPr="001955DF" w:rsidR="001955DF" w:rsidTr="1F2BA446" w14:paraId="5F006001"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0F9821ED" w14:textId="77777777">
            <w:pPr>
              <w:rPr>
                <w:b/>
                <w:color w:val="000000" w:themeColor="text1"/>
              </w:rPr>
            </w:pPr>
            <w:r w:rsidRPr="001955DF">
              <w:rPr>
                <w:b/>
                <w:color w:val="000000" w:themeColor="text1"/>
              </w:rPr>
              <w:lastRenderedPageBreak/>
              <w:t>Data source location</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1F2BA446" w:rsidRDefault="001955DF" w14:paraId="7D293213" w14:textId="14DEBDBC">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ermStart w:edGrp="everyone" w:id="1355497958"/>
            <w:r w:rsidRPr="1F2BA446">
              <w:rPr>
                <w:i w:val="0"/>
                <w:iCs w:val="0"/>
                <w:color w:val="auto" w:themeColor="accent1"/>
              </w:rPr>
              <w:t xml:space="preserve">Collected: </w:t>
            </w: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Department of Human Health and Nutritional Sciences, University of Guelph, Guelph, ON N1G 2W1, Canada</w:t>
            </w:r>
          </w:p>
          <w:p w:rsidRPr="001955DF" w:rsidR="001955DF" w:rsidP="1F2BA446" w:rsidRDefault="001955DF" w14:paraId="60956995" w14:textId="4F35BA7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themeColor="accent1"/>
                <w:sz w:val="22"/>
                <w:szCs w:val="22"/>
                <w:lang w:val="en-GB"/>
              </w:rPr>
            </w:pPr>
            <w:r w:rsidRPr="1F2BA446" w:rsidR="1F2BA446">
              <w:rPr>
                <w:i w:val="0"/>
                <w:iCs w:val="0"/>
                <w:color w:val="auto"/>
              </w:rPr>
              <w:t>Stored</w:t>
            </w:r>
            <w:r w:rsidRPr="1F2BA446" w:rsidR="1F2BA446">
              <w:rPr>
                <w:i w:val="1"/>
                <w:iCs w:val="1"/>
                <w:color w:val="auto"/>
              </w:rPr>
              <w:t xml:space="preserve">: </w:t>
            </w:r>
            <w:r w:rsidRPr="1F2BA446" w:rsidR="1F2BA4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Department of Chemistry and Chemical Biology, McMaster University, Hamilton, ON L8S 3W3, Canada</w:t>
            </w:r>
            <w:permEnd w:id="1355497958"/>
          </w:p>
        </w:tc>
      </w:tr>
      <w:tr w:rsidRPr="001955DF" w:rsidR="001955DF" w:rsidTr="1F2BA446" w14:paraId="134FDB4E" w14:textId="77777777">
        <w:tc>
          <w:tcPr>
            <w:tcW w:w="1875" w:type="dxa"/>
            <w:tcBorders>
              <w:top w:val="nil"/>
              <w:left w:val="single" w:color="000000" w:themeColor="text1" w:sz="8" w:space="0"/>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001955DF" w:rsidRDefault="001955DF" w14:paraId="3CB32863" w14:textId="77777777">
            <w:pPr>
              <w:rPr>
                <w:b/>
                <w:color w:val="000000" w:themeColor="text1"/>
              </w:rPr>
            </w:pPr>
            <w:r w:rsidRPr="001955DF">
              <w:rPr>
                <w:b/>
                <w:color w:val="000000" w:themeColor="text1"/>
              </w:rPr>
              <w:t>Related research article</w:t>
            </w:r>
          </w:p>
        </w:tc>
        <w:tc>
          <w:tcPr>
            <w:tcW w:w="7455" w:type="dxa"/>
            <w:tcBorders>
              <w:top w:val="nil"/>
              <w:left w:val="nil"/>
              <w:bottom w:val="single" w:color="000000" w:themeColor="text1" w:sz="8" w:space="0"/>
              <w:right w:val="single" w:color="000000" w:themeColor="text1" w:sz="8" w:space="0"/>
            </w:tcBorders>
            <w:shd w:val="clear" w:color="auto" w:fill="auto"/>
            <w:tcMar>
              <w:top w:w="80" w:type="dxa"/>
              <w:left w:w="80" w:type="dxa"/>
              <w:bottom w:w="80" w:type="dxa"/>
              <w:right w:w="80" w:type="dxa"/>
            </w:tcMar>
          </w:tcPr>
          <w:p w:rsidRPr="001955DF" w:rsidR="001955DF" w:rsidP="1F2BA446" w:rsidRDefault="001955DF" w14:paraId="520E8D4E" w14:textId="2CBB2B44">
            <w:pPr>
              <w:rPr>
                <w:i w:val="0"/>
                <w:iCs w:val="0"/>
                <w:color w:val="auto" w:themeColor="accent1"/>
              </w:rPr>
            </w:pPr>
            <w:permStart w:edGrp="everyone" w:id="1389260605"/>
            <w:permEnd w:id="1389260605"/>
            <w:r w:rsidRPr="1F2BA446" w:rsidR="1F2BA446">
              <w:rPr>
                <w:i w:val="0"/>
                <w:iCs w:val="0"/>
                <w:color w:val="auto"/>
              </w:rPr>
              <w:t>MacIntyre</w:t>
            </w:r>
            <w:r w:rsidRPr="1F2BA446" w:rsidR="1F2BA446">
              <w:rPr>
                <w:i w:val="0"/>
                <w:iCs w:val="0"/>
                <w:color w:val="auto"/>
              </w:rPr>
              <w:t xml:space="preserve">, B. C., Shanmuganathan, M., Klingel, S. L., </w:t>
            </w:r>
            <w:r w:rsidRPr="1F2BA446" w:rsidR="1F2BA446">
              <w:rPr>
                <w:i w:val="0"/>
                <w:iCs w:val="0"/>
                <w:color w:val="auto"/>
              </w:rPr>
              <w:t>Kroezen</w:t>
            </w:r>
            <w:r w:rsidRPr="1F2BA446" w:rsidR="1F2BA446">
              <w:rPr>
                <w:i w:val="0"/>
                <w:iCs w:val="0"/>
                <w:color w:val="auto"/>
              </w:rPr>
              <w:t xml:space="preserve">, Z., Helmeczi, E., Seoh, N. Y., Martinez, V., </w:t>
            </w:r>
            <w:r w:rsidRPr="1F2BA446" w:rsidR="1F2BA446">
              <w:rPr>
                <w:i w:val="0"/>
                <w:iCs w:val="0"/>
                <w:color w:val="auto"/>
              </w:rPr>
              <w:t>Chabowski</w:t>
            </w:r>
            <w:r w:rsidRPr="1F2BA446" w:rsidR="1F2BA446">
              <w:rPr>
                <w:i w:val="0"/>
                <w:iCs w:val="0"/>
                <w:color w:val="auto"/>
              </w:rPr>
              <w:t>, A., Feng, Z., Britz-McKibbin, P., &amp; Mutch, D. M. (2023). Urinary Metabolite Profiling to Non-Invasively Monitor the Omega-3 Index: An Exploratory Secondary Analysis of a Randomized Clinical Trial in Young Adults. Metabolites, 13(10), 1071. https://doi.org/10.3390/metabo13101071</w:t>
            </w:r>
          </w:p>
        </w:tc>
      </w:tr>
    </w:tbl>
    <w:p w:rsidRPr="00235CD6" w:rsidR="00907752" w:rsidP="00EA2759" w:rsidRDefault="00907752" w14:paraId="56BD522E" w14:textId="68840530">
      <w:pPr>
        <w:pStyle w:val="Heading1"/>
        <w:rPr>
          <w:lang w:val="en-US"/>
        </w:rPr>
      </w:pPr>
      <w:r w:rsidRPr="1F2BA446" w:rsidR="1F2BA446">
        <w:rPr>
          <w:lang w:val="en-US"/>
        </w:rPr>
        <w:t>VALUE OF THE DATA</w:t>
      </w:r>
    </w:p>
    <w:permStart w:edGrp="everyone" w:id="602343097"/>
    <w:permEnd w:id="602343097"/>
    <w:p w:rsidR="1F2BA446" w:rsidP="1F2BA446" w:rsidRDefault="1F2BA446" w14:paraId="2FA56814" w14:textId="55558BF2">
      <w:pPr>
        <w:pStyle w:val="ListParagraph"/>
        <w:numPr>
          <w:ilvl w:val="0"/>
          <w:numId w:val="7"/>
        </w:numPr>
        <w:spacing w:before="240" w:beforeAutospacing="off" w:after="240" w:afterAutospacing="off"/>
        <w:jc w:val="both"/>
        <w:rPr>
          <w:rFonts w:ascii="Calibri" w:hAnsi="Calibri" w:eastAsia="Calibri" w:cs="Calibri"/>
          <w:noProof w:val="0"/>
          <w:sz w:val="22"/>
          <w:szCs w:val="22"/>
          <w:lang w:val="en-US"/>
        </w:rPr>
      </w:pPr>
      <w:r w:rsidRPr="1F2BA446" w:rsidR="1F2BA446">
        <w:rPr>
          <w:rFonts w:ascii="Calibri" w:hAnsi="Calibri" w:eastAsia="Calibri" w:cs="Calibri"/>
          <w:noProof w:val="0"/>
          <w:sz w:val="22"/>
          <w:szCs w:val="22"/>
          <w:lang w:val="en-US"/>
        </w:rPr>
        <w:t>The dataset provides comprehensive metabolomic and cardiovascular health data from a double-blind randomized trial involving omega-3 supplementation, which includes various doses of EPA+DHA as well as a control group. This combination of intervention-based and metabolomic data can help researchers better understand metabolic changes associated with omega-3 intake.</w:t>
      </w:r>
    </w:p>
    <w:p w:rsidR="1F2BA446" w:rsidP="1F2BA446" w:rsidRDefault="1F2BA446" w14:paraId="126B9A99" w14:textId="231C3608">
      <w:pPr>
        <w:pStyle w:val="ListParagraph"/>
        <w:numPr>
          <w:ilvl w:val="0"/>
          <w:numId w:val="7"/>
        </w:numPr>
        <w:spacing w:before="240" w:beforeAutospacing="off" w:after="240" w:afterAutospacing="off"/>
        <w:jc w:val="both"/>
        <w:rPr>
          <w:rFonts w:ascii="Calibri" w:hAnsi="Calibri" w:eastAsia="Calibri" w:cs="Calibri"/>
          <w:noProof w:val="0"/>
          <w:sz w:val="22"/>
          <w:szCs w:val="22"/>
          <w:lang w:val="en-US"/>
        </w:rPr>
      </w:pPr>
      <w:r w:rsidRPr="1F2BA446" w:rsidR="1F2BA446">
        <w:rPr>
          <w:rFonts w:ascii="Calibri" w:hAnsi="Calibri" w:eastAsia="Calibri" w:cs="Calibri"/>
          <w:noProof w:val="0"/>
          <w:sz w:val="22"/>
          <w:szCs w:val="22"/>
          <w:lang w:val="en-US"/>
        </w:rPr>
        <w:t>These data can be reused to explore dose-response relationships and biomarker identification in the omega-3 fatty acid metabolism, offering potential applications in nutrition, cardiovascular research, and clinical metabolomics.</w:t>
      </w:r>
    </w:p>
    <w:p w:rsidR="1F2BA446" w:rsidP="1F2BA446" w:rsidRDefault="1F2BA446" w14:paraId="44E21239" w14:textId="3D0117F5">
      <w:pPr>
        <w:pStyle w:val="ListParagraph"/>
        <w:numPr>
          <w:ilvl w:val="0"/>
          <w:numId w:val="7"/>
        </w:numPr>
        <w:spacing w:before="240" w:beforeAutospacing="off" w:after="240" w:afterAutospacing="off"/>
        <w:jc w:val="both"/>
        <w:rPr>
          <w:rFonts w:ascii="Calibri" w:hAnsi="Calibri" w:eastAsia="Calibri" w:cs="Calibri"/>
          <w:noProof w:val="0"/>
          <w:sz w:val="22"/>
          <w:szCs w:val="22"/>
          <w:lang w:val="en-US"/>
        </w:rPr>
      </w:pPr>
      <w:r w:rsidRPr="1F2BA446" w:rsidR="1F2BA446">
        <w:rPr>
          <w:rFonts w:ascii="Calibri" w:hAnsi="Calibri" w:eastAsia="Calibri" w:cs="Calibri"/>
          <w:noProof w:val="0"/>
          <w:sz w:val="22"/>
          <w:szCs w:val="22"/>
          <w:lang w:val="en-US"/>
        </w:rPr>
        <w:t>With data on both male and female participants, the dataset supports sex-based analyses, enabling researchers to investigate potential differences in metabolic responses to omega-3 supplementation across sexes.</w:t>
      </w:r>
    </w:p>
    <w:p w:rsidR="1F2BA446" w:rsidP="1F2BA446" w:rsidRDefault="1F2BA446" w14:paraId="5C78365B" w14:textId="7F2366B1">
      <w:pPr>
        <w:pStyle w:val="ListParagraph"/>
        <w:numPr>
          <w:ilvl w:val="0"/>
          <w:numId w:val="7"/>
        </w:numPr>
        <w:spacing w:before="240" w:beforeAutospacing="off" w:after="240" w:afterAutospacing="off"/>
        <w:jc w:val="both"/>
        <w:rPr>
          <w:rFonts w:ascii="Calibri" w:hAnsi="Calibri" w:eastAsia="Calibri" w:cs="Calibri"/>
          <w:noProof w:val="0"/>
          <w:sz w:val="22"/>
          <w:szCs w:val="22"/>
          <w:lang w:val="en-US"/>
        </w:rPr>
      </w:pPr>
      <w:r w:rsidRPr="1F2BA446" w:rsidR="1F2BA446">
        <w:rPr>
          <w:rFonts w:ascii="Calibri" w:hAnsi="Calibri" w:eastAsia="Calibri" w:cs="Calibri"/>
          <w:noProof w:val="0"/>
          <w:sz w:val="22"/>
          <w:szCs w:val="22"/>
          <w:lang w:val="en-US"/>
        </w:rPr>
        <w:t>The dataset is structured in open formats (.csv, .</w:t>
      </w:r>
      <w:r w:rsidRPr="1F2BA446" w:rsidR="1F2BA446">
        <w:rPr>
          <w:rFonts w:ascii="Calibri" w:hAnsi="Calibri" w:eastAsia="Calibri" w:cs="Calibri"/>
          <w:noProof w:val="0"/>
          <w:sz w:val="22"/>
          <w:szCs w:val="22"/>
          <w:lang w:val="en-US"/>
        </w:rPr>
        <w:t>mzML</w:t>
      </w:r>
      <w:r w:rsidRPr="1F2BA446" w:rsidR="1F2BA446">
        <w:rPr>
          <w:rFonts w:ascii="Calibri" w:hAnsi="Calibri" w:eastAsia="Calibri" w:cs="Calibri"/>
          <w:noProof w:val="0"/>
          <w:sz w:val="22"/>
          <w:szCs w:val="22"/>
          <w:lang w:val="en-US"/>
        </w:rPr>
        <w:t>, .</w:t>
      </w:r>
      <w:r w:rsidRPr="1F2BA446" w:rsidR="1F2BA446">
        <w:rPr>
          <w:rFonts w:ascii="Calibri" w:hAnsi="Calibri" w:eastAsia="Calibri" w:cs="Calibri"/>
          <w:noProof w:val="0"/>
          <w:sz w:val="22"/>
          <w:szCs w:val="22"/>
          <w:lang w:val="en-US"/>
        </w:rPr>
        <w:t>cdf</w:t>
      </w:r>
      <w:r w:rsidRPr="1F2BA446" w:rsidR="1F2BA446">
        <w:rPr>
          <w:rFonts w:ascii="Calibri" w:hAnsi="Calibri" w:eastAsia="Calibri" w:cs="Calibri"/>
          <w:noProof w:val="0"/>
          <w:sz w:val="22"/>
          <w:szCs w:val="22"/>
          <w:lang w:val="en-US"/>
        </w:rPr>
        <w:t>), making it accessible for integration into various data analysis routes and promoting broader usage by researchers in different fields like medicina.</w:t>
      </w:r>
    </w:p>
    <w:p w:rsidRPr="00235CD6" w:rsidR="001A2291" w:rsidP="001A2291" w:rsidRDefault="001A2291" w14:paraId="030A4B6F" w14:textId="741BE5A8">
      <w:pPr>
        <w:pStyle w:val="Heading1"/>
        <w:rPr>
          <w:lang w:val="en-US"/>
        </w:rPr>
      </w:pPr>
      <w:r w:rsidRPr="1F2BA446" w:rsidR="1F2BA446">
        <w:rPr>
          <w:lang w:val="en-US"/>
        </w:rPr>
        <w:t>BACKGROUND</w:t>
      </w:r>
    </w:p>
    <w:permStart w:edGrp="everyone" w:id="1879144378"/>
    <w:permEnd w:id="1879144378"/>
    <w:p w:rsidR="1F2BA446" w:rsidP="1F2BA446" w:rsidRDefault="1F2BA446" w14:paraId="5F9A58DB" w14:textId="7D674D5A">
      <w:pPr>
        <w:spacing w:before="240" w:beforeAutospacing="off" w:after="240" w:afterAutospacing="off"/>
        <w:jc w:val="both"/>
      </w:pPr>
      <w:r w:rsidRPr="1F2BA446" w:rsidR="1F2BA446">
        <w:rPr>
          <w:rFonts w:ascii="Calibri" w:hAnsi="Calibri" w:eastAsia="Calibri" w:cs="Calibri"/>
          <w:noProof w:val="0"/>
          <w:sz w:val="22"/>
          <w:szCs w:val="22"/>
          <w:lang w:val="en-GB"/>
        </w:rPr>
        <w:t xml:space="preserve">The motivation for compiling this dataset comes from the need to find non-invasive biomarkers for omega-3 fatty acid levels, which are important for </w:t>
      </w:r>
      <w:r w:rsidRPr="1F2BA446" w:rsidR="1F2BA446">
        <w:rPr>
          <w:rFonts w:ascii="Calibri" w:hAnsi="Calibri" w:eastAsia="Calibri" w:cs="Calibri"/>
          <w:noProof w:val="0"/>
          <w:sz w:val="22"/>
          <w:szCs w:val="22"/>
          <w:lang w:val="en-GB"/>
        </w:rPr>
        <w:t>monitoring</w:t>
      </w:r>
      <w:r w:rsidRPr="1F2BA446" w:rsidR="1F2BA446">
        <w:rPr>
          <w:rFonts w:ascii="Calibri" w:hAnsi="Calibri" w:eastAsia="Calibri" w:cs="Calibri"/>
          <w:noProof w:val="0"/>
          <w:sz w:val="22"/>
          <w:szCs w:val="22"/>
          <w:lang w:val="en-GB"/>
        </w:rPr>
        <w:t xml:space="preserve"> cardiovascular disease (CVD) risk factors. Given the limitations of current methods, like blood sampling, the dataset focuses on urinary metabolites as </w:t>
      </w:r>
      <w:r w:rsidRPr="1F2BA446" w:rsidR="1F2BA446">
        <w:rPr>
          <w:rFonts w:ascii="Calibri" w:hAnsi="Calibri" w:eastAsia="Calibri" w:cs="Calibri"/>
          <w:noProof w:val="0"/>
          <w:sz w:val="22"/>
          <w:szCs w:val="22"/>
          <w:lang w:val="en-GB"/>
        </w:rPr>
        <w:t>a possible alternative</w:t>
      </w:r>
      <w:r w:rsidRPr="1F2BA446" w:rsidR="1F2BA446">
        <w:rPr>
          <w:rFonts w:ascii="Calibri" w:hAnsi="Calibri" w:eastAsia="Calibri" w:cs="Calibri"/>
          <w:noProof w:val="0"/>
          <w:sz w:val="22"/>
          <w:szCs w:val="22"/>
          <w:lang w:val="en-GB"/>
        </w:rPr>
        <w:t>. The use of a double-blind randomized clinical trial design ensures that the dataset can accurately show the effects of different doses of EPA and DHA on both metabolomic profiles and CVD risk factors. Including both male and female participants allows for exploring sex-specific differences in metabolic responses to omega-3 supplementation. This dataset adds value by offering a detailed view of the metabolome in relation to omega-3 status and can be reused in future research related to nutrition, metabolomics, and cardiovascular health.</w:t>
      </w:r>
    </w:p>
    <w:p w:rsidRPr="00235CD6" w:rsidR="001C7D7C" w:rsidP="00EA2759" w:rsidRDefault="001C7D7C" w14:paraId="23F47CF7" w14:textId="1FCD11D6">
      <w:pPr>
        <w:pStyle w:val="Heading1"/>
        <w:rPr>
          <w:lang w:val="en-US"/>
        </w:rPr>
      </w:pPr>
      <w:r w:rsidRPr="1F2BA446" w:rsidR="1F2BA446">
        <w:rPr>
          <w:lang w:val="en-US"/>
        </w:rPr>
        <w:t>DATA DESCRIPTION</w:t>
      </w:r>
    </w:p>
    <w:permStart w:edGrp="everyone" w:id="2121863869"/>
    <w:permEnd w:id="2121863869"/>
    <w:p w:rsidR="00FD370E" w:rsidP="1F2BA446" w:rsidRDefault="00FD370E" w14:paraId="5E5AFE2D" w14:textId="0D5133E8">
      <w:pPr>
        <w:pStyle w:val="ListParagraph"/>
        <w:numPr>
          <w:ilvl w:val="0"/>
          <w:numId w:val="8"/>
        </w:numPr>
        <w:jc w:val="both"/>
        <w:rPr>
          <w:lang w:val="en-US"/>
        </w:rPr>
      </w:pPr>
      <w:r w:rsidRPr="1F2BA446" w:rsidR="1F2BA446">
        <w:rPr>
          <w:lang w:val="en-GB"/>
        </w:rPr>
        <w:t>Clinical Data: Contains .csv files with demographic information, cardiovascular health markers (e.g., triglyceride levels, cholesterol profiles), and omega-3 intake data from each participant at baseline and after supplementation.</w:t>
      </w:r>
    </w:p>
    <w:p w:rsidR="00FD370E" w:rsidP="1F2BA446" w:rsidRDefault="00FD370E" w14:paraId="2B0C0B2A" w14:textId="580AAC41">
      <w:pPr>
        <w:pStyle w:val="ListParagraph"/>
        <w:numPr>
          <w:ilvl w:val="0"/>
          <w:numId w:val="8"/>
        </w:numPr>
        <w:jc w:val="both"/>
        <w:rPr/>
      </w:pPr>
      <w:r w:rsidRPr="1F2BA446" w:rsidR="1F2BA446">
        <w:rPr>
          <w:lang w:val="en-GB"/>
        </w:rPr>
        <w:t>Metabolomic Data: Includes .mzML and .cdf files representing raw and processed metabolomic data obtained from MSI-CE-MS and LC-MS analyses of urine samples. These files are organized by participant ID and collection time point (e.g., baseline, post-supplementation).</w:t>
      </w:r>
    </w:p>
    <w:p w:rsidR="00FD370E" w:rsidP="1F2BA446" w:rsidRDefault="00FD370E" w14:paraId="287FA5B2" w14:textId="09581318">
      <w:pPr>
        <w:pStyle w:val="ListParagraph"/>
        <w:numPr>
          <w:ilvl w:val="0"/>
          <w:numId w:val="8"/>
        </w:numPr>
        <w:jc w:val="both"/>
        <w:rPr/>
      </w:pPr>
      <w:r w:rsidRPr="1F2BA446" w:rsidR="1F2BA446">
        <w:rPr>
          <w:lang w:val="en-US"/>
        </w:rPr>
        <w:t>Metadata: Comprehensive metadata in .txt format describes each dataset, including sample collection protocols, instrument settings, and normalization methods (log transformation and autoscaling).</w:t>
      </w:r>
    </w:p>
    <w:p w:rsidRPr="00FD370E" w:rsidR="00FD370E" w:rsidP="00EA2759" w:rsidRDefault="00FD370E" w14:paraId="5A6AC4E5" w14:textId="2CAFEE4F">
      <w:pPr>
        <w:pStyle w:val="Heading1"/>
        <w:rPr>
          <w:lang w:val="en-US"/>
        </w:rPr>
      </w:pPr>
      <w:r w:rsidRPr="1F2BA446" w:rsidR="1F2BA446">
        <w:rPr>
          <w:lang w:val="en-US"/>
        </w:rPr>
        <w:t>EXPERIMENTAL DESIGN</w:t>
      </w:r>
      <w:r w:rsidRPr="1F2BA446" w:rsidR="1F2BA446">
        <w:rPr>
          <w:lang w:val="en-US"/>
        </w:rPr>
        <w:t>, MATERIALS AND METHODS</w:t>
      </w:r>
    </w:p>
    <w:permStart w:edGrp="everyone" w:id="1250393238"/>
    <w:permEnd w:id="1250393238"/>
    <w:p w:rsidR="00990A4F" w:rsidP="1F2BA446" w:rsidRDefault="00990A4F" w14:paraId="09DCD03F" w14:textId="103CBF8A">
      <w:pPr>
        <w:jc w:val="both"/>
        <w:rPr>
          <w:i w:val="0"/>
          <w:iCs w:val="0"/>
          <w:color w:val="auto"/>
          <w:lang w:val="en-GB"/>
        </w:rPr>
      </w:pPr>
      <w:r w:rsidRPr="1F2BA446" w:rsidR="1F2BA446">
        <w:rPr>
          <w:i w:val="0"/>
          <w:iCs w:val="0"/>
          <w:color w:val="auto"/>
          <w:lang w:val="en-GB"/>
        </w:rPr>
        <w:t xml:space="preserve">The data were </w:t>
      </w:r>
      <w:r w:rsidRPr="1F2BA446" w:rsidR="1F2BA446">
        <w:rPr>
          <w:i w:val="0"/>
          <w:iCs w:val="0"/>
          <w:color w:val="auto"/>
          <w:lang w:val="en-GB"/>
        </w:rPr>
        <w:t>acquired</w:t>
      </w:r>
      <w:r w:rsidRPr="1F2BA446" w:rsidR="1F2BA446">
        <w:rPr>
          <w:i w:val="0"/>
          <w:iCs w:val="0"/>
          <w:color w:val="auto"/>
          <w:lang w:val="en-GB"/>
        </w:rPr>
        <w:t xml:space="preserve"> through a double-blind randomized controlled trial involving 120 participants who consumed either olive oil (control), low-dose EPA+DHA, high-dose EPA+DHA, or salmon (twice weekly) for 12 weeks, followed by a 12-week washout period. Biological samples, including fasted blood and first-void urine, were collected at multiple time points (baseline, during supplementation, post-washout).</w:t>
      </w:r>
    </w:p>
    <w:p w:rsidR="00990A4F" w:rsidP="1F2BA446" w:rsidRDefault="00990A4F" w14:paraId="6CA60ADF" w14:textId="2CC9AAF5">
      <w:pPr>
        <w:pStyle w:val="Normal"/>
        <w:jc w:val="both"/>
        <w:rPr>
          <w:i w:val="0"/>
          <w:iCs w:val="0"/>
          <w:color w:val="auto"/>
          <w:lang w:val="en-GB"/>
        </w:rPr>
      </w:pPr>
      <w:r w:rsidRPr="1F2BA446" w:rsidR="1F2BA446">
        <w:rPr>
          <w:i w:val="0"/>
          <w:iCs w:val="0"/>
          <w:color w:val="auto"/>
          <w:lang w:val="en-GB"/>
        </w:rPr>
        <w:t>Instruments: Urine samples were analyzed using MSI-CE-MS (Agilent G7100A) and LC-MS, while blood samples were used to measure EPA and DHA levels in red blood cells via gas chromatography-flame ionization detection (Agilent 7890A).</w:t>
      </w:r>
    </w:p>
    <w:p w:rsidR="00990A4F" w:rsidP="1F2BA446" w:rsidRDefault="00990A4F" w14:paraId="74000BD8" w14:textId="06911DFA">
      <w:pPr>
        <w:pStyle w:val="Normal"/>
        <w:jc w:val="both"/>
        <w:rPr>
          <w:i w:val="0"/>
          <w:iCs w:val="0"/>
          <w:color w:val="auto"/>
          <w:lang w:val="en-GB"/>
        </w:rPr>
      </w:pPr>
      <w:r w:rsidRPr="1F2BA446" w:rsidR="1F2BA446">
        <w:rPr>
          <w:i w:val="0"/>
          <w:iCs w:val="0"/>
          <w:color w:val="auto"/>
          <w:lang w:val="en-GB"/>
        </w:rPr>
        <w:t>Software: Mass spectrometry data were processed using Mass Hunter and analyzed with MetaboAnalyst 5.0. Clinical data were organized and analyzed using standard statistical software (e.g., R or Python).</w:t>
      </w:r>
    </w:p>
    <w:p w:rsidR="00990A4F" w:rsidP="1F2BA446" w:rsidRDefault="00990A4F" w14:paraId="7BD2FEC3" w14:textId="08CEEFEA">
      <w:pPr>
        <w:pStyle w:val="Normal"/>
        <w:jc w:val="both"/>
        <w:rPr>
          <w:i w:val="0"/>
          <w:iCs w:val="0"/>
          <w:color w:val="auto"/>
          <w:lang w:val="en-US"/>
        </w:rPr>
      </w:pPr>
      <w:r w:rsidRPr="1F2BA446" w:rsidR="1F2BA446">
        <w:rPr>
          <w:i w:val="0"/>
          <w:iCs w:val="0"/>
          <w:color w:val="auto"/>
          <w:lang w:val="en-US"/>
        </w:rPr>
        <w:t>Normalization: Data were normalized using log transformation and autoscaling to minimize variability across samples.</w:t>
      </w:r>
    </w:p>
    <w:p w:rsidR="00990A4F" w:rsidP="1F2BA446" w:rsidRDefault="00990A4F" w14:paraId="6318EFD1" w14:textId="29746CAA">
      <w:pPr>
        <w:pStyle w:val="Normal"/>
        <w:jc w:val="both"/>
        <w:rPr>
          <w:i w:val="0"/>
          <w:iCs w:val="0"/>
          <w:color w:val="auto" w:themeColor="accent1"/>
          <w:lang w:val="en-GB"/>
        </w:rPr>
      </w:pPr>
      <w:r w:rsidRPr="1F2BA446" w:rsidR="1F2BA446">
        <w:rPr>
          <w:i w:val="0"/>
          <w:iCs w:val="0"/>
          <w:color w:val="auto"/>
          <w:lang w:val="en-GB"/>
        </w:rPr>
        <w:t xml:space="preserve">All data, including raw and processed formats, are made available for reuse, and detailed metadata </w:t>
      </w:r>
      <w:r w:rsidRPr="1F2BA446" w:rsidR="1F2BA446">
        <w:rPr>
          <w:i w:val="0"/>
          <w:iCs w:val="0"/>
          <w:color w:val="auto"/>
          <w:lang w:val="en-GB"/>
        </w:rPr>
        <w:t>accompanies</w:t>
      </w:r>
      <w:r w:rsidRPr="1F2BA446" w:rsidR="1F2BA446">
        <w:rPr>
          <w:i w:val="0"/>
          <w:iCs w:val="0"/>
          <w:color w:val="auto"/>
          <w:lang w:val="en-GB"/>
        </w:rPr>
        <w:t xml:space="preserve"> each dataset.</w:t>
      </w:r>
    </w:p>
    <w:p w:rsidR="00990A4F" w:rsidP="1F2BA446" w:rsidRDefault="00990A4F" w14:paraId="6763C333" w14:textId="37F4F854" w14:noSpellErr="1">
      <w:pPr>
        <w:pStyle w:val="Heading1"/>
        <w:jc w:val="both"/>
        <w:rPr>
          <w:lang w:val="en-US"/>
        </w:rPr>
      </w:pPr>
      <w:r w:rsidRPr="1F2BA446" w:rsidR="1F2BA446">
        <w:rPr>
          <w:lang w:val="en-US"/>
        </w:rPr>
        <w:t>LIMITAT</w:t>
      </w:r>
      <w:r w:rsidRPr="1F2BA446" w:rsidR="1F2BA446">
        <w:rPr>
          <w:lang w:val="en-US"/>
        </w:rPr>
        <w:t>IONS</w:t>
      </w:r>
    </w:p>
    <w:permStart w:edGrp="everyone" w:id="530347857"/>
    <w:permEnd w:id="530347857"/>
    <w:p w:rsidR="1F2BA446" w:rsidP="1F2BA446" w:rsidRDefault="1F2BA446" w14:paraId="4593EFF0" w14:textId="5C749241">
      <w:pPr>
        <w:jc w:val="both"/>
        <w:rPr>
          <w:i w:val="0"/>
          <w:iCs w:val="0"/>
          <w:color w:val="auto"/>
        </w:rPr>
      </w:pPr>
      <w:r w:rsidRPr="1F2BA446" w:rsidR="1F2BA446">
        <w:rPr>
          <w:i w:val="0"/>
          <w:iCs w:val="0"/>
          <w:color w:val="auto"/>
        </w:rPr>
        <w:t xml:space="preserve">The dataset is limited to a specific population group (participants aged 18-45) and may not fully </w:t>
      </w:r>
      <w:r w:rsidRPr="1F2BA446" w:rsidR="1F2BA446">
        <w:rPr>
          <w:i w:val="0"/>
          <w:iCs w:val="0"/>
          <w:color w:val="auto"/>
        </w:rPr>
        <w:t>represent</w:t>
      </w:r>
      <w:r w:rsidRPr="1F2BA446" w:rsidR="1F2BA446">
        <w:rPr>
          <w:i w:val="0"/>
          <w:iCs w:val="0"/>
          <w:color w:val="auto"/>
        </w:rPr>
        <w:t xml:space="preserve"> other age groups or populations with different dietary habits or health conditions.</w:t>
      </w:r>
    </w:p>
    <w:p w:rsidR="1F2BA446" w:rsidP="1F2BA446" w:rsidRDefault="1F2BA446" w14:paraId="14A9A100" w14:textId="64555B94">
      <w:pPr>
        <w:pStyle w:val="Normal"/>
        <w:jc w:val="both"/>
        <w:rPr>
          <w:i w:val="0"/>
          <w:iCs w:val="0"/>
          <w:color w:val="auto"/>
        </w:rPr>
      </w:pPr>
      <w:r w:rsidRPr="1F2BA446" w:rsidR="1F2BA446">
        <w:rPr>
          <w:i w:val="0"/>
          <w:iCs w:val="0"/>
          <w:color w:val="auto"/>
        </w:rPr>
        <w:t xml:space="preserve">While the sample size (n=120) is sufficient for exploring dose-response relationships, larger datasets may be </w:t>
      </w:r>
      <w:r w:rsidRPr="1F2BA446" w:rsidR="1F2BA446">
        <w:rPr>
          <w:i w:val="0"/>
          <w:iCs w:val="0"/>
          <w:color w:val="auto"/>
        </w:rPr>
        <w:t>required</w:t>
      </w:r>
      <w:r w:rsidRPr="1F2BA446" w:rsidR="1F2BA446">
        <w:rPr>
          <w:i w:val="0"/>
          <w:iCs w:val="0"/>
          <w:color w:val="auto"/>
        </w:rPr>
        <w:t xml:space="preserve"> for </w:t>
      </w:r>
      <w:r w:rsidRPr="1F2BA446" w:rsidR="1F2BA446">
        <w:rPr>
          <w:i w:val="0"/>
          <w:iCs w:val="0"/>
          <w:color w:val="auto"/>
        </w:rPr>
        <w:t>identifying</w:t>
      </w:r>
      <w:r w:rsidRPr="1F2BA446" w:rsidR="1F2BA446">
        <w:rPr>
          <w:i w:val="0"/>
          <w:iCs w:val="0"/>
          <w:color w:val="auto"/>
        </w:rPr>
        <w:t xml:space="preserve"> rare metabolites or performing more complex subgroup analyses.</w:t>
      </w:r>
    </w:p>
    <w:p w:rsidR="1F2BA446" w:rsidP="1F2BA446" w:rsidRDefault="1F2BA446" w14:paraId="5DA10B48" w14:textId="5FC0AD74">
      <w:pPr>
        <w:pStyle w:val="Normal"/>
        <w:jc w:val="both"/>
        <w:rPr>
          <w:i w:val="0"/>
          <w:iCs w:val="0"/>
          <w:color w:val="auto"/>
        </w:rPr>
      </w:pPr>
      <w:r w:rsidRPr="1F2BA446" w:rsidR="1F2BA446">
        <w:rPr>
          <w:i w:val="0"/>
          <w:iCs w:val="0"/>
          <w:color w:val="auto"/>
        </w:rPr>
        <w:t>The trial focuses on omega-3 fatty acids, specifically EPA and DHA, and may not capture broader dietary or lifestyle influences that could affect metabolomic profiles.</w:t>
      </w:r>
    </w:p>
    <w:p w:rsidRPr="001D642B" w:rsidR="001D642B" w:rsidP="005E575D" w:rsidRDefault="005E575D" w14:paraId="044A5189" w14:textId="7DB984CC">
      <w:pPr>
        <w:pStyle w:val="Heading1"/>
      </w:pPr>
      <w:r w:rsidR="1F2BA446">
        <w:rPr/>
        <w:t>ETHICS STATEMENT</w:t>
      </w:r>
    </w:p>
    <w:permStart w:edGrp="everyone" w:id="1207854401"/>
    <w:permEnd w:id="1207854401"/>
    <w:p w:rsidRPr="001D642B" w:rsidR="00C657DC" w:rsidP="1F2BA446" w:rsidRDefault="00C657DC" w14:paraId="177B1BA7" w14:textId="755CD1D9">
      <w:pPr>
        <w:spacing w:before="240" w:beforeAutospacing="off" w:after="240" w:afterAutospacing="off"/>
        <w:rPr>
          <w:rFonts w:ascii="Calibri" w:hAnsi="Calibri" w:eastAsia="Calibri" w:cs="Calibri"/>
          <w:noProof w:val="0"/>
          <w:sz w:val="22"/>
          <w:szCs w:val="22"/>
          <w:lang w:val="en-GB"/>
        </w:rPr>
      </w:pPr>
      <w:r w:rsidRPr="1F2BA446" w:rsidR="1F2BA446">
        <w:rPr>
          <w:rFonts w:ascii="Calibri" w:hAnsi="Calibri" w:eastAsia="Calibri" w:cs="Calibri"/>
          <w:noProof w:val="0"/>
          <w:sz w:val="22"/>
          <w:szCs w:val="22"/>
          <w:lang w:val="en-GB"/>
        </w:rPr>
        <w:t xml:space="preserve">This research was carried out </w:t>
      </w:r>
      <w:r w:rsidRPr="1F2BA446" w:rsidR="1F2BA446">
        <w:rPr>
          <w:rFonts w:ascii="Calibri" w:hAnsi="Calibri" w:eastAsia="Calibri" w:cs="Calibri"/>
          <w:noProof w:val="0"/>
          <w:sz w:val="22"/>
          <w:szCs w:val="22"/>
          <w:lang w:val="en-GB"/>
        </w:rPr>
        <w:t>in accordance with</w:t>
      </w:r>
      <w:r w:rsidRPr="1F2BA446" w:rsidR="1F2BA446">
        <w:rPr>
          <w:rFonts w:ascii="Calibri" w:hAnsi="Calibri" w:eastAsia="Calibri" w:cs="Calibri"/>
          <w:noProof w:val="0"/>
          <w:sz w:val="22"/>
          <w:szCs w:val="22"/>
          <w:lang w:val="en-GB"/>
        </w:rPr>
        <w:t xml:space="preserve"> the Declaration of Helsinki and received approval from the institutional Research Ethics Board (REB). Informed consent was obtained from all participants prior to their inclusion in the study.</w:t>
      </w:r>
    </w:p>
    <w:p w:rsidRPr="001D642B" w:rsidR="001D642B" w:rsidP="002937BD" w:rsidRDefault="002937BD" w14:paraId="5B9C57DE" w14:textId="4759F3EA">
      <w:pPr>
        <w:pStyle w:val="Heading1"/>
      </w:pPr>
      <w:r w:rsidR="1F2BA446">
        <w:rPr/>
        <w:t>CRediT AUTHOR STATEMENT</w:t>
      </w:r>
    </w:p>
    <w:permStart w:edGrp="everyone" w:id="731979715"/>
    <w:permEnd w:id="731979715"/>
    <w:tbl>
      <w:tblPr>
        <w:tblStyle w:val="TableGrid"/>
        <w:tblW w:w="0" w:type="auto"/>
        <w:tblLayout w:type="fixed"/>
        <w:tblLook w:val="06A0" w:firstRow="1" w:lastRow="0" w:firstColumn="1" w:lastColumn="0" w:noHBand="1" w:noVBand="1"/>
      </w:tblPr>
      <w:tblGrid>
        <w:gridCol w:w="4508"/>
        <w:gridCol w:w="4508"/>
      </w:tblGrid>
      <w:tr w:rsidR="1F2BA446" w:rsidTr="1F2BA446" w14:paraId="32E951A0">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1F2BA446" w:rsidP="1F2BA446" w:rsidRDefault="1F2BA446" w14:paraId="7E6EDF33" w14:textId="29BCD41D">
            <w:pPr>
              <w:pStyle w:val="Normal"/>
              <w:rPr>
                <w:rFonts w:ascii="Calibri" w:hAnsi="Calibri" w:eastAsia="Calibri" w:cs="Calibri"/>
                <w:b w:val="0"/>
                <w:bCs w:val="0"/>
                <w:i w:val="1"/>
                <w:iCs w:val="1"/>
                <w:caps w:val="0"/>
                <w:smallCaps w:val="0"/>
                <w:noProof w:val="0"/>
                <w:color w:val="auto"/>
                <w:sz w:val="22"/>
                <w:szCs w:val="22"/>
                <w:vertAlign w:val="superscript"/>
                <w:lang w:val="en-CA"/>
              </w:rPr>
            </w:pPr>
            <w:r w:rsidRPr="1F2BA446" w:rsidR="1F2BA446">
              <w:rPr>
                <w:rFonts w:ascii="Calibri" w:hAnsi="Calibri" w:eastAsia="Calibri" w:cs="Calibri"/>
                <w:b w:val="0"/>
                <w:bCs w:val="0"/>
                <w:i w:val="1"/>
                <w:iCs w:val="1"/>
                <w:caps w:val="0"/>
                <w:smallCaps w:val="0"/>
                <w:noProof w:val="0"/>
                <w:color w:val="auto"/>
                <w:sz w:val="22"/>
                <w:szCs w:val="22"/>
                <w:lang w:val="en-CA"/>
              </w:rPr>
              <w:t>David M. Mutch</w:t>
            </w:r>
          </w:p>
        </w:tc>
        <w:tc>
          <w:tcPr>
            <w:cnfStyle w:val="000000000000" w:firstRow="0" w:lastRow="0" w:firstColumn="0" w:lastColumn="0" w:oddVBand="0" w:evenVBand="0" w:oddHBand="0" w:evenHBand="0" w:firstRowFirstColumn="0" w:firstRowLastColumn="0" w:lastRowFirstColumn="0" w:lastRowLastColumn="0"/>
            <w:tcW w:w="4508" w:type="dxa"/>
            <w:tcMar/>
          </w:tcPr>
          <w:p w:rsidR="1F2BA446" w:rsidP="1F2BA446" w:rsidRDefault="1F2BA446" w14:paraId="6D838C34" w14:textId="7609D2BF">
            <w:pPr>
              <w:pStyle w:val="Normal"/>
              <w:rPr>
                <w:i w:val="1"/>
                <w:iCs w:val="1"/>
                <w:color w:val="auto"/>
                <w:sz w:val="22"/>
                <w:szCs w:val="22"/>
              </w:rPr>
            </w:pPr>
            <w:r w:rsidRPr="1F2BA446" w:rsidR="1F2BA446">
              <w:rPr>
                <w:i w:val="1"/>
                <w:iCs w:val="1"/>
                <w:color w:val="auto"/>
                <w:sz w:val="22"/>
                <w:szCs w:val="22"/>
              </w:rPr>
              <w:t xml:space="preserve">Conceptualization, </w:t>
            </w:r>
          </w:p>
          <w:p w:rsidR="1F2BA446" w:rsidP="1F2BA446" w:rsidRDefault="1F2BA446" w14:paraId="74ACE623" w14:textId="535BB1A5">
            <w:pPr>
              <w:pStyle w:val="Normal"/>
              <w:rPr>
                <w:i w:val="1"/>
                <w:iCs w:val="1"/>
                <w:color w:val="auto"/>
                <w:sz w:val="22"/>
                <w:szCs w:val="22"/>
              </w:rPr>
            </w:pPr>
            <w:r w:rsidRPr="1F2BA446" w:rsidR="1F2BA446">
              <w:rPr>
                <w:rFonts w:ascii="Calibri" w:hAnsi="Calibri" w:eastAsia="Calibri" w:cs="Calibri" w:asciiTheme="minorAscii" w:hAnsiTheme="minorAscii" w:eastAsiaTheme="minorAscii" w:cstheme="minorAscii"/>
                <w:i w:val="1"/>
                <w:iCs w:val="1"/>
                <w:color w:val="auto"/>
                <w:sz w:val="22"/>
                <w:szCs w:val="22"/>
              </w:rPr>
              <w:t>Methodology.</w:t>
            </w:r>
          </w:p>
        </w:tc>
      </w:tr>
      <w:tr w:rsidR="1F2BA446" w:rsidTr="1F2BA446" w14:paraId="45AFECD0">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1F2BA446" w:rsidP="1F2BA446" w:rsidRDefault="1F2BA446" w14:paraId="1AA42153" w14:textId="41B4E12F">
            <w:pPr>
              <w:pStyle w:val="Normal"/>
              <w:rPr>
                <w:rFonts w:ascii="Calibri" w:hAnsi="Calibri" w:eastAsia="Calibri" w:cs="Calibri"/>
                <w:b w:val="0"/>
                <w:bCs w:val="0"/>
                <w:i w:val="1"/>
                <w:iCs w:val="1"/>
                <w:caps w:val="0"/>
                <w:smallCaps w:val="0"/>
                <w:noProof w:val="0"/>
                <w:color w:val="auto"/>
                <w:sz w:val="22"/>
                <w:szCs w:val="22"/>
                <w:vertAlign w:val="superscript"/>
                <w:lang w:val="en-CA"/>
              </w:rPr>
            </w:pPr>
            <w:r w:rsidRPr="1F2BA446" w:rsidR="1F2BA446">
              <w:rPr>
                <w:rFonts w:ascii="Calibri" w:hAnsi="Calibri" w:eastAsia="Calibri" w:cs="Calibri"/>
                <w:b w:val="0"/>
                <w:bCs w:val="0"/>
                <w:i w:val="1"/>
                <w:iCs w:val="1"/>
                <w:caps w:val="0"/>
                <w:smallCaps w:val="0"/>
                <w:strike w:val="0"/>
                <w:dstrike w:val="0"/>
                <w:noProof w:val="0"/>
                <w:color w:val="auto"/>
                <w:sz w:val="22"/>
                <w:szCs w:val="22"/>
                <w:u w:val="single"/>
                <w:lang w:val="en-CA"/>
              </w:rPr>
              <w:t>Mariana Buitrago</w:t>
            </w:r>
          </w:p>
        </w:tc>
        <w:tc>
          <w:tcPr>
            <w:cnfStyle w:val="000000000000" w:firstRow="0" w:lastRow="0" w:firstColumn="0" w:lastColumn="0" w:oddVBand="0" w:evenVBand="0" w:oddHBand="0" w:evenHBand="0" w:firstRowFirstColumn="0" w:firstRowLastColumn="0" w:lastRowFirstColumn="0" w:lastRowLastColumn="0"/>
            <w:tcW w:w="4508" w:type="dxa"/>
            <w:tcMar/>
          </w:tcPr>
          <w:p w:rsidR="1F2BA446" w:rsidP="1F2BA446" w:rsidRDefault="1F2BA446" w14:paraId="36B3980C" w14:textId="1B46068A">
            <w:pPr>
              <w:pStyle w:val="Normal"/>
              <w:rPr>
                <w:rFonts w:ascii="Calibri" w:hAnsi="Calibri" w:eastAsia="Calibri" w:cs="Calibri"/>
                <w:b w:val="0"/>
                <w:bCs w:val="0"/>
                <w:i w:val="1"/>
                <w:iCs w:val="1"/>
                <w:caps w:val="0"/>
                <w:smallCaps w:val="0"/>
                <w:noProof w:val="0"/>
                <w:color w:val="auto"/>
                <w:sz w:val="22"/>
                <w:szCs w:val="22"/>
                <w:lang w:val="en-GB"/>
              </w:rPr>
            </w:pPr>
            <w:r w:rsidRPr="1F2BA446" w:rsidR="1F2BA446">
              <w:rPr>
                <w:rFonts w:ascii="Calibri" w:hAnsi="Calibri" w:eastAsia="Calibri" w:cs="Calibri"/>
                <w:b w:val="0"/>
                <w:bCs w:val="0"/>
                <w:i w:val="1"/>
                <w:iCs w:val="1"/>
                <w:caps w:val="0"/>
                <w:smallCaps w:val="0"/>
                <w:noProof w:val="0"/>
                <w:color w:val="auto"/>
                <w:sz w:val="22"/>
                <w:szCs w:val="22"/>
                <w:lang w:val="en-GB"/>
              </w:rPr>
              <w:t>Validation,</w:t>
            </w:r>
          </w:p>
          <w:p w:rsidR="1F2BA446" w:rsidP="1F2BA446" w:rsidRDefault="1F2BA446" w14:paraId="3E75EC18" w14:textId="58960AEC">
            <w:pPr>
              <w:pStyle w:val="Normal"/>
              <w:rPr>
                <w:rFonts w:ascii="Calibri" w:hAnsi="Calibri" w:eastAsia="Calibri" w:cs="Calibri"/>
                <w:b w:val="0"/>
                <w:bCs w:val="0"/>
                <w:i w:val="1"/>
                <w:iCs w:val="1"/>
                <w:caps w:val="0"/>
                <w:smallCaps w:val="0"/>
                <w:noProof w:val="0"/>
                <w:color w:val="auto"/>
                <w:sz w:val="22"/>
                <w:szCs w:val="22"/>
                <w:lang w:val="en-GB"/>
              </w:rPr>
            </w:pPr>
            <w:r w:rsidRPr="1F2BA446" w:rsidR="1F2BA446">
              <w:rPr>
                <w:rFonts w:ascii="Calibri" w:hAnsi="Calibri" w:eastAsia="Calibri" w:cs="Calibri"/>
                <w:b w:val="0"/>
                <w:bCs w:val="0"/>
                <w:i w:val="1"/>
                <w:iCs w:val="1"/>
                <w:caps w:val="0"/>
                <w:smallCaps w:val="0"/>
                <w:noProof w:val="0"/>
                <w:color w:val="auto"/>
                <w:sz w:val="22"/>
                <w:szCs w:val="22"/>
                <w:lang w:val="en-GB"/>
              </w:rPr>
              <w:t xml:space="preserve">Formal analysis, </w:t>
            </w:r>
          </w:p>
          <w:p w:rsidR="1F2BA446" w:rsidP="1F2BA446" w:rsidRDefault="1F2BA446" w14:paraId="6332504B" w14:textId="6E386DF5">
            <w:pPr>
              <w:pStyle w:val="Normal"/>
              <w:rPr>
                <w:rFonts w:ascii="Calibri" w:hAnsi="Calibri" w:eastAsia="Calibri" w:cs="Calibri"/>
                <w:b w:val="0"/>
                <w:bCs w:val="0"/>
                <w:i w:val="1"/>
                <w:iCs w:val="1"/>
                <w:caps w:val="0"/>
                <w:smallCaps w:val="0"/>
                <w:noProof w:val="0"/>
                <w:color w:val="auto"/>
                <w:sz w:val="22"/>
                <w:szCs w:val="22"/>
                <w:lang w:val="en-GB"/>
              </w:rPr>
            </w:pPr>
            <w:r w:rsidRPr="1F2BA446" w:rsidR="1F2BA446">
              <w:rPr>
                <w:rFonts w:ascii="Calibri" w:hAnsi="Calibri" w:eastAsia="Calibri" w:cs="Calibri"/>
                <w:b w:val="0"/>
                <w:bCs w:val="0"/>
                <w:i w:val="1"/>
                <w:iCs w:val="1"/>
                <w:caps w:val="0"/>
                <w:smallCaps w:val="0"/>
                <w:noProof w:val="0"/>
                <w:color w:val="auto"/>
                <w:sz w:val="22"/>
                <w:szCs w:val="22"/>
                <w:lang w:val="en-GB"/>
              </w:rPr>
              <w:t>Investigation.</w:t>
            </w:r>
          </w:p>
        </w:tc>
      </w:tr>
      <w:tr w:rsidR="1F2BA446" w:rsidTr="1F2BA446" w14:paraId="54E9D647">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1F2BA446" w:rsidP="1F2BA446" w:rsidRDefault="1F2BA446" w14:paraId="12A382D7" w14:textId="5236E531">
            <w:pPr>
              <w:pStyle w:val="Normal"/>
              <w:rPr>
                <w:rFonts w:ascii="Calibri" w:hAnsi="Calibri" w:eastAsia="Calibri" w:cs="Calibri"/>
                <w:b w:val="0"/>
                <w:bCs w:val="0"/>
                <w:i w:val="1"/>
                <w:iCs w:val="1"/>
                <w:caps w:val="0"/>
                <w:smallCaps w:val="0"/>
                <w:noProof w:val="0"/>
                <w:color w:val="auto"/>
                <w:sz w:val="22"/>
                <w:szCs w:val="22"/>
                <w:vertAlign w:val="superscript"/>
                <w:lang w:val="en-CA"/>
              </w:rPr>
            </w:pPr>
            <w:r w:rsidRPr="1F2BA446" w:rsidR="1F2BA446">
              <w:rPr>
                <w:rFonts w:ascii="Calibri" w:hAnsi="Calibri" w:eastAsia="Calibri" w:cs="Calibri"/>
                <w:b w:val="0"/>
                <w:bCs w:val="0"/>
                <w:i w:val="1"/>
                <w:iCs w:val="1"/>
                <w:caps w:val="0"/>
                <w:smallCaps w:val="0"/>
                <w:noProof w:val="0"/>
                <w:color w:val="auto"/>
                <w:sz w:val="22"/>
                <w:szCs w:val="22"/>
                <w:lang w:val="en-CA"/>
              </w:rPr>
              <w:t xml:space="preserve">Zachary </w:t>
            </w:r>
            <w:r w:rsidRPr="1F2BA446" w:rsidR="1F2BA446">
              <w:rPr>
                <w:rFonts w:ascii="Calibri" w:hAnsi="Calibri" w:eastAsia="Calibri" w:cs="Calibri"/>
                <w:b w:val="0"/>
                <w:bCs w:val="0"/>
                <w:i w:val="1"/>
                <w:iCs w:val="1"/>
                <w:caps w:val="0"/>
                <w:smallCaps w:val="0"/>
                <w:noProof w:val="0"/>
                <w:color w:val="auto"/>
                <w:sz w:val="22"/>
                <w:szCs w:val="22"/>
                <w:lang w:val="en-CA"/>
              </w:rPr>
              <w:t>Kroezen</w:t>
            </w:r>
          </w:p>
        </w:tc>
        <w:tc>
          <w:tcPr>
            <w:cnfStyle w:val="000000000000" w:firstRow="0" w:lastRow="0" w:firstColumn="0" w:lastColumn="0" w:oddVBand="0" w:evenVBand="0" w:oddHBand="0" w:evenHBand="0" w:firstRowFirstColumn="0" w:firstRowLastColumn="0" w:lastRowFirstColumn="0" w:lastRowLastColumn="0"/>
            <w:tcW w:w="4508" w:type="dxa"/>
            <w:tcMar/>
          </w:tcPr>
          <w:p w:rsidR="1F2BA446" w:rsidP="1F2BA446" w:rsidRDefault="1F2BA446" w14:paraId="38AFD193" w14:textId="1FB45053">
            <w:pPr>
              <w:pStyle w:val="Normal"/>
              <w:rPr>
                <w:i w:val="1"/>
                <w:iCs w:val="1"/>
                <w:color w:val="auto"/>
                <w:sz w:val="22"/>
                <w:szCs w:val="22"/>
              </w:rPr>
            </w:pPr>
            <w:r w:rsidRPr="1F2BA446" w:rsidR="1F2BA446">
              <w:rPr>
                <w:i w:val="1"/>
                <w:iCs w:val="1"/>
                <w:color w:val="auto"/>
                <w:sz w:val="22"/>
                <w:szCs w:val="22"/>
              </w:rPr>
              <w:t>Resources.</w:t>
            </w:r>
          </w:p>
        </w:tc>
      </w:tr>
      <w:tr w:rsidR="1F2BA446" w:rsidTr="1F2BA446" w14:paraId="6FCF50FD">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1F2BA446" w:rsidP="1F2BA446" w:rsidRDefault="1F2BA446" w14:paraId="791E7BA6" w14:textId="5EB2057D">
            <w:pPr>
              <w:pStyle w:val="Normal"/>
              <w:rPr>
                <w:rFonts w:ascii="Calibri" w:hAnsi="Calibri" w:eastAsia="Calibri" w:cs="Calibri"/>
                <w:b w:val="0"/>
                <w:bCs w:val="0"/>
                <w:i w:val="1"/>
                <w:iCs w:val="1"/>
                <w:caps w:val="0"/>
                <w:smallCaps w:val="0"/>
                <w:noProof w:val="0"/>
                <w:color w:val="auto"/>
                <w:sz w:val="22"/>
                <w:szCs w:val="22"/>
                <w:vertAlign w:val="superscript"/>
                <w:lang w:val="en-CA"/>
              </w:rPr>
            </w:pPr>
            <w:r w:rsidRPr="1F2BA446" w:rsidR="1F2BA446">
              <w:rPr>
                <w:rFonts w:ascii="Calibri" w:hAnsi="Calibri" w:eastAsia="Calibri" w:cs="Calibri"/>
                <w:b w:val="0"/>
                <w:bCs w:val="0"/>
                <w:i w:val="1"/>
                <w:iCs w:val="1"/>
                <w:caps w:val="0"/>
                <w:smallCaps w:val="0"/>
                <w:noProof w:val="0"/>
                <w:color w:val="auto"/>
                <w:sz w:val="22"/>
                <w:szCs w:val="22"/>
                <w:lang w:val="en-CA"/>
              </w:rPr>
              <w:t>Philip Britz-McKibbin</w:t>
            </w:r>
          </w:p>
        </w:tc>
        <w:tc>
          <w:tcPr>
            <w:cnfStyle w:val="000000000000" w:firstRow="0" w:lastRow="0" w:firstColumn="0" w:lastColumn="0" w:oddVBand="0" w:evenVBand="0" w:oddHBand="0" w:evenHBand="0" w:firstRowFirstColumn="0" w:firstRowLastColumn="0" w:lastRowFirstColumn="0" w:lastRowLastColumn="0"/>
            <w:tcW w:w="4508" w:type="dxa"/>
            <w:tcMar/>
          </w:tcPr>
          <w:p w:rsidR="1F2BA446" w:rsidP="1F2BA446" w:rsidRDefault="1F2BA446" w14:paraId="331C5A5F" w14:textId="39DF18EA">
            <w:pPr>
              <w:pStyle w:val="Normal"/>
              <w:rPr>
                <w:i w:val="1"/>
                <w:iCs w:val="1"/>
                <w:color w:val="auto"/>
                <w:sz w:val="22"/>
                <w:szCs w:val="22"/>
              </w:rPr>
            </w:pPr>
            <w:r w:rsidRPr="1F2BA446" w:rsidR="1F2BA446">
              <w:rPr>
                <w:i w:val="1"/>
                <w:iCs w:val="1"/>
                <w:color w:val="auto"/>
                <w:sz w:val="22"/>
                <w:szCs w:val="22"/>
              </w:rPr>
              <w:t xml:space="preserve">Supervision, </w:t>
            </w:r>
          </w:p>
          <w:p w:rsidR="1F2BA446" w:rsidP="1F2BA446" w:rsidRDefault="1F2BA446" w14:paraId="19C17FEB" w14:textId="3A6A7D9E">
            <w:pPr>
              <w:pStyle w:val="Normal"/>
              <w:rPr>
                <w:i w:val="1"/>
                <w:iCs w:val="1"/>
                <w:color w:val="auto"/>
                <w:sz w:val="22"/>
                <w:szCs w:val="22"/>
              </w:rPr>
            </w:pPr>
            <w:r w:rsidRPr="1F2BA446" w:rsidR="1F2BA446">
              <w:rPr>
                <w:i w:val="1"/>
                <w:iCs w:val="1"/>
                <w:color w:val="auto"/>
                <w:sz w:val="22"/>
                <w:szCs w:val="22"/>
              </w:rPr>
              <w:t xml:space="preserve">Project administration, </w:t>
            </w:r>
          </w:p>
          <w:p w:rsidR="1F2BA446" w:rsidP="1F2BA446" w:rsidRDefault="1F2BA446" w14:paraId="4D625F1A" w14:textId="3414D449">
            <w:pPr>
              <w:pStyle w:val="Normal"/>
              <w:rPr>
                <w:i w:val="1"/>
                <w:iCs w:val="1"/>
                <w:color w:val="auto"/>
                <w:sz w:val="22"/>
                <w:szCs w:val="22"/>
              </w:rPr>
            </w:pPr>
            <w:r w:rsidRPr="1F2BA446" w:rsidR="1F2BA446">
              <w:rPr>
                <w:i w:val="1"/>
                <w:iCs w:val="1"/>
                <w:color w:val="auto"/>
                <w:sz w:val="22"/>
                <w:szCs w:val="22"/>
              </w:rPr>
              <w:t>Funding acquisition.</w:t>
            </w:r>
          </w:p>
        </w:tc>
      </w:tr>
    </w:tbl>
    <w:p w:rsidRPr="001D642B" w:rsidR="001D642B" w:rsidP="007632B5" w:rsidRDefault="007632B5" w14:paraId="326F0653" w14:textId="18031D13">
      <w:pPr>
        <w:pStyle w:val="Heading1"/>
      </w:pPr>
      <w:r w:rsidR="1F2BA446">
        <w:rPr/>
        <w:t>ACKNOWLEDGEMENTS</w:t>
      </w:r>
    </w:p>
    <w:permStart w:edGrp="everyone" w:id="526652227"/>
    <w:permEnd w:id="526652227"/>
    <w:p w:rsidRPr="001D642B" w:rsidR="004B3A8B" w:rsidP="1F2BA446" w:rsidRDefault="004B3A8B" w14:paraId="394C0C50" w14:textId="265F9966">
      <w:pPr>
        <w:spacing w:before="240" w:beforeAutospacing="off" w:after="240" w:afterAutospacing="off"/>
      </w:pPr>
      <w:r w:rsidRPr="1F2BA446" w:rsidR="1F2BA446">
        <w:rPr>
          <w:rFonts w:ascii="Calibri" w:hAnsi="Calibri" w:eastAsia="Calibri" w:cs="Calibri"/>
          <w:noProof w:val="0"/>
          <w:sz w:val="22"/>
          <w:szCs w:val="22"/>
          <w:lang w:val="en-GB"/>
        </w:rPr>
        <w:t>This research was supported by McMaster University, NSERC CRSNG, TMIC (The Metabolomics Innovation Center) and Canada Foundation for Innovation. The authors would like to thank [names of lab members, collaborators] for their contributions to data collection and analysis.</w:t>
      </w:r>
    </w:p>
    <w:p w:rsidRPr="001D642B" w:rsidR="001D642B" w:rsidP="004B3A8B" w:rsidRDefault="004B3A8B" w14:paraId="5A3B37A1" w14:textId="3654D04D">
      <w:pPr>
        <w:pStyle w:val="Heading1"/>
      </w:pPr>
      <w:r w:rsidR="1F2BA446">
        <w:rPr/>
        <w:t>DECLARATION OF COMPETING INTERESTS</w:t>
      </w:r>
    </w:p>
    <w:permStart w:edGrp="everyone" w:id="476120364"/>
    <w:permEnd w:id="476120364"/>
    <w:p w:rsidR="1F2BA446" w:rsidP="1F2BA446" w:rsidRDefault="1F2BA446" w14:paraId="0322E1DB" w14:textId="43CD69D5">
      <w:pPr>
        <w:pStyle w:val="Normal"/>
        <w:ind w:left="0"/>
        <w:rPr>
          <w:color w:val="000000" w:themeColor="text1" w:themeTint="FF" w:themeShade="FF"/>
        </w:rPr>
      </w:pPr>
      <w:r w:rsidRPr="1F2BA446" w:rsidR="1F2BA446">
        <w:rPr>
          <w:noProof w:val="0"/>
          <w:lang w:val="en-GB"/>
        </w:rPr>
        <w:t xml:space="preserve">The authors declare that they have no known competing </w:t>
      </w:r>
      <w:r w:rsidRPr="1F2BA446" w:rsidR="1F2BA446">
        <w:rPr>
          <w:noProof w:val="0"/>
          <w:lang w:val="en-GB"/>
        </w:rPr>
        <w:t>financial interests</w:t>
      </w:r>
      <w:r w:rsidRPr="1F2BA446" w:rsidR="1F2BA446">
        <w:rPr>
          <w:noProof w:val="0"/>
          <w:lang w:val="en-GB"/>
        </w:rPr>
        <w:t xml:space="preserve"> or personal relationships that could have appeared to influence the work reported in this paper.</w:t>
      </w:r>
    </w:p>
    <w:p w:rsidRPr="001D642B" w:rsidR="001D642B" w:rsidP="00AF5025" w:rsidRDefault="00AF5025" w14:paraId="3E2D5810" w14:textId="3973BF65">
      <w:pPr>
        <w:pStyle w:val="Heading1"/>
      </w:pPr>
      <w:r w:rsidR="1F2BA446">
        <w:rPr/>
        <w:t>REFERENCES</w:t>
      </w:r>
    </w:p>
    <w:permStart w:edGrp="everyone" w:id="1217095084"/>
    <w:permEnd w:id="1217095084"/>
    <w:p w:rsidR="1F2BA446" w:rsidP="1F2BA446" w:rsidRDefault="1F2BA446" w14:paraId="2AC206B7" w14:textId="1D0520D7">
      <w:pPr>
        <w:pStyle w:val="ListParagraph"/>
        <w:numPr>
          <w:ilvl w:val="0"/>
          <w:numId w:val="9"/>
        </w:numPr>
        <w:jc w:val="both"/>
        <w:rPr>
          <w:i w:val="0"/>
          <w:iCs w:val="0"/>
          <w:color w:val="auto"/>
        </w:rPr>
      </w:pPr>
      <w:r w:rsidRPr="1F2BA446" w:rsidR="1F2BA446">
        <w:rPr>
          <w:i w:val="0"/>
          <w:iCs w:val="0"/>
          <w:color w:val="auto"/>
        </w:rPr>
        <w:t>MacIntyre</w:t>
      </w:r>
      <w:r w:rsidRPr="1F2BA446" w:rsidR="1F2BA446">
        <w:rPr>
          <w:i w:val="0"/>
          <w:iCs w:val="0"/>
          <w:color w:val="auto"/>
        </w:rPr>
        <w:t xml:space="preserve">, B. C., et al. (2023). Urinary Metabolite Profiling to Non-Invasively Monitor the Omega-3 Index: An Exploratory Secondary Analysis of a Randomized Clinical Trial in Young Adults. Metabolites, 13(10), 1071. </w:t>
      </w:r>
    </w:p>
    <w:p w:rsidR="1F2BA446" w:rsidP="1F2BA446" w:rsidRDefault="1F2BA446" w14:paraId="6981629F" w14:textId="13E15E41">
      <w:pPr>
        <w:pStyle w:val="ListParagraph"/>
        <w:numPr>
          <w:ilvl w:val="0"/>
          <w:numId w:val="9"/>
        </w:numPr>
        <w:jc w:val="both"/>
        <w:rPr/>
      </w:pPr>
      <w:r w:rsidRPr="1F2BA446" w:rsidR="1F2BA446">
        <w:rPr>
          <w:rFonts w:ascii="Calibri" w:hAnsi="Calibri" w:eastAsia="Calibri" w:cs="Calibri"/>
          <w:noProof w:val="0"/>
          <w:sz w:val="22"/>
          <w:szCs w:val="22"/>
          <w:lang w:val="en-GB"/>
        </w:rPr>
        <w:t xml:space="preserve">Leaf, A., Historical overview of n-3 fatty acids and coronary heart disease. Am J Clin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2008. 87(6): p. 1978s-80s. </w:t>
      </w:r>
    </w:p>
    <w:p w:rsidR="1F2BA446" w:rsidP="1F2BA446" w:rsidRDefault="1F2BA446" w14:paraId="7B125FA8" w14:textId="728D57FE">
      <w:pPr>
        <w:pStyle w:val="ListParagraph"/>
        <w:numPr>
          <w:ilvl w:val="0"/>
          <w:numId w:val="9"/>
        </w:numPr>
        <w:jc w:val="both"/>
        <w:rPr/>
      </w:pPr>
      <w:r w:rsidRPr="1F2BA446" w:rsidR="1F2BA446">
        <w:rPr>
          <w:rFonts w:ascii="Calibri" w:hAnsi="Calibri" w:eastAsia="Calibri" w:cs="Calibri"/>
          <w:noProof w:val="0"/>
          <w:sz w:val="22"/>
          <w:szCs w:val="22"/>
          <w:lang w:val="en-GB"/>
        </w:rPr>
        <w:t xml:space="preserve">Tutor, A., et al., Omega-3 fatty acids in primary and secondary prevention of cardiovascular diseases. Prog Cardiovasc Dis, 2024. 84: p. 19-26. </w:t>
      </w:r>
    </w:p>
    <w:p w:rsidR="1F2BA446" w:rsidP="1F2BA446" w:rsidRDefault="1F2BA446" w14:paraId="4F4C53B6" w14:textId="1414736A">
      <w:pPr>
        <w:pStyle w:val="ListParagraph"/>
        <w:numPr>
          <w:ilvl w:val="0"/>
          <w:numId w:val="9"/>
        </w:numPr>
        <w:jc w:val="both"/>
        <w:rPr/>
      </w:pPr>
      <w:r w:rsidRPr="1F2BA446" w:rsidR="1F2BA446">
        <w:rPr>
          <w:rFonts w:ascii="Calibri" w:hAnsi="Calibri" w:eastAsia="Calibri" w:cs="Calibri"/>
          <w:noProof w:val="0"/>
          <w:sz w:val="22"/>
          <w:szCs w:val="22"/>
          <w:lang w:val="en-GB"/>
        </w:rPr>
        <w:t>Siscovick</w:t>
      </w:r>
      <w:r w:rsidRPr="1F2BA446" w:rsidR="1F2BA446">
        <w:rPr>
          <w:rFonts w:ascii="Calibri" w:hAnsi="Calibri" w:eastAsia="Calibri" w:cs="Calibri"/>
          <w:noProof w:val="0"/>
          <w:sz w:val="22"/>
          <w:szCs w:val="22"/>
          <w:lang w:val="en-GB"/>
        </w:rPr>
        <w:t xml:space="preserve">, D.S., et al., Omega-3 Polyunsaturated Fatty Acid (Fish Oil) Supplementation and the Prevention of Clinical Cardiovascular Disease: A Science Advisory </w:t>
      </w:r>
      <w:r w:rsidRPr="1F2BA446" w:rsidR="1F2BA446">
        <w:rPr>
          <w:rFonts w:ascii="Calibri" w:hAnsi="Calibri" w:eastAsia="Calibri" w:cs="Calibri"/>
          <w:noProof w:val="0"/>
          <w:sz w:val="22"/>
          <w:szCs w:val="22"/>
          <w:lang w:val="en-GB"/>
        </w:rPr>
        <w:t>From</w:t>
      </w:r>
      <w:r w:rsidRPr="1F2BA446" w:rsidR="1F2BA446">
        <w:rPr>
          <w:rFonts w:ascii="Calibri" w:hAnsi="Calibri" w:eastAsia="Calibri" w:cs="Calibri"/>
          <w:noProof w:val="0"/>
          <w:sz w:val="22"/>
          <w:szCs w:val="22"/>
          <w:lang w:val="en-GB"/>
        </w:rPr>
        <w:t xml:space="preserve"> the American Heart Association. Circulation, 2017. 135(15): p. e867-e884. </w:t>
      </w:r>
    </w:p>
    <w:p w:rsidR="1F2BA446" w:rsidP="1F2BA446" w:rsidRDefault="1F2BA446" w14:paraId="36B60789" w14:textId="2C01E589">
      <w:pPr>
        <w:pStyle w:val="ListParagraph"/>
        <w:numPr>
          <w:ilvl w:val="0"/>
          <w:numId w:val="9"/>
        </w:numPr>
        <w:jc w:val="both"/>
        <w:rPr/>
      </w:pPr>
      <w:r w:rsidRPr="1F2BA446" w:rsidR="1F2BA446">
        <w:rPr>
          <w:rFonts w:ascii="Calibri" w:hAnsi="Calibri" w:eastAsia="Calibri" w:cs="Calibri"/>
          <w:noProof w:val="0"/>
          <w:sz w:val="22"/>
          <w:szCs w:val="22"/>
          <w:lang w:val="en-GB"/>
        </w:rPr>
        <w:t xml:space="preserve">Rimm, E.B., et al., Seafood Long-Chain n-3 Polyunsaturated Fatty Acids and Cardiovascular Disease: A Science Advisory </w:t>
      </w:r>
      <w:r w:rsidRPr="1F2BA446" w:rsidR="1F2BA446">
        <w:rPr>
          <w:rFonts w:ascii="Calibri" w:hAnsi="Calibri" w:eastAsia="Calibri" w:cs="Calibri"/>
          <w:noProof w:val="0"/>
          <w:sz w:val="22"/>
          <w:szCs w:val="22"/>
          <w:lang w:val="en-GB"/>
        </w:rPr>
        <w:t>From</w:t>
      </w:r>
      <w:r w:rsidRPr="1F2BA446" w:rsidR="1F2BA446">
        <w:rPr>
          <w:rFonts w:ascii="Calibri" w:hAnsi="Calibri" w:eastAsia="Calibri" w:cs="Calibri"/>
          <w:noProof w:val="0"/>
          <w:sz w:val="22"/>
          <w:szCs w:val="22"/>
          <w:lang w:val="en-GB"/>
        </w:rPr>
        <w:t xml:space="preserve"> the American Heart Association. Circulation, 2018. 138(1): p. e35-e47. </w:t>
      </w:r>
    </w:p>
    <w:p w:rsidR="1F2BA446" w:rsidP="1F2BA446" w:rsidRDefault="1F2BA446" w14:paraId="103395FA" w14:textId="6C98B6C7">
      <w:pPr>
        <w:pStyle w:val="ListParagraph"/>
        <w:numPr>
          <w:ilvl w:val="0"/>
          <w:numId w:val="9"/>
        </w:numPr>
        <w:jc w:val="both"/>
        <w:rPr/>
      </w:pPr>
      <w:r w:rsidRPr="1F2BA446" w:rsidR="1F2BA446">
        <w:rPr>
          <w:rFonts w:ascii="Calibri" w:hAnsi="Calibri" w:eastAsia="Calibri" w:cs="Calibri"/>
          <w:noProof w:val="0"/>
          <w:sz w:val="22"/>
          <w:szCs w:val="22"/>
          <w:lang w:val="en-GB"/>
        </w:rPr>
        <w:t>Demonty</w:t>
      </w:r>
      <w:r w:rsidRPr="1F2BA446" w:rsidR="1F2BA446">
        <w:rPr>
          <w:rFonts w:ascii="Calibri" w:hAnsi="Calibri" w:eastAsia="Calibri" w:cs="Calibri"/>
          <w:noProof w:val="0"/>
          <w:sz w:val="22"/>
          <w:szCs w:val="22"/>
          <w:lang w:val="en-GB"/>
        </w:rPr>
        <w:t xml:space="preserve">, I., et al., Proportions of long-chain ω-3 fatty acids in erythrocyte membranes of Canadian adults: Results from the Canadian Health Measures Survey 2012-2015. Am J Clin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2021. 113(4): p. 993-1008. </w:t>
      </w:r>
    </w:p>
    <w:p w:rsidR="1F2BA446" w:rsidP="1F2BA446" w:rsidRDefault="1F2BA446" w14:paraId="462A98C9" w14:textId="07F2F469">
      <w:pPr>
        <w:pStyle w:val="ListParagraph"/>
        <w:numPr>
          <w:ilvl w:val="0"/>
          <w:numId w:val="9"/>
        </w:numPr>
        <w:jc w:val="both"/>
        <w:rPr/>
      </w:pPr>
      <w:r w:rsidRPr="1F2BA446" w:rsidR="1F2BA446">
        <w:rPr>
          <w:rFonts w:ascii="Calibri" w:hAnsi="Calibri" w:eastAsia="Calibri" w:cs="Calibri"/>
          <w:noProof w:val="0"/>
          <w:sz w:val="22"/>
          <w:szCs w:val="22"/>
          <w:lang w:val="en-GB"/>
        </w:rPr>
        <w:t xml:space="preserve">Bingham, S.A., Limitations of the various methods for collecting dietary intake data. Ann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w:t>
      </w:r>
    </w:p>
    <w:p w:rsidR="1F2BA446" w:rsidP="1F2BA446" w:rsidRDefault="1F2BA446" w14:paraId="507E5C43" w14:textId="161C5DAA">
      <w:pPr>
        <w:pStyle w:val="ListParagraph"/>
        <w:numPr>
          <w:ilvl w:val="0"/>
          <w:numId w:val="9"/>
        </w:numPr>
        <w:jc w:val="both"/>
        <w:rPr/>
      </w:pPr>
      <w:r w:rsidRPr="1F2BA446" w:rsidR="1F2BA446">
        <w:rPr>
          <w:rFonts w:ascii="Calibri" w:hAnsi="Calibri" w:eastAsia="Calibri" w:cs="Calibri"/>
          <w:noProof w:val="0"/>
          <w:sz w:val="22"/>
          <w:szCs w:val="22"/>
          <w:lang w:val="en-GB"/>
        </w:rPr>
        <w:t>Metab</w:t>
      </w:r>
      <w:r w:rsidRPr="1F2BA446" w:rsidR="1F2BA446">
        <w:rPr>
          <w:rFonts w:ascii="Calibri" w:hAnsi="Calibri" w:eastAsia="Calibri" w:cs="Calibri"/>
          <w:noProof w:val="0"/>
          <w:sz w:val="22"/>
          <w:szCs w:val="22"/>
          <w:lang w:val="en-GB"/>
        </w:rPr>
        <w:t xml:space="preserve">, 1991. 35(3): p. 117-27. </w:t>
      </w:r>
    </w:p>
    <w:p w:rsidR="1F2BA446" w:rsidP="1F2BA446" w:rsidRDefault="1F2BA446" w14:paraId="10C4A718" w14:textId="44E4C7E3">
      <w:pPr>
        <w:pStyle w:val="ListParagraph"/>
        <w:numPr>
          <w:ilvl w:val="0"/>
          <w:numId w:val="9"/>
        </w:numPr>
        <w:jc w:val="both"/>
        <w:rPr/>
      </w:pPr>
      <w:r w:rsidRPr="1F2BA446" w:rsidR="1F2BA446">
        <w:rPr>
          <w:rFonts w:ascii="Calibri" w:hAnsi="Calibri" w:eastAsia="Calibri" w:cs="Calibri"/>
          <w:noProof w:val="0"/>
          <w:sz w:val="22"/>
          <w:szCs w:val="22"/>
          <w:lang w:val="en-GB"/>
        </w:rPr>
        <w:t xml:space="preserve">Kipnis, V., et al., Bias in dietary-report instruments and its implications for nutritional epidemiology. Public Health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2002. 5(6a): p. 915-23. </w:t>
      </w:r>
    </w:p>
    <w:p w:rsidR="1F2BA446" w:rsidP="1F2BA446" w:rsidRDefault="1F2BA446" w14:paraId="4187D286" w14:textId="653CC48A">
      <w:pPr>
        <w:pStyle w:val="ListParagraph"/>
        <w:numPr>
          <w:ilvl w:val="0"/>
          <w:numId w:val="9"/>
        </w:numPr>
        <w:jc w:val="both"/>
        <w:rPr/>
      </w:pPr>
      <w:r w:rsidRPr="1F2BA446" w:rsidR="1F2BA446">
        <w:rPr>
          <w:rFonts w:ascii="Calibri" w:hAnsi="Calibri" w:eastAsia="Calibri" w:cs="Calibri"/>
          <w:noProof w:val="0"/>
          <w:sz w:val="22"/>
          <w:szCs w:val="22"/>
          <w:lang w:val="en-GB"/>
        </w:rPr>
        <w:t>Poslusna</w:t>
      </w:r>
      <w:r w:rsidRPr="1F2BA446" w:rsidR="1F2BA446">
        <w:rPr>
          <w:rFonts w:ascii="Calibri" w:hAnsi="Calibri" w:eastAsia="Calibri" w:cs="Calibri"/>
          <w:noProof w:val="0"/>
          <w:sz w:val="22"/>
          <w:szCs w:val="22"/>
          <w:lang w:val="en-GB"/>
        </w:rPr>
        <w:t xml:space="preserve">, K., et al., Misreporting of energy and micronutrient intake estimated by food records and </w:t>
      </w:r>
      <w:r w:rsidRPr="1F2BA446" w:rsidR="1F2BA446">
        <w:rPr>
          <w:rFonts w:ascii="Calibri" w:hAnsi="Calibri" w:eastAsia="Calibri" w:cs="Calibri"/>
          <w:noProof w:val="0"/>
          <w:sz w:val="22"/>
          <w:szCs w:val="22"/>
          <w:lang w:val="en-GB"/>
        </w:rPr>
        <w:t>24 hour</w:t>
      </w:r>
      <w:r w:rsidRPr="1F2BA446" w:rsidR="1F2BA446">
        <w:rPr>
          <w:rFonts w:ascii="Calibri" w:hAnsi="Calibri" w:eastAsia="Calibri" w:cs="Calibri"/>
          <w:noProof w:val="0"/>
          <w:sz w:val="22"/>
          <w:szCs w:val="22"/>
          <w:lang w:val="en-GB"/>
        </w:rPr>
        <w:t xml:space="preserve"> recalls, </w:t>
      </w:r>
      <w:r w:rsidRPr="1F2BA446" w:rsidR="1F2BA446">
        <w:rPr>
          <w:rFonts w:ascii="Calibri" w:hAnsi="Calibri" w:eastAsia="Calibri" w:cs="Calibri"/>
          <w:noProof w:val="0"/>
          <w:sz w:val="22"/>
          <w:szCs w:val="22"/>
          <w:lang w:val="en-GB"/>
        </w:rPr>
        <w:t>control</w:t>
      </w:r>
      <w:r w:rsidRPr="1F2BA446" w:rsidR="1F2BA446">
        <w:rPr>
          <w:rFonts w:ascii="Calibri" w:hAnsi="Calibri" w:eastAsia="Calibri" w:cs="Calibri"/>
          <w:noProof w:val="0"/>
          <w:sz w:val="22"/>
          <w:szCs w:val="22"/>
          <w:lang w:val="en-GB"/>
        </w:rPr>
        <w:t xml:space="preserve"> and adjustment methods in practice. Br J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2009. 101 </w:t>
      </w:r>
      <w:r w:rsidRPr="1F2BA446" w:rsidR="1F2BA446">
        <w:rPr>
          <w:rFonts w:ascii="Calibri" w:hAnsi="Calibri" w:eastAsia="Calibri" w:cs="Calibri"/>
          <w:noProof w:val="0"/>
          <w:sz w:val="22"/>
          <w:szCs w:val="22"/>
          <w:lang w:val="en-GB"/>
        </w:rPr>
        <w:t>Suppl</w:t>
      </w:r>
      <w:r w:rsidRPr="1F2BA446" w:rsidR="1F2BA446">
        <w:rPr>
          <w:rFonts w:ascii="Calibri" w:hAnsi="Calibri" w:eastAsia="Calibri" w:cs="Calibri"/>
          <w:noProof w:val="0"/>
          <w:sz w:val="22"/>
          <w:szCs w:val="22"/>
          <w:lang w:val="en-GB"/>
        </w:rPr>
        <w:t xml:space="preserve"> 2: p. S73-85. </w:t>
      </w:r>
    </w:p>
    <w:p w:rsidR="1F2BA446" w:rsidP="1F2BA446" w:rsidRDefault="1F2BA446" w14:paraId="51873168" w14:textId="6C9E812E">
      <w:pPr>
        <w:pStyle w:val="ListParagraph"/>
        <w:numPr>
          <w:ilvl w:val="0"/>
          <w:numId w:val="9"/>
        </w:numPr>
        <w:jc w:val="both"/>
        <w:rPr/>
      </w:pPr>
      <w:r w:rsidRPr="1F2BA446" w:rsidR="1F2BA446">
        <w:rPr>
          <w:rFonts w:ascii="Calibri" w:hAnsi="Calibri" w:eastAsia="Calibri" w:cs="Calibri"/>
          <w:noProof w:val="0"/>
          <w:sz w:val="22"/>
          <w:szCs w:val="22"/>
          <w:lang w:val="en-GB"/>
        </w:rPr>
        <w:t>Jessri</w:t>
      </w:r>
      <w:r w:rsidRPr="1F2BA446" w:rsidR="1F2BA446">
        <w:rPr>
          <w:rFonts w:ascii="Calibri" w:hAnsi="Calibri" w:eastAsia="Calibri" w:cs="Calibri"/>
          <w:noProof w:val="0"/>
          <w:sz w:val="22"/>
          <w:szCs w:val="22"/>
          <w:lang w:val="en-GB"/>
        </w:rPr>
        <w:t xml:space="preserve">, M., W.Y. Lou, and M.R. </w:t>
      </w:r>
      <w:r w:rsidRPr="1F2BA446" w:rsidR="1F2BA446">
        <w:rPr>
          <w:rFonts w:ascii="Calibri" w:hAnsi="Calibri" w:eastAsia="Calibri" w:cs="Calibri"/>
          <w:noProof w:val="0"/>
          <w:sz w:val="22"/>
          <w:szCs w:val="22"/>
          <w:lang w:val="en-GB"/>
        </w:rPr>
        <w:t>L'Abbé</w:t>
      </w:r>
      <w:r w:rsidRPr="1F2BA446" w:rsidR="1F2BA446">
        <w:rPr>
          <w:rFonts w:ascii="Calibri" w:hAnsi="Calibri" w:eastAsia="Calibri" w:cs="Calibri"/>
          <w:noProof w:val="0"/>
          <w:sz w:val="22"/>
          <w:szCs w:val="22"/>
          <w:lang w:val="en-GB"/>
        </w:rPr>
        <w:t xml:space="preserve">, Evaluation of different methods to handle misreporting in obesity research: evidence from the Canadian national nutrition survey. Br J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2016. 115(1): p. 147-59.</w:t>
      </w:r>
    </w:p>
    <w:p w:rsidR="1F2BA446" w:rsidP="1F2BA446" w:rsidRDefault="1F2BA446" w14:paraId="22F5B0F6" w14:textId="1A2E1C3D">
      <w:pPr>
        <w:pStyle w:val="ListParagraph"/>
        <w:numPr>
          <w:ilvl w:val="0"/>
          <w:numId w:val="9"/>
        </w:numPr>
        <w:jc w:val="both"/>
        <w:rPr/>
      </w:pPr>
      <w:r w:rsidRPr="1F2BA446" w:rsidR="1F2BA446">
        <w:rPr>
          <w:rFonts w:ascii="Calibri" w:hAnsi="Calibri" w:eastAsia="Calibri" w:cs="Calibri"/>
          <w:noProof w:val="0"/>
          <w:sz w:val="22"/>
          <w:szCs w:val="22"/>
          <w:lang w:val="en-GB"/>
        </w:rPr>
        <w:t>von Schacky, C., Omega-3 index and cardiovascular health. Nutrients, 2014. 6(2): p. 799-814.</w:t>
      </w:r>
    </w:p>
    <w:p w:rsidR="1F2BA446" w:rsidP="1F2BA446" w:rsidRDefault="1F2BA446" w14:paraId="30190B51" w14:textId="3D671EE9">
      <w:pPr>
        <w:pStyle w:val="ListParagraph"/>
        <w:numPr>
          <w:ilvl w:val="0"/>
          <w:numId w:val="9"/>
        </w:numPr>
        <w:jc w:val="both"/>
        <w:rPr/>
      </w:pPr>
      <w:r w:rsidRPr="1F2BA446" w:rsidR="1F2BA446">
        <w:rPr>
          <w:rFonts w:ascii="Calibri" w:hAnsi="Calibri" w:eastAsia="Calibri" w:cs="Calibri"/>
          <w:noProof w:val="0"/>
          <w:sz w:val="22"/>
          <w:szCs w:val="22"/>
          <w:lang w:val="en-GB"/>
        </w:rPr>
        <w:t xml:space="preserve">von Schacky, C., The Omega-3 Index as a risk factor for cardiovascular diseases. Prostaglandins Other Lipid </w:t>
      </w:r>
      <w:r w:rsidRPr="1F2BA446" w:rsidR="1F2BA446">
        <w:rPr>
          <w:rFonts w:ascii="Calibri" w:hAnsi="Calibri" w:eastAsia="Calibri" w:cs="Calibri"/>
          <w:noProof w:val="0"/>
          <w:sz w:val="22"/>
          <w:szCs w:val="22"/>
          <w:lang w:val="en-GB"/>
        </w:rPr>
        <w:t>Mediat</w:t>
      </w:r>
      <w:r w:rsidRPr="1F2BA446" w:rsidR="1F2BA446">
        <w:rPr>
          <w:rFonts w:ascii="Calibri" w:hAnsi="Calibri" w:eastAsia="Calibri" w:cs="Calibri"/>
          <w:noProof w:val="0"/>
          <w:sz w:val="22"/>
          <w:szCs w:val="22"/>
          <w:lang w:val="en-GB"/>
        </w:rPr>
        <w:t xml:space="preserve">, 2011. 96(1-4): p. 94-8. </w:t>
      </w:r>
    </w:p>
    <w:p w:rsidR="1F2BA446" w:rsidP="1F2BA446" w:rsidRDefault="1F2BA446" w14:paraId="1E366025" w14:textId="2DD4EC14">
      <w:pPr>
        <w:pStyle w:val="ListParagraph"/>
        <w:numPr>
          <w:ilvl w:val="0"/>
          <w:numId w:val="9"/>
        </w:numPr>
        <w:jc w:val="both"/>
        <w:rPr/>
      </w:pPr>
      <w:r w:rsidRPr="1F2BA446" w:rsidR="1F2BA446">
        <w:rPr>
          <w:rFonts w:ascii="Calibri" w:hAnsi="Calibri" w:eastAsia="Calibri" w:cs="Calibri"/>
          <w:noProof w:val="0"/>
          <w:sz w:val="22"/>
          <w:szCs w:val="22"/>
          <w:lang w:val="en-GB"/>
        </w:rPr>
        <w:t>McLenon</w:t>
      </w:r>
      <w:r w:rsidRPr="1F2BA446" w:rsidR="1F2BA446">
        <w:rPr>
          <w:rFonts w:ascii="Calibri" w:hAnsi="Calibri" w:eastAsia="Calibri" w:cs="Calibri"/>
          <w:noProof w:val="0"/>
          <w:sz w:val="22"/>
          <w:szCs w:val="22"/>
          <w:lang w:val="en-GB"/>
        </w:rPr>
        <w:t xml:space="preserve">, J. and M.A.M. Rogers, The fear of needles: A systematic review and meta-analysis. J </w:t>
      </w:r>
    </w:p>
    <w:p w:rsidR="1F2BA446" w:rsidP="1F2BA446" w:rsidRDefault="1F2BA446" w14:paraId="7E69BC1D" w14:textId="424A1C95">
      <w:pPr>
        <w:pStyle w:val="ListParagraph"/>
        <w:numPr>
          <w:ilvl w:val="0"/>
          <w:numId w:val="9"/>
        </w:numPr>
        <w:jc w:val="both"/>
        <w:rPr/>
      </w:pPr>
      <w:r w:rsidRPr="1F2BA446" w:rsidR="1F2BA446">
        <w:rPr>
          <w:rFonts w:ascii="Calibri" w:hAnsi="Calibri" w:eastAsia="Calibri" w:cs="Calibri"/>
          <w:noProof w:val="0"/>
          <w:sz w:val="22"/>
          <w:szCs w:val="22"/>
          <w:lang w:val="en-GB"/>
        </w:rPr>
        <w:t xml:space="preserve">Adv </w:t>
      </w:r>
      <w:r w:rsidRPr="1F2BA446" w:rsidR="1F2BA446">
        <w:rPr>
          <w:rFonts w:ascii="Calibri" w:hAnsi="Calibri" w:eastAsia="Calibri" w:cs="Calibri"/>
          <w:noProof w:val="0"/>
          <w:sz w:val="22"/>
          <w:szCs w:val="22"/>
          <w:lang w:val="en-GB"/>
        </w:rPr>
        <w:t>Nurs</w:t>
      </w:r>
      <w:r w:rsidRPr="1F2BA446" w:rsidR="1F2BA446">
        <w:rPr>
          <w:rFonts w:ascii="Calibri" w:hAnsi="Calibri" w:eastAsia="Calibri" w:cs="Calibri"/>
          <w:noProof w:val="0"/>
          <w:sz w:val="22"/>
          <w:szCs w:val="22"/>
          <w:lang w:val="en-GB"/>
        </w:rPr>
        <w:t xml:space="preserve">, 2019. 75(1): p. 30-42. McMurtry, C.M., et al., Exposure-based Interventions for the management of individuals with </w:t>
      </w:r>
      <w:r w:rsidRPr="1F2BA446" w:rsidR="1F2BA446">
        <w:rPr>
          <w:rFonts w:ascii="Calibri" w:hAnsi="Calibri" w:eastAsia="Calibri" w:cs="Calibri"/>
          <w:noProof w:val="0"/>
          <w:sz w:val="22"/>
          <w:szCs w:val="22"/>
          <w:lang w:val="en-GB"/>
        </w:rPr>
        <w:t>high levels</w:t>
      </w:r>
      <w:r w:rsidRPr="1F2BA446" w:rsidR="1F2BA446">
        <w:rPr>
          <w:rFonts w:ascii="Calibri" w:hAnsi="Calibri" w:eastAsia="Calibri" w:cs="Calibri"/>
          <w:noProof w:val="0"/>
          <w:sz w:val="22"/>
          <w:szCs w:val="22"/>
          <w:lang w:val="en-GB"/>
        </w:rPr>
        <w:t xml:space="preserve"> of needle fear across the lifespan: a clinical practice guideline and call for further research. </w:t>
      </w:r>
      <w:r w:rsidRPr="1F2BA446" w:rsidR="1F2BA446">
        <w:rPr>
          <w:rFonts w:ascii="Calibri" w:hAnsi="Calibri" w:eastAsia="Calibri" w:cs="Calibri"/>
          <w:noProof w:val="0"/>
          <w:sz w:val="22"/>
          <w:szCs w:val="22"/>
          <w:lang w:val="en-GB"/>
        </w:rPr>
        <w:t>Cogn</w:t>
      </w:r>
      <w:r w:rsidRPr="1F2BA446" w:rsidR="1F2BA446">
        <w:rPr>
          <w:rFonts w:ascii="Calibri" w:hAnsi="Calibri" w:eastAsia="Calibri" w:cs="Calibri"/>
          <w:noProof w:val="0"/>
          <w:sz w:val="22"/>
          <w:szCs w:val="22"/>
          <w:lang w:val="en-GB"/>
        </w:rPr>
        <w:t xml:space="preserve"> </w:t>
      </w:r>
      <w:r w:rsidRPr="1F2BA446" w:rsidR="1F2BA446">
        <w:rPr>
          <w:rFonts w:ascii="Calibri" w:hAnsi="Calibri" w:eastAsia="Calibri" w:cs="Calibri"/>
          <w:noProof w:val="0"/>
          <w:sz w:val="22"/>
          <w:szCs w:val="22"/>
          <w:lang w:val="en-GB"/>
        </w:rPr>
        <w:t>Behav</w:t>
      </w:r>
      <w:r w:rsidRPr="1F2BA446" w:rsidR="1F2BA446">
        <w:rPr>
          <w:rFonts w:ascii="Calibri" w:hAnsi="Calibri" w:eastAsia="Calibri" w:cs="Calibri"/>
          <w:noProof w:val="0"/>
          <w:sz w:val="22"/>
          <w:szCs w:val="22"/>
          <w:lang w:val="en-GB"/>
        </w:rPr>
        <w:t xml:space="preserve"> Ther, 2016. 45(3): p. 217-35. Deacon, B. and J. Abramowitz, Fear of needles and vasovagal reactions among phlebotomy patients. J Anxiety </w:t>
      </w:r>
      <w:r w:rsidRPr="1F2BA446" w:rsidR="1F2BA446">
        <w:rPr>
          <w:rFonts w:ascii="Calibri" w:hAnsi="Calibri" w:eastAsia="Calibri" w:cs="Calibri"/>
          <w:noProof w:val="0"/>
          <w:sz w:val="22"/>
          <w:szCs w:val="22"/>
          <w:lang w:val="en-GB"/>
        </w:rPr>
        <w:t>Disord</w:t>
      </w:r>
      <w:r w:rsidRPr="1F2BA446" w:rsidR="1F2BA446">
        <w:rPr>
          <w:rFonts w:ascii="Calibri" w:hAnsi="Calibri" w:eastAsia="Calibri" w:cs="Calibri"/>
          <w:noProof w:val="0"/>
          <w:sz w:val="22"/>
          <w:szCs w:val="22"/>
          <w:lang w:val="en-GB"/>
        </w:rPr>
        <w:t xml:space="preserve">, 2006. 20(7): p. 946-60. </w:t>
      </w:r>
    </w:p>
    <w:p w:rsidR="1F2BA446" w:rsidP="1F2BA446" w:rsidRDefault="1F2BA446" w14:paraId="7015AF67" w14:textId="0BD676FB">
      <w:pPr>
        <w:pStyle w:val="ListParagraph"/>
        <w:numPr>
          <w:ilvl w:val="0"/>
          <w:numId w:val="9"/>
        </w:numPr>
        <w:jc w:val="both"/>
        <w:rPr/>
      </w:pPr>
      <w:r w:rsidRPr="1F2BA446" w:rsidR="1F2BA446">
        <w:rPr>
          <w:rFonts w:ascii="Calibri" w:hAnsi="Calibri" w:eastAsia="Calibri" w:cs="Calibri"/>
          <w:noProof w:val="0"/>
          <w:sz w:val="22"/>
          <w:szCs w:val="22"/>
          <w:lang w:val="en-GB"/>
        </w:rPr>
        <w:t xml:space="preserve">McMurtry, C.M., et al., Far From "Just a Poke": Common Painful Needle Procedures and the Development of Needle Fear. Clin J Pain, 2015. 31(10 </w:t>
      </w:r>
      <w:r w:rsidRPr="1F2BA446" w:rsidR="1F2BA446">
        <w:rPr>
          <w:rFonts w:ascii="Calibri" w:hAnsi="Calibri" w:eastAsia="Calibri" w:cs="Calibri"/>
          <w:noProof w:val="0"/>
          <w:sz w:val="22"/>
          <w:szCs w:val="22"/>
          <w:lang w:val="en-GB"/>
        </w:rPr>
        <w:t>Suppl</w:t>
      </w:r>
      <w:r w:rsidRPr="1F2BA446" w:rsidR="1F2BA446">
        <w:rPr>
          <w:rFonts w:ascii="Calibri" w:hAnsi="Calibri" w:eastAsia="Calibri" w:cs="Calibri"/>
          <w:noProof w:val="0"/>
          <w:sz w:val="22"/>
          <w:szCs w:val="22"/>
          <w:lang w:val="en-GB"/>
        </w:rPr>
        <w:t xml:space="preserve">): p. S3-11. </w:t>
      </w:r>
    </w:p>
    <w:p w:rsidR="1F2BA446" w:rsidP="1F2BA446" w:rsidRDefault="1F2BA446" w14:paraId="5B1051FF" w14:textId="41ADA9A4">
      <w:pPr>
        <w:pStyle w:val="ListParagraph"/>
        <w:numPr>
          <w:ilvl w:val="0"/>
          <w:numId w:val="9"/>
        </w:numPr>
        <w:jc w:val="both"/>
        <w:rPr/>
      </w:pPr>
      <w:r w:rsidRPr="1F2BA446" w:rsidR="1F2BA446">
        <w:rPr>
          <w:rFonts w:ascii="Calibri" w:hAnsi="Calibri" w:eastAsia="Calibri" w:cs="Calibri"/>
          <w:noProof w:val="0"/>
          <w:sz w:val="22"/>
          <w:szCs w:val="22"/>
          <w:lang w:val="en-GB"/>
        </w:rPr>
        <w:t xml:space="preserve">Rael, C.T., et al., Evaluating blood donor experiences and barriers/facilitators to blood donation in the United States using YouTube video content. Transfusion, 2021. 61(9): p. 2650 2657. </w:t>
      </w:r>
    </w:p>
    <w:p w:rsidR="1F2BA446" w:rsidP="1F2BA446" w:rsidRDefault="1F2BA446" w14:paraId="66072335" w14:textId="01EC746A">
      <w:pPr>
        <w:pStyle w:val="ListParagraph"/>
        <w:numPr>
          <w:ilvl w:val="0"/>
          <w:numId w:val="9"/>
        </w:numPr>
        <w:jc w:val="both"/>
        <w:rPr/>
      </w:pPr>
      <w:r w:rsidRPr="1F2BA446" w:rsidR="1F2BA446">
        <w:rPr>
          <w:rFonts w:ascii="Calibri" w:hAnsi="Calibri" w:eastAsia="Calibri" w:cs="Calibri"/>
          <w:noProof w:val="0"/>
          <w:sz w:val="22"/>
          <w:szCs w:val="22"/>
          <w:lang w:val="en-GB"/>
        </w:rPr>
        <w:t xml:space="preserve">Alsbrooks, K. and K. Hoerauf, Prevalence, causes, impacts, and management of needle phobia: An international survey of a general adult population. </w:t>
      </w:r>
      <w:r w:rsidRPr="1F2BA446" w:rsidR="1F2BA446">
        <w:rPr>
          <w:rFonts w:ascii="Calibri" w:hAnsi="Calibri" w:eastAsia="Calibri" w:cs="Calibri"/>
          <w:noProof w:val="0"/>
          <w:sz w:val="22"/>
          <w:szCs w:val="22"/>
          <w:lang w:val="en-GB"/>
        </w:rPr>
        <w:t>PLoS</w:t>
      </w:r>
      <w:r w:rsidRPr="1F2BA446" w:rsidR="1F2BA446">
        <w:rPr>
          <w:rFonts w:ascii="Calibri" w:hAnsi="Calibri" w:eastAsia="Calibri" w:cs="Calibri"/>
          <w:noProof w:val="0"/>
          <w:sz w:val="22"/>
          <w:szCs w:val="22"/>
          <w:lang w:val="en-GB"/>
        </w:rPr>
        <w:t xml:space="preserve"> One, 2022. 17(11): p. e0276814. </w:t>
      </w:r>
    </w:p>
    <w:p w:rsidR="1F2BA446" w:rsidP="1F2BA446" w:rsidRDefault="1F2BA446" w14:paraId="067A9449" w14:textId="4EA8F559">
      <w:pPr>
        <w:pStyle w:val="ListParagraph"/>
        <w:numPr>
          <w:ilvl w:val="0"/>
          <w:numId w:val="9"/>
        </w:numPr>
        <w:jc w:val="both"/>
        <w:rPr/>
      </w:pPr>
      <w:r w:rsidRPr="1F2BA446" w:rsidR="1F2BA446">
        <w:rPr>
          <w:rFonts w:ascii="Calibri" w:hAnsi="Calibri" w:eastAsia="Calibri" w:cs="Calibri"/>
          <w:noProof w:val="0"/>
          <w:sz w:val="22"/>
          <w:szCs w:val="22"/>
          <w:lang w:val="en-GB"/>
        </w:rPr>
        <w:t xml:space="preserve">O'Gorman, A. and L. Brennan, The role of metabolomics in determination of new dietary biomarkers. Proc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Soc, 2017. 76(3): p. 295-302. </w:t>
      </w:r>
    </w:p>
    <w:p w:rsidR="1F2BA446" w:rsidP="1F2BA446" w:rsidRDefault="1F2BA446" w14:paraId="5130F83B" w14:textId="378430EF">
      <w:pPr>
        <w:pStyle w:val="ListParagraph"/>
        <w:numPr>
          <w:ilvl w:val="0"/>
          <w:numId w:val="9"/>
        </w:numPr>
        <w:jc w:val="both"/>
        <w:rPr/>
      </w:pPr>
      <w:r w:rsidRPr="1F2BA446" w:rsidR="1F2BA446">
        <w:rPr>
          <w:rFonts w:ascii="Calibri" w:hAnsi="Calibri" w:eastAsia="Calibri" w:cs="Calibri"/>
          <w:noProof w:val="0"/>
          <w:sz w:val="22"/>
          <w:szCs w:val="22"/>
          <w:lang w:val="en-GB"/>
        </w:rPr>
        <w:t xml:space="preserve">Rafiq, T., et al., Nutritional Metabolomics and the Classification of Dietary Biomarker Candidates: A Critical Review. Adv </w:t>
      </w:r>
      <w:r w:rsidRPr="1F2BA446" w:rsidR="1F2BA446">
        <w:rPr>
          <w:rFonts w:ascii="Calibri" w:hAnsi="Calibri" w:eastAsia="Calibri" w:cs="Calibri"/>
          <w:noProof w:val="0"/>
          <w:sz w:val="22"/>
          <w:szCs w:val="22"/>
          <w:lang w:val="en-GB"/>
        </w:rPr>
        <w:t>Nutr</w:t>
      </w:r>
      <w:r w:rsidRPr="1F2BA446" w:rsidR="1F2BA446">
        <w:rPr>
          <w:rFonts w:ascii="Calibri" w:hAnsi="Calibri" w:eastAsia="Calibri" w:cs="Calibri"/>
          <w:noProof w:val="0"/>
          <w:sz w:val="22"/>
          <w:szCs w:val="22"/>
          <w:lang w:val="en-GB"/>
        </w:rPr>
        <w:t xml:space="preserve">, 2021. </w:t>
      </w:r>
    </w:p>
    <w:sectPr w:rsidRPr="007673DC" w:rsidR="00636BDC" w:rsidSect="002F1EA5">
      <w:headerReference w:type="even" r:id="rId27"/>
      <w:headerReference w:type="default" r:id="rId28"/>
      <w:footerReference w:type="even" r:id="rId29"/>
      <w:footerReference w:type="default" r:id="rId30"/>
      <w:headerReference w:type="first" r:id="rId31"/>
      <w:footerReference w:type="first" r:id="rId32"/>
      <w:pgSz w:w="11906" w:h="16838" w:orient="portrait"/>
      <w:pgMar w:top="1440" w:right="1440" w:bottom="1440" w:left="1440" w:header="708" w:footer="708" w:gutter="0"/>
      <w:lnNumType w:countBy="1" w:restart="continuous"/>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7FCFD04B"/>
  <w15:commentEx w15:done="0" w15:paraId="1AEA2B6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FCFAB4" w16cex:dateUtc="2023-05-03T13:22:00Z"/>
  <w16cex:commentExtensible w16cex:durableId="27FCFBF6" w16cex:dateUtc="2023-05-03T13:27:00Z"/>
</w16cex:commentsExtensible>
</file>

<file path=word/commentsIds.xml><?xml version="1.0" encoding="utf-8"?>
<w16cid:commentsIds xmlns:mc="http://schemas.openxmlformats.org/markup-compatibility/2006" xmlns:w16cid="http://schemas.microsoft.com/office/word/2016/wordml/cid" mc:Ignorable="w16cid">
  <w16cid:commentId w16cid:paraId="7FCFD04B" w16cid:durableId="27FCFAB4"/>
  <w16cid:commentId w16cid:paraId="1AEA2B65" w16cid:durableId="27FCF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4FC7" w:rsidP="00456D6E" w:rsidRDefault="00DF4FC7" w14:paraId="13A5EC0C" w14:textId="77777777">
      <w:pPr>
        <w:spacing w:after="0" w:line="240" w:lineRule="auto"/>
      </w:pPr>
      <w:r>
        <w:separator/>
      </w:r>
    </w:p>
  </w:endnote>
  <w:endnote w:type="continuationSeparator" w:id="0">
    <w:p w:rsidR="00DF4FC7" w:rsidP="00456D6E" w:rsidRDefault="00DF4FC7" w14:paraId="1662F7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7A2C631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7550A72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1B00C5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4FC7" w:rsidP="00456D6E" w:rsidRDefault="00DF4FC7" w14:paraId="4FBAEB50" w14:textId="77777777">
      <w:pPr>
        <w:spacing w:after="0" w:line="240" w:lineRule="auto"/>
      </w:pPr>
      <w:r>
        <w:separator/>
      </w:r>
    </w:p>
  </w:footnote>
  <w:footnote w:type="continuationSeparator" w:id="0">
    <w:p w:rsidR="00DF4FC7" w:rsidP="00456D6E" w:rsidRDefault="00DF4FC7" w14:paraId="10F2D3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0E118EE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F6F37" w:rsidRDefault="00B34910" w14:paraId="61829E28" w14:textId="72428C92">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rsidRPr="00850E96" w:rsidR="00843B7B" w:rsidRDefault="00843B7B" w14:paraId="69EC02E4" w14:textId="77777777">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59E" w:rsidRDefault="0046759E" w14:paraId="61198DF3" w14:textId="77777777">
    <w:pPr>
      <w:pStyle w:val="Header"/>
    </w:pPr>
  </w:p>
</w:hdr>
</file>

<file path=word/intelligence2.xml><?xml version="1.0" encoding="utf-8"?>
<int2:intelligence xmlns:int2="http://schemas.microsoft.com/office/intelligence/2020/intelligence">
  <int2:observations>
    <int2:textHash int2:hashCode="F69F3lkXcs6djc" int2:id="7W9WCPiv">
      <int2:state int2:type="AugLoop_Text_Critique" int2:value="Rejected"/>
    </int2:textHash>
    <int2:bookmark int2:bookmarkName="_Int_juneKSs8" int2:invalidationBookmarkName="" int2:hashCode="geoM+sA0Gii9Dv" int2:id="syJtmoV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1f662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c83e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646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9B74320"/>
    <w:multiLevelType w:val="hybridMultilevel"/>
    <w:tmpl w:val="C018DB02"/>
    <w:lvl w:ilvl="0" w:tplc="08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35688E"/>
    <w:multiLevelType w:val="hybridMultilevel"/>
    <w:tmpl w:val="4184B0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25F4C4B"/>
    <w:multiLevelType w:val="hybridMultilevel"/>
    <w:tmpl w:val="264A46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C24628D"/>
    <w:multiLevelType w:val="hybridMultilevel"/>
    <w:tmpl w:val="CBBED938"/>
    <w:lvl w:ilvl="0" w:tplc="34FAE5DC">
      <w:start w:val="1"/>
      <w:numFmt w:val="decimal"/>
      <w:lvlText w:val="%1."/>
      <w:lvlJc w:val="left"/>
      <w:pPr>
        <w:ind w:left="720" w:hanging="360"/>
      </w:pPr>
      <w:rPr>
        <w:rFonts w:hint="default"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572BF"/>
    <w:multiLevelType w:val="hybridMultilevel"/>
    <w:tmpl w:val="553AFE78"/>
    <w:lvl w:ilvl="0" w:tplc="2A16E63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1" w16cid:durableId="2129624040">
    <w:abstractNumId w:val="3"/>
  </w:num>
  <w:num w:numId="2" w16cid:durableId="480266948">
    <w:abstractNumId w:val="0"/>
  </w:num>
  <w:num w:numId="3" w16cid:durableId="1641032114">
    <w:abstractNumId w:val="2"/>
  </w:num>
  <w:num w:numId="4" w16cid:durableId="1192458351">
    <w:abstractNumId w:val="4"/>
  </w:num>
  <w:num w:numId="5" w16cid:durableId="1985308651">
    <w:abstractNumId w:val="1"/>
  </w:num>
  <w:num w:numId="6" w16cid:durableId="7045200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0A6E"/>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0BE4"/>
    <w:rsid w:val="00092D69"/>
    <w:rsid w:val="000931DE"/>
    <w:rsid w:val="000971DD"/>
    <w:rsid w:val="000A0AD9"/>
    <w:rsid w:val="000B3BF2"/>
    <w:rsid w:val="000C46C7"/>
    <w:rsid w:val="000C57C1"/>
    <w:rsid w:val="000D291F"/>
    <w:rsid w:val="000D3664"/>
    <w:rsid w:val="000D384F"/>
    <w:rsid w:val="000E32B9"/>
    <w:rsid w:val="000F0694"/>
    <w:rsid w:val="000F3CF9"/>
    <w:rsid w:val="00100648"/>
    <w:rsid w:val="0010647F"/>
    <w:rsid w:val="001124E8"/>
    <w:rsid w:val="001125DA"/>
    <w:rsid w:val="0011392F"/>
    <w:rsid w:val="00135DA2"/>
    <w:rsid w:val="0014083D"/>
    <w:rsid w:val="001439C9"/>
    <w:rsid w:val="001512C6"/>
    <w:rsid w:val="00153532"/>
    <w:rsid w:val="001546B2"/>
    <w:rsid w:val="00161B0E"/>
    <w:rsid w:val="00164970"/>
    <w:rsid w:val="00170084"/>
    <w:rsid w:val="0017290E"/>
    <w:rsid w:val="0017385C"/>
    <w:rsid w:val="00182774"/>
    <w:rsid w:val="001837E6"/>
    <w:rsid w:val="00187A2B"/>
    <w:rsid w:val="0019002D"/>
    <w:rsid w:val="001935D1"/>
    <w:rsid w:val="001955DF"/>
    <w:rsid w:val="001967D3"/>
    <w:rsid w:val="00196B2D"/>
    <w:rsid w:val="001972DB"/>
    <w:rsid w:val="001A2291"/>
    <w:rsid w:val="001A2A43"/>
    <w:rsid w:val="001A50DA"/>
    <w:rsid w:val="001A7A8E"/>
    <w:rsid w:val="001B0C12"/>
    <w:rsid w:val="001B5CDD"/>
    <w:rsid w:val="001B64FD"/>
    <w:rsid w:val="001C3329"/>
    <w:rsid w:val="001C6BDD"/>
    <w:rsid w:val="001C7D7C"/>
    <w:rsid w:val="001D38D1"/>
    <w:rsid w:val="001D3CCF"/>
    <w:rsid w:val="001D642B"/>
    <w:rsid w:val="001D6F53"/>
    <w:rsid w:val="001E3D6A"/>
    <w:rsid w:val="001E6D59"/>
    <w:rsid w:val="002001E8"/>
    <w:rsid w:val="00211B0C"/>
    <w:rsid w:val="00214042"/>
    <w:rsid w:val="002177C1"/>
    <w:rsid w:val="0023163B"/>
    <w:rsid w:val="00235CD6"/>
    <w:rsid w:val="0024080A"/>
    <w:rsid w:val="002418DC"/>
    <w:rsid w:val="00243685"/>
    <w:rsid w:val="002522A8"/>
    <w:rsid w:val="0025240C"/>
    <w:rsid w:val="0026184B"/>
    <w:rsid w:val="002634E3"/>
    <w:rsid w:val="00275F13"/>
    <w:rsid w:val="002777F1"/>
    <w:rsid w:val="00281086"/>
    <w:rsid w:val="00282A9D"/>
    <w:rsid w:val="002937BD"/>
    <w:rsid w:val="002958CB"/>
    <w:rsid w:val="002977D0"/>
    <w:rsid w:val="002B0674"/>
    <w:rsid w:val="002C19A0"/>
    <w:rsid w:val="002C32E0"/>
    <w:rsid w:val="002C3431"/>
    <w:rsid w:val="002D1F72"/>
    <w:rsid w:val="002E2611"/>
    <w:rsid w:val="002E36DA"/>
    <w:rsid w:val="002E508D"/>
    <w:rsid w:val="002F1EA5"/>
    <w:rsid w:val="002F3BBA"/>
    <w:rsid w:val="002F6F37"/>
    <w:rsid w:val="0030102C"/>
    <w:rsid w:val="003106A3"/>
    <w:rsid w:val="00311D7D"/>
    <w:rsid w:val="0031239D"/>
    <w:rsid w:val="00315860"/>
    <w:rsid w:val="00325A0A"/>
    <w:rsid w:val="0033600F"/>
    <w:rsid w:val="00337F4B"/>
    <w:rsid w:val="003507B3"/>
    <w:rsid w:val="003509C6"/>
    <w:rsid w:val="00362F3B"/>
    <w:rsid w:val="003649EC"/>
    <w:rsid w:val="00365A2E"/>
    <w:rsid w:val="003719D1"/>
    <w:rsid w:val="0037216F"/>
    <w:rsid w:val="003753AC"/>
    <w:rsid w:val="00381DED"/>
    <w:rsid w:val="00392364"/>
    <w:rsid w:val="003964BC"/>
    <w:rsid w:val="00397E01"/>
    <w:rsid w:val="003A6C57"/>
    <w:rsid w:val="003B01AA"/>
    <w:rsid w:val="003B0ABC"/>
    <w:rsid w:val="003D2D07"/>
    <w:rsid w:val="003D64C9"/>
    <w:rsid w:val="003E3B97"/>
    <w:rsid w:val="003E4A19"/>
    <w:rsid w:val="003F5E1D"/>
    <w:rsid w:val="0040442D"/>
    <w:rsid w:val="00404555"/>
    <w:rsid w:val="00407E7A"/>
    <w:rsid w:val="00410871"/>
    <w:rsid w:val="00416210"/>
    <w:rsid w:val="004205C8"/>
    <w:rsid w:val="00426A01"/>
    <w:rsid w:val="00430656"/>
    <w:rsid w:val="00432A67"/>
    <w:rsid w:val="00436382"/>
    <w:rsid w:val="004453B2"/>
    <w:rsid w:val="00445561"/>
    <w:rsid w:val="00456C63"/>
    <w:rsid w:val="00456D6E"/>
    <w:rsid w:val="00460909"/>
    <w:rsid w:val="004658F6"/>
    <w:rsid w:val="0046718D"/>
    <w:rsid w:val="0046759E"/>
    <w:rsid w:val="00471CB5"/>
    <w:rsid w:val="00476669"/>
    <w:rsid w:val="00484284"/>
    <w:rsid w:val="004931E3"/>
    <w:rsid w:val="00495549"/>
    <w:rsid w:val="00497477"/>
    <w:rsid w:val="004A2767"/>
    <w:rsid w:val="004A414E"/>
    <w:rsid w:val="004B3A8B"/>
    <w:rsid w:val="004B3C7A"/>
    <w:rsid w:val="004B7138"/>
    <w:rsid w:val="004C0D54"/>
    <w:rsid w:val="004C1A82"/>
    <w:rsid w:val="004C4220"/>
    <w:rsid w:val="004C7A28"/>
    <w:rsid w:val="004D0588"/>
    <w:rsid w:val="005033B8"/>
    <w:rsid w:val="005041FB"/>
    <w:rsid w:val="00510766"/>
    <w:rsid w:val="0052130D"/>
    <w:rsid w:val="00537DEE"/>
    <w:rsid w:val="0054235F"/>
    <w:rsid w:val="00542754"/>
    <w:rsid w:val="0054746B"/>
    <w:rsid w:val="0055730F"/>
    <w:rsid w:val="00587129"/>
    <w:rsid w:val="00597B36"/>
    <w:rsid w:val="005A51A7"/>
    <w:rsid w:val="005B318B"/>
    <w:rsid w:val="005B3DD0"/>
    <w:rsid w:val="005B401A"/>
    <w:rsid w:val="005B4A1B"/>
    <w:rsid w:val="005C0C34"/>
    <w:rsid w:val="005E0989"/>
    <w:rsid w:val="005E575D"/>
    <w:rsid w:val="005E6B52"/>
    <w:rsid w:val="005E7937"/>
    <w:rsid w:val="005E7A8D"/>
    <w:rsid w:val="005F2FBA"/>
    <w:rsid w:val="00600E8A"/>
    <w:rsid w:val="006102CE"/>
    <w:rsid w:val="00612CFB"/>
    <w:rsid w:val="0062708D"/>
    <w:rsid w:val="00636BDC"/>
    <w:rsid w:val="00641CD4"/>
    <w:rsid w:val="00643A55"/>
    <w:rsid w:val="006469CF"/>
    <w:rsid w:val="00647BE8"/>
    <w:rsid w:val="006545ED"/>
    <w:rsid w:val="00662C1B"/>
    <w:rsid w:val="00665FDB"/>
    <w:rsid w:val="00667202"/>
    <w:rsid w:val="0067219F"/>
    <w:rsid w:val="006755B5"/>
    <w:rsid w:val="0068468D"/>
    <w:rsid w:val="0068516C"/>
    <w:rsid w:val="0069203F"/>
    <w:rsid w:val="006A0C63"/>
    <w:rsid w:val="006A6064"/>
    <w:rsid w:val="006B0483"/>
    <w:rsid w:val="006B0B3F"/>
    <w:rsid w:val="006B1C33"/>
    <w:rsid w:val="006B3B3D"/>
    <w:rsid w:val="006B7D6A"/>
    <w:rsid w:val="006C4791"/>
    <w:rsid w:val="006C69B0"/>
    <w:rsid w:val="006E0A50"/>
    <w:rsid w:val="006E2F5D"/>
    <w:rsid w:val="006F1271"/>
    <w:rsid w:val="006F3526"/>
    <w:rsid w:val="0070302E"/>
    <w:rsid w:val="007125C9"/>
    <w:rsid w:val="007243D2"/>
    <w:rsid w:val="00725FDF"/>
    <w:rsid w:val="00727E7C"/>
    <w:rsid w:val="00737456"/>
    <w:rsid w:val="007467B4"/>
    <w:rsid w:val="00757F48"/>
    <w:rsid w:val="00760887"/>
    <w:rsid w:val="007632B5"/>
    <w:rsid w:val="007673DC"/>
    <w:rsid w:val="007808E8"/>
    <w:rsid w:val="007816B2"/>
    <w:rsid w:val="007819B2"/>
    <w:rsid w:val="00783424"/>
    <w:rsid w:val="007835EC"/>
    <w:rsid w:val="00791813"/>
    <w:rsid w:val="007A0FCC"/>
    <w:rsid w:val="007A4AA0"/>
    <w:rsid w:val="007B0980"/>
    <w:rsid w:val="007B129D"/>
    <w:rsid w:val="007C0C8B"/>
    <w:rsid w:val="007C7543"/>
    <w:rsid w:val="007D0721"/>
    <w:rsid w:val="007D16C2"/>
    <w:rsid w:val="007D1D3E"/>
    <w:rsid w:val="007D3C46"/>
    <w:rsid w:val="007E1C48"/>
    <w:rsid w:val="007E5D40"/>
    <w:rsid w:val="007E6659"/>
    <w:rsid w:val="007F54B8"/>
    <w:rsid w:val="008048E7"/>
    <w:rsid w:val="00806532"/>
    <w:rsid w:val="0081511A"/>
    <w:rsid w:val="008152E1"/>
    <w:rsid w:val="008277FE"/>
    <w:rsid w:val="00843B7B"/>
    <w:rsid w:val="00844B8B"/>
    <w:rsid w:val="00850E96"/>
    <w:rsid w:val="00852716"/>
    <w:rsid w:val="00876B54"/>
    <w:rsid w:val="00876CC4"/>
    <w:rsid w:val="008808B1"/>
    <w:rsid w:val="0088135F"/>
    <w:rsid w:val="00883365"/>
    <w:rsid w:val="0088414C"/>
    <w:rsid w:val="00887F2C"/>
    <w:rsid w:val="00891318"/>
    <w:rsid w:val="00897043"/>
    <w:rsid w:val="008A195B"/>
    <w:rsid w:val="008A339F"/>
    <w:rsid w:val="008A68BA"/>
    <w:rsid w:val="008A7685"/>
    <w:rsid w:val="008C1C4D"/>
    <w:rsid w:val="008C455B"/>
    <w:rsid w:val="008C4772"/>
    <w:rsid w:val="008D383B"/>
    <w:rsid w:val="008D6567"/>
    <w:rsid w:val="008F47C6"/>
    <w:rsid w:val="009069AD"/>
    <w:rsid w:val="00907752"/>
    <w:rsid w:val="00910A68"/>
    <w:rsid w:val="009120A6"/>
    <w:rsid w:val="009166EF"/>
    <w:rsid w:val="009219D2"/>
    <w:rsid w:val="0093536E"/>
    <w:rsid w:val="009359AC"/>
    <w:rsid w:val="009371FD"/>
    <w:rsid w:val="00946AED"/>
    <w:rsid w:val="0094793B"/>
    <w:rsid w:val="00951258"/>
    <w:rsid w:val="00961171"/>
    <w:rsid w:val="00966245"/>
    <w:rsid w:val="009740DD"/>
    <w:rsid w:val="00974373"/>
    <w:rsid w:val="00985E9C"/>
    <w:rsid w:val="0098689F"/>
    <w:rsid w:val="00990A4F"/>
    <w:rsid w:val="009A27B2"/>
    <w:rsid w:val="009A2A38"/>
    <w:rsid w:val="009A34EF"/>
    <w:rsid w:val="009A3674"/>
    <w:rsid w:val="009B26AC"/>
    <w:rsid w:val="009B62E4"/>
    <w:rsid w:val="009B6494"/>
    <w:rsid w:val="009B7349"/>
    <w:rsid w:val="009C1A0D"/>
    <w:rsid w:val="009C2CC7"/>
    <w:rsid w:val="009C7ABF"/>
    <w:rsid w:val="009D4793"/>
    <w:rsid w:val="009D5F00"/>
    <w:rsid w:val="009D6468"/>
    <w:rsid w:val="009E47FD"/>
    <w:rsid w:val="00A02BF5"/>
    <w:rsid w:val="00A037B4"/>
    <w:rsid w:val="00A10C86"/>
    <w:rsid w:val="00A11D83"/>
    <w:rsid w:val="00A21A64"/>
    <w:rsid w:val="00A3674E"/>
    <w:rsid w:val="00A37A2A"/>
    <w:rsid w:val="00A46D04"/>
    <w:rsid w:val="00A51232"/>
    <w:rsid w:val="00A64B40"/>
    <w:rsid w:val="00A6702A"/>
    <w:rsid w:val="00A717D7"/>
    <w:rsid w:val="00A71CE7"/>
    <w:rsid w:val="00A720BE"/>
    <w:rsid w:val="00A7785F"/>
    <w:rsid w:val="00A83E91"/>
    <w:rsid w:val="00A8587F"/>
    <w:rsid w:val="00A8749B"/>
    <w:rsid w:val="00A9126D"/>
    <w:rsid w:val="00AA3138"/>
    <w:rsid w:val="00AA5F4C"/>
    <w:rsid w:val="00AB14DE"/>
    <w:rsid w:val="00AB4A9F"/>
    <w:rsid w:val="00AC17B1"/>
    <w:rsid w:val="00AD2E2A"/>
    <w:rsid w:val="00AF06BD"/>
    <w:rsid w:val="00AF32B6"/>
    <w:rsid w:val="00AF5025"/>
    <w:rsid w:val="00AF5D54"/>
    <w:rsid w:val="00AF7FA8"/>
    <w:rsid w:val="00B01642"/>
    <w:rsid w:val="00B03B9C"/>
    <w:rsid w:val="00B04630"/>
    <w:rsid w:val="00B0603F"/>
    <w:rsid w:val="00B12182"/>
    <w:rsid w:val="00B12DB6"/>
    <w:rsid w:val="00B221C1"/>
    <w:rsid w:val="00B22EB4"/>
    <w:rsid w:val="00B32623"/>
    <w:rsid w:val="00B34910"/>
    <w:rsid w:val="00B36C18"/>
    <w:rsid w:val="00B40BC0"/>
    <w:rsid w:val="00B41997"/>
    <w:rsid w:val="00B45370"/>
    <w:rsid w:val="00B54F97"/>
    <w:rsid w:val="00B57A54"/>
    <w:rsid w:val="00B64D86"/>
    <w:rsid w:val="00B66AB6"/>
    <w:rsid w:val="00B6733F"/>
    <w:rsid w:val="00B753D1"/>
    <w:rsid w:val="00B76F2E"/>
    <w:rsid w:val="00B77DC6"/>
    <w:rsid w:val="00B82AD6"/>
    <w:rsid w:val="00B93C1D"/>
    <w:rsid w:val="00B94E19"/>
    <w:rsid w:val="00B95456"/>
    <w:rsid w:val="00BA0C0C"/>
    <w:rsid w:val="00BA35BA"/>
    <w:rsid w:val="00BA4590"/>
    <w:rsid w:val="00BB7013"/>
    <w:rsid w:val="00BC3482"/>
    <w:rsid w:val="00BC70CA"/>
    <w:rsid w:val="00BE0039"/>
    <w:rsid w:val="00BE0C69"/>
    <w:rsid w:val="00BE432D"/>
    <w:rsid w:val="00BE56AD"/>
    <w:rsid w:val="00BF44A6"/>
    <w:rsid w:val="00C019FE"/>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87749"/>
    <w:rsid w:val="00C92030"/>
    <w:rsid w:val="00CA54A1"/>
    <w:rsid w:val="00CB2801"/>
    <w:rsid w:val="00CC3E1B"/>
    <w:rsid w:val="00CD1E35"/>
    <w:rsid w:val="00CD47E2"/>
    <w:rsid w:val="00CF1000"/>
    <w:rsid w:val="00CF1146"/>
    <w:rsid w:val="00CF1D4C"/>
    <w:rsid w:val="00D00B60"/>
    <w:rsid w:val="00D012DB"/>
    <w:rsid w:val="00D05CF8"/>
    <w:rsid w:val="00D12041"/>
    <w:rsid w:val="00D14C07"/>
    <w:rsid w:val="00D26C75"/>
    <w:rsid w:val="00D31B26"/>
    <w:rsid w:val="00D354E6"/>
    <w:rsid w:val="00D42393"/>
    <w:rsid w:val="00D42E33"/>
    <w:rsid w:val="00D4344B"/>
    <w:rsid w:val="00D4609B"/>
    <w:rsid w:val="00D5099E"/>
    <w:rsid w:val="00D51943"/>
    <w:rsid w:val="00D5304D"/>
    <w:rsid w:val="00D54F95"/>
    <w:rsid w:val="00D71703"/>
    <w:rsid w:val="00D736E7"/>
    <w:rsid w:val="00D748C2"/>
    <w:rsid w:val="00D801AF"/>
    <w:rsid w:val="00DA33AF"/>
    <w:rsid w:val="00DA54E6"/>
    <w:rsid w:val="00DB39E7"/>
    <w:rsid w:val="00DB4638"/>
    <w:rsid w:val="00DB7E80"/>
    <w:rsid w:val="00DC270E"/>
    <w:rsid w:val="00DC549D"/>
    <w:rsid w:val="00DD6585"/>
    <w:rsid w:val="00DE0E07"/>
    <w:rsid w:val="00DE54E5"/>
    <w:rsid w:val="00DF4C0E"/>
    <w:rsid w:val="00DF4FC7"/>
    <w:rsid w:val="00DF65CE"/>
    <w:rsid w:val="00E06106"/>
    <w:rsid w:val="00E06ABB"/>
    <w:rsid w:val="00E06D1A"/>
    <w:rsid w:val="00E0719A"/>
    <w:rsid w:val="00E212EC"/>
    <w:rsid w:val="00E238A9"/>
    <w:rsid w:val="00E27764"/>
    <w:rsid w:val="00E30BCF"/>
    <w:rsid w:val="00E33F79"/>
    <w:rsid w:val="00E36841"/>
    <w:rsid w:val="00E42AD3"/>
    <w:rsid w:val="00E4492E"/>
    <w:rsid w:val="00E54C57"/>
    <w:rsid w:val="00E55F4C"/>
    <w:rsid w:val="00E61164"/>
    <w:rsid w:val="00E65F46"/>
    <w:rsid w:val="00E855D2"/>
    <w:rsid w:val="00E85FC5"/>
    <w:rsid w:val="00EA166A"/>
    <w:rsid w:val="00EA2759"/>
    <w:rsid w:val="00EA693E"/>
    <w:rsid w:val="00EB2524"/>
    <w:rsid w:val="00EB41B4"/>
    <w:rsid w:val="00EB6B1D"/>
    <w:rsid w:val="00EB7119"/>
    <w:rsid w:val="00EC053F"/>
    <w:rsid w:val="00ED2211"/>
    <w:rsid w:val="00EE0A41"/>
    <w:rsid w:val="00EE5A51"/>
    <w:rsid w:val="00EE5A89"/>
    <w:rsid w:val="00EE745D"/>
    <w:rsid w:val="00EE7F29"/>
    <w:rsid w:val="00EF6999"/>
    <w:rsid w:val="00F0235E"/>
    <w:rsid w:val="00F06B45"/>
    <w:rsid w:val="00F06F61"/>
    <w:rsid w:val="00F101B4"/>
    <w:rsid w:val="00F11484"/>
    <w:rsid w:val="00F12E4E"/>
    <w:rsid w:val="00F23000"/>
    <w:rsid w:val="00F2786E"/>
    <w:rsid w:val="00F360AD"/>
    <w:rsid w:val="00F46585"/>
    <w:rsid w:val="00F57A34"/>
    <w:rsid w:val="00F61644"/>
    <w:rsid w:val="00F62702"/>
    <w:rsid w:val="00F66492"/>
    <w:rsid w:val="00F7154A"/>
    <w:rsid w:val="00F84286"/>
    <w:rsid w:val="00F844EB"/>
    <w:rsid w:val="00F87630"/>
    <w:rsid w:val="00F92E6C"/>
    <w:rsid w:val="00F967BB"/>
    <w:rsid w:val="00FA34A6"/>
    <w:rsid w:val="00FA6890"/>
    <w:rsid w:val="00FA6D79"/>
    <w:rsid w:val="00FA7258"/>
    <w:rsid w:val="00FA7BAC"/>
    <w:rsid w:val="00FA7BB2"/>
    <w:rsid w:val="00FB0AF3"/>
    <w:rsid w:val="00FB594C"/>
    <w:rsid w:val="00FB5FDC"/>
    <w:rsid w:val="00FC2C99"/>
    <w:rsid w:val="00FC6052"/>
    <w:rsid w:val="00FD370E"/>
    <w:rsid w:val="00FD75BA"/>
    <w:rsid w:val="00FE19AE"/>
    <w:rsid w:val="00FF100A"/>
    <w:rsid w:val="00FF1214"/>
    <w:rsid w:val="00FF2C9B"/>
    <w:rsid w:val="00FF3D90"/>
    <w:rsid w:val="00FF5EDA"/>
    <w:rsid w:val="00FF7295"/>
    <w:rsid w:val="1F2BA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hAnsiTheme="majorHAnsi" w:eastAsiaTheme="majorEastAsia" w:cstheme="majorBidi"/>
      <w:b/>
      <w:color w:val="000000" w:themeColor="text1"/>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styleId="CommentTextChar" w:customStyle="1">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styleId="CommentSubjectChar" w:customStyle="1">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styleId="Heading1Char" w:customStyle="1">
    <w:name w:val="Heading 1 Char"/>
    <w:basedOn w:val="DefaultParagraphFont"/>
    <w:link w:val="Heading1"/>
    <w:uiPriority w:val="9"/>
    <w:rsid w:val="00EA2759"/>
    <w:rPr>
      <w:rFonts w:asciiTheme="majorHAnsi" w:hAnsiTheme="majorHAnsi" w:eastAsiaTheme="majorEastAsia"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styleId="cf01" w:customStyle="1">
    <w:name w:val="cf01"/>
    <w:basedOn w:val="DefaultParagraphFont"/>
    <w:rsid w:val="00BA0C0C"/>
    <w:rPr>
      <w:rFonts w:hint="default" w:ascii="Segoe UI" w:hAnsi="Segoe UI" w:cs="Segoe UI"/>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11/relationships/people" Target="people.xml" Id="rId34" /><Relationship Type="http://schemas.openxmlformats.org/officeDocument/2006/relationships/endnotes" Target="endnotes.xml" Id="rId7" /><Relationship Type="http://schemas.openxmlformats.org/officeDocument/2006/relationships/fontTable" Target="fontTable.xml" Id="rId33" /><Relationship Type="http://schemas.openxmlformats.org/officeDocument/2006/relationships/numbering" Target="numbering.xml" Id="rId2" /><Relationship Type="http://schemas.microsoft.com/office/2018/08/relationships/commentsExtensible" Target="commentsExtensible.xml" Id="rId16"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32" /><Relationship Type="http://schemas.openxmlformats.org/officeDocument/2006/relationships/webSettings" Target="webSettings.xml" Id="rId5" /><Relationship Type="http://schemas.microsoft.com/office/2016/09/relationships/commentsIds" Target="commentsIds.xml" Id="rId15" /><Relationship Type="http://schemas.openxmlformats.org/officeDocument/2006/relationships/header" Target="header2.xml" Id="rId28" /><Relationship Type="http://schemas.openxmlformats.org/officeDocument/2006/relationships/header" Target="header3.xml" Id="rId31" /><Relationship Type="http://schemas.openxmlformats.org/officeDocument/2006/relationships/settings" Target="settings.xml" Id="rId4" /><Relationship Type="http://schemas.microsoft.com/office/2011/relationships/commentsExtended" Target="commentsExtended.xml" Id="rId14"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theme" Target="theme/theme1.xml" Id="rId35" /><Relationship Type="http://schemas.microsoft.com/office/2020/10/relationships/intelligence" Target="intelligence2.xml" Id="Re48b164cf4064963"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Kotowski, Sven P. (ELS-AMS)</dc:creator>
  <keywords/>
  <dc:description/>
  <lastModifiedBy>Mariana Buitrago</lastModifiedBy>
  <revision>3</revision>
  <lastPrinted>2023-04-26T11:39:00.0000000Z</lastPrinted>
  <dcterms:created xsi:type="dcterms:W3CDTF">2024-09-23T15:09:00.0000000Z</dcterms:created>
  <dcterms:modified xsi:type="dcterms:W3CDTF">2024-10-25T16:14:22.1176884Z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ies>
</file>