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Exercício 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Aprender a utilizar a interface do MARS executando o segundo exemplo de programação na linguagem de montagem do MIPS no livro texto.</w:t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Instruções: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Inicie o MARS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editor de textos do MARS, transcreva o código abaixo e salve o arquivo com o nome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exercicio_02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 Exercício 02 - Patterson pags. 54/55/56</w:t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 Mostra a compilação de um comando de atribuição em C usando Array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####################################################################</w:t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 Trecho em C: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 A[12] = h + A[8]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.data    # segmento de dados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# definição do array A. Coloca os valores de A[0]=0 até A[15]=150 na memória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Array_A: .word 0, 10, 20, 30, 40, 50, 60, 70, 80, 90, 100, 110, 120, 130, 140, 150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.text   # segmento de código (programa)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main:    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addi $s2, $zero, 1    # Inicializa $s2 em 1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la   $s3, Array_A     # como o exercício assume que o endereço-base de A[]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                      # está em $s3, foi incluida esta instrução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lw   $t0, 32($s3)     # $t0 = A[8]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add  $t0, $s2, $t0    # $t0 = $t0 + h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vertAlign w:val="baseline"/>
                <w:rtl w:val="0"/>
              </w:rPr>
              <w:t xml:space="preserve">     sw   $t0, 48($s3)     # A[12] = $t0</w:t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 iniciar a montagem do código vá ao menu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Run</w:t>
            </w:r>
            <w:r w:rsidDel="00000000" w:rsidR="00000000" w:rsidRPr="00000000">
              <w:rPr>
                <w:vertAlign w:val="baseline"/>
                <w:rtl w:val="0"/>
              </w:rPr>
              <w:t xml:space="preserve"> e selecione a opção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Assemble</w:t>
            </w:r>
            <w:r w:rsidDel="00000000" w:rsidR="00000000" w:rsidRPr="00000000">
              <w:rPr>
                <w:vertAlign w:val="baseline"/>
                <w:rtl w:val="0"/>
              </w:rPr>
              <w:t xml:space="preserve"> ou pressione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F3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 janela de segmento de dados se pode optar por mostrar, por exemplo, o conteúdo da região de memória que armazena os dados do programa (0x10010000 (.data)), da pilha (current $sp) e do sistema operacional (0x90000000 (.kdata)), conforme é mostrado abaixo.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Área de dados do sistema operacional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1"/>
              <w:spacing w:after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115050" cy="1593215"/>
                  <wp:effectExtent b="0" l="0" r="0" t="0"/>
                  <wp:docPr id="103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1593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1320800</wp:posOffset>
                      </wp:positionV>
                      <wp:extent cx="1104900" cy="266700"/>
                      <wp:effectExtent b="0" l="0" r="0" t="0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12600" y="3665700"/>
                                <a:ext cx="1066800" cy="228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1320800</wp:posOffset>
                      </wp:positionV>
                      <wp:extent cx="1104900" cy="266700"/>
                      <wp:effectExtent b="0" l="0" r="0" t="0"/>
                      <wp:wrapNone/>
                      <wp:docPr id="103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49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Área de dados do programa do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119495" cy="1610360"/>
                  <wp:effectExtent b="0" l="0" r="0" t="0"/>
                  <wp:docPr id="103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10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1346200</wp:posOffset>
                      </wp:positionV>
                      <wp:extent cx="1104900" cy="266700"/>
                      <wp:effectExtent b="0" l="0" r="0" t="0"/>
                      <wp:wrapNone/>
                      <wp:docPr id="1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12600" y="3665700"/>
                                <a:ext cx="1066800" cy="228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1346200</wp:posOffset>
                      </wp:positionV>
                      <wp:extent cx="1104900" cy="266700"/>
                      <wp:effectExtent b="0" l="0" r="0" t="0"/>
                      <wp:wrapNone/>
                      <wp:docPr id="102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49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D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Área de dados da pilha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116955" cy="1594485"/>
                  <wp:effectExtent b="0" l="0" r="0" t="0"/>
                  <wp:docPr id="103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594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1295400</wp:posOffset>
                      </wp:positionV>
                      <wp:extent cx="1104900" cy="266700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2600" y="3665700"/>
                                <a:ext cx="1066800" cy="228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1295400</wp:posOffset>
                      </wp:positionV>
                      <wp:extent cx="1104900" cy="266700"/>
                      <wp:effectExtent b="0" l="0" r="0" t="0"/>
                      <wp:wrapNone/>
                      <wp:docPr id="103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49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 seção DATA, os elementos do vetor são armazenados em células de memória organizadas de forma matricial, sendo que o endereço inicial do vetor é igual 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0x10010000</w:t>
            </w:r>
            <w:r w:rsidDel="00000000" w:rsidR="00000000" w:rsidRPr="00000000">
              <w:rPr>
                <w:vertAlign w:val="baseline"/>
                <w:rtl w:val="0"/>
              </w:rPr>
              <w:t xml:space="preserve"> conforme a tabela a seguir:</w:t>
            </w:r>
          </w:p>
          <w:tbl>
            <w:tblPr>
              <w:tblStyle w:val="Table3"/>
              <w:tblW w:w="9762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93"/>
              <w:gridCol w:w="1051"/>
              <w:gridCol w:w="1052"/>
              <w:gridCol w:w="1061"/>
              <w:gridCol w:w="1061"/>
              <w:gridCol w:w="1061"/>
              <w:gridCol w:w="1061"/>
              <w:gridCol w:w="1061"/>
              <w:gridCol w:w="1061"/>
              <w:tblGridChange w:id="0">
                <w:tblGrid>
                  <w:gridCol w:w="1293"/>
                  <w:gridCol w:w="1051"/>
                  <w:gridCol w:w="1052"/>
                  <w:gridCol w:w="1061"/>
                  <w:gridCol w:w="1061"/>
                  <w:gridCol w:w="1061"/>
                  <w:gridCol w:w="1061"/>
                  <w:gridCol w:w="1061"/>
                  <w:gridCol w:w="1061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120" w:lineRule="auto"/>
                    <w:jc w:val="center"/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Endereço da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linha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8"/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vertAlign w:val="baseline"/>
                      <w:rtl w:val="0"/>
                    </w:rPr>
                    <w:t xml:space="preserve">Deslocamento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(+0)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(+4)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(+8)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(+c)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(+10)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(+14)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(+18)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(+1C)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0x10010000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Array_A[0]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Array_A[2]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Array_A[3]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Array_A[4]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Array_A[5]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Array_A[6]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Array_A[7]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0x10010020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Array_A[8]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Array_A[9]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Array_A[10]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Array_A[11]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Array_A[12]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Array_A[13]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Array_A[14]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120" w:lineRule="auto"/>
                    <w:jc w:val="center"/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Array_A[15]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endereço de cada elemento na matriz é dado pelo endereço da linha somado ao deslocamento associado à coluna. Por exemplo, o endereço do elemento 11 é dado por 0x10010020 + 0xC = 0x1001002C. </w:t>
            </w:r>
          </w:p>
          <w:p w:rsidR="00000000" w:rsidDel="00000000" w:rsidP="00000000" w:rsidRDefault="00000000" w:rsidRPr="00000000" w14:paraId="0000005A">
            <w:pPr>
              <w:spacing w:after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Lembre que, se o cálculo for feito em relação ao endereço base do vetor, deve-se fazer: 0x10010000 + 4 x    11      = 0x10010000  + 44        = 0x10010000 + 0x2C = 0x1001002C.</w:t>
            </w:r>
          </w:p>
          <w:p w:rsidR="00000000" w:rsidDel="00000000" w:rsidP="00000000" w:rsidRDefault="00000000" w:rsidRPr="00000000" w14:paraId="0000005B">
            <w:pPr>
              <w:spacing w:after="120" w:lineRule="auto"/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(end. base em hexa)+(4 x posArray dec.) = (end. base em hexa) + ( desl. decimal) =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(end. base hexa) + (desl. hexa)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 = (end. desejado).</w:t>
            </w:r>
          </w:p>
          <w:p w:rsidR="00000000" w:rsidDel="00000000" w:rsidP="00000000" w:rsidRDefault="00000000" w:rsidRPr="00000000" w14:paraId="0000005C">
            <w:pPr>
              <w:spacing w:after="12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Observe que os valores armazenados no vetor são expressos em hexadecimal, embora no código eles sejam definidos em decimal. Então, por exemplo, o elemento Array_A[8] = 0x00000050 = 80 (em decimal).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Conforme especificado no código do programa, o que se espera, após a sua execução, é que o elemento Array_A[12] receba a soma do conteúdo do elemento Array_A[8] com o conteúdo do registrador $s2. Se este registrador for igual a 0, então, após a execução, Array_A[12] será igual a Array_A[8].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Inicie a execução passo-a-passo, pressionando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F7</w:t>
            </w:r>
            <w:r w:rsidDel="00000000" w:rsidR="00000000" w:rsidRPr="00000000">
              <w:rPr>
                <w:vertAlign w:val="baseline"/>
                <w:rtl w:val="0"/>
              </w:rPr>
              <w:t xml:space="preserve"> até chegar à segunda instrução do programa (endereço 0x00400004).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357" w:hanging="357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Abaixo, observe, na quarta coluna, que a instrução a ser executada é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lui $19, 4097 [Array_A]</w:t>
            </w:r>
            <w:r w:rsidDel="00000000" w:rsidR="00000000" w:rsidRPr="00000000">
              <w:rPr>
                <w:vertAlign w:val="baseline"/>
                <w:rtl w:val="0"/>
              </w:rPr>
              <w:t xml:space="preserve">, mas que originalmente foi especificada como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 $s3, Array_A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  <w:br w:type="textWrapping"/>
              <w:t xml:space="preserve">A instrução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</w:t>
            </w:r>
            <w:r w:rsidDel="00000000" w:rsidR="00000000" w:rsidRPr="00000000">
              <w:rPr>
                <w:vertAlign w:val="baseline"/>
                <w:rtl w:val="0"/>
              </w:rPr>
              <w:t xml:space="preserve"> (load array) é na verdade uma pseudo-instrução que o montador traduz para uma seqüência das instruções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lui </w:t>
            </w:r>
            <w:r w:rsidDel="00000000" w:rsidR="00000000" w:rsidRPr="00000000">
              <w:rPr>
                <w:vertAlign w:val="baseline"/>
                <w:rtl w:val="0"/>
              </w:rPr>
              <w:t xml:space="preserve">(load upper immediate) e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ori </w:t>
            </w:r>
            <w:r w:rsidDel="00000000" w:rsidR="00000000" w:rsidRPr="00000000">
              <w:rPr>
                <w:vertAlign w:val="baseline"/>
                <w:rtl w:val="0"/>
              </w:rPr>
              <w:t xml:space="preserve">(or immediate) do MIPS (pseudo-instruções tornam a programação mais facilitada). Essa seqüência permite carregar o endereço-base do vetor (Array_A) para um registrador base ($s2) para que se possa acessar qualquer elemento do vetor por meio de deslocamentos em relação ao endereço-base.</w:t>
            </w:r>
          </w:p>
          <w:p w:rsidR="00000000" w:rsidDel="00000000" w:rsidP="00000000" w:rsidRDefault="00000000" w:rsidRPr="00000000" w14:paraId="00000061">
            <w:pPr>
              <w:spacing w:after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6120765" cy="774700"/>
                  <wp:effectExtent b="0" l="0" r="0" t="0"/>
                  <wp:docPr id="103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Faça a execução passo-a-passo do programa e, a cada instrução, preencha a tabela abaixo cada vez que o valor de um registrador ou posição da memória de dados for modificado.</w:t>
            </w:r>
          </w:p>
        </w:tc>
      </w:tr>
    </w:tbl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8"/>
        <w:gridCol w:w="1920"/>
        <w:gridCol w:w="960"/>
        <w:gridCol w:w="946"/>
        <w:gridCol w:w="946"/>
        <w:gridCol w:w="977"/>
        <w:gridCol w:w="251"/>
        <w:gridCol w:w="960"/>
        <w:gridCol w:w="240"/>
        <w:gridCol w:w="1080"/>
        <w:gridCol w:w="240"/>
        <w:tblGridChange w:id="0">
          <w:tblGrid>
            <w:gridCol w:w="1108"/>
            <w:gridCol w:w="1920"/>
            <w:gridCol w:w="960"/>
            <w:gridCol w:w="946"/>
            <w:gridCol w:w="946"/>
            <w:gridCol w:w="977"/>
            <w:gridCol w:w="251"/>
            <w:gridCol w:w="960"/>
            <w:gridCol w:w="240"/>
            <w:gridCol w:w="1080"/>
            <w:gridCol w:w="240"/>
          </w:tblGrid>
        </w:tblGridChange>
      </w:tblGrid>
      <w:tr>
        <w:trPr>
          <w:cantSplit w:val="1"/>
          <w:trHeight w:val="276" w:hRule="atLeast"/>
          <w:tblHeader w:val="0"/>
        </w:trPr>
        <w:tc>
          <w:tcPr>
            <w:gridSpan w:val="2"/>
            <w:vMerge w:val="restart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Antes da execução da 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Depois da execução da instrução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gridSpan w:val="2"/>
            <w:vMerge w:val="continue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Segmento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" w:hRule="atLeast"/>
          <w:tblHeader w:val="0"/>
        </w:trPr>
        <w:tc>
          <w:tcPr>
            <w:vMerge w:val="restart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10010020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10010030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7" w:hRule="atLeast"/>
          <w:tblHeader w:val="0"/>
        </w:trPr>
        <w:tc>
          <w:tcPr>
            <w:vMerge w:val="continue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($t0)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($s3)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Array_A[0]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1a linha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coluna (+0)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Array_A[8]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2a linha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coluna (+0)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Array_A[12]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2a linha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coluna (+10)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00000000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00000050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00000078</w:t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00400000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addi $s2, $zero,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00000001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00400004</w:t>
            </w:r>
          </w:p>
        </w:tc>
        <w:tc>
          <w:tcPr>
            <w:shd w:fill="e6e6e6" w:val="clear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lui  $at, Array_A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00400008</w:t>
            </w:r>
          </w:p>
        </w:tc>
        <w:tc>
          <w:tcPr>
            <w:shd w:fill="e6e6e6" w:val="clear"/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60" w:before="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ori  $s3, $at,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60" w:before="6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Obs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A segunda (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lui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 e a terceira (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ori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 instruções apresentadas acima são inseridas pelo montador em substituição à pseudo-instrução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la $s3, Array_A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utilizada originalmente no código fonte. Essa pseudo-instrução tem a função de carregar o endereço base do vetor (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Array_A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 para o registrador destino (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$s3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). A instrução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lui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primeiramente carrega o endereço do vetor para o registrador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$at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(não listado acima) e a segunda instrução transfere o conteúdo de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$at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para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$s3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9.0" w:type="dxa"/>
        <w:jc w:val="left"/>
        <w:tblInd w:w="-70.0" w:type="dxa"/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NOTA: Se for necessário reiniciar o programa, faça: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Run &gt; Reset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899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png"/><Relationship Id="rId13" Type="http://schemas.openxmlformats.org/officeDocument/2006/relationships/image" Target="media/image1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V6lPXWmreXqxOom60Fx4npvbw==">CgMxLjA4AGpGCjVzdWdnZXN0SWRJbXBvcnQ4NmFkNDgxYS0wNTA1LTQ1YzAtOTZmZi0wMDExOGVlYmEzMDJfMRINQW1hcmlseXMgTGltYXIhMVVpWFpqelhxNjYtR1RkTDR1M1lqVG53TG1jRU85b1dX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2008-03-20T19:37:00Z</dcterms:created>
  <dc:creator>UNIVALI</dc:creator>
</cp:coreProperties>
</file>